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44" w:rsidRPr="00D80073" w:rsidRDefault="008B767A" w:rsidP="00D80073">
      <w:pPr>
        <w:pStyle w:val="1-MainHeading"/>
      </w:pPr>
      <w:bookmarkStart w:id="0" w:name="_Toc30592985"/>
      <w:r w:rsidRPr="00B1054A">
        <w:t>7</w:t>
      </w:r>
      <w:r w:rsidR="00433044" w:rsidRPr="00B1054A">
        <w:t>.</w:t>
      </w:r>
      <w:r w:rsidRPr="00B1054A">
        <w:t>03</w:t>
      </w:r>
      <w:r w:rsidR="00163F66" w:rsidRPr="00B1054A">
        <w:tab/>
      </w:r>
      <w:r w:rsidR="006A6380" w:rsidRPr="00B1054A">
        <w:t>DUPILUMAB</w:t>
      </w:r>
      <w:r w:rsidR="003D2E9F" w:rsidRPr="00B1054A">
        <w:t xml:space="preserve">, </w:t>
      </w:r>
      <w:r w:rsidR="00163F66" w:rsidRPr="00B1054A">
        <w:br/>
      </w:r>
      <w:r w:rsidR="002A0FC7" w:rsidRPr="00B1054A">
        <w:t xml:space="preserve">Injection </w:t>
      </w:r>
      <w:r w:rsidR="006A6380" w:rsidRPr="00B1054A">
        <w:t>300 mg in 2 mL single use pre-filled syringe</w:t>
      </w:r>
      <w:r w:rsidR="003D2E9F" w:rsidRPr="00B1054A">
        <w:t>,</w:t>
      </w:r>
      <w:r w:rsidR="00AB0F02" w:rsidRPr="00B1054A">
        <w:t xml:space="preserve"> </w:t>
      </w:r>
      <w:r w:rsidR="006A6380" w:rsidRPr="00B1054A">
        <w:t>Dupixent</w:t>
      </w:r>
      <w:r w:rsidR="00B60939" w:rsidRPr="00B1054A">
        <w:rPr>
          <w:vertAlign w:val="superscript"/>
        </w:rPr>
        <w:t>®</w:t>
      </w:r>
      <w:r w:rsidR="003D2E9F" w:rsidRPr="00B1054A">
        <w:t xml:space="preserve">, </w:t>
      </w:r>
      <w:r w:rsidR="004A6040" w:rsidRPr="00B1054A">
        <w:br/>
      </w:r>
      <w:r w:rsidR="006A6380" w:rsidRPr="00B1054A">
        <w:t>Sanofi-Aventis Australia Pty Ltd</w:t>
      </w:r>
      <w:r w:rsidR="00B60939" w:rsidRPr="00B1054A">
        <w:t>.</w:t>
      </w:r>
      <w:bookmarkEnd w:id="0"/>
    </w:p>
    <w:p w:rsidR="00B50DB8" w:rsidRPr="00B1054A" w:rsidRDefault="00B50DB8" w:rsidP="004A6040">
      <w:pPr>
        <w:pStyle w:val="2-SectionHeading"/>
      </w:pPr>
      <w:bookmarkStart w:id="1" w:name="_Toc30592987"/>
      <w:r w:rsidRPr="00B1054A">
        <w:t xml:space="preserve">Purpose of </w:t>
      </w:r>
      <w:r w:rsidR="00CD7193" w:rsidRPr="00B1054A">
        <w:t>s</w:t>
      </w:r>
      <w:r w:rsidR="00BB3A45" w:rsidRPr="00B1054A">
        <w:t>ubmission</w:t>
      </w:r>
      <w:bookmarkEnd w:id="1"/>
    </w:p>
    <w:p w:rsidR="002C2775" w:rsidRPr="00B1054A" w:rsidRDefault="007170DA" w:rsidP="004E18E9">
      <w:pPr>
        <w:pStyle w:val="3-BodyText"/>
      </w:pPr>
      <w:r w:rsidRPr="00B1054A">
        <w:t xml:space="preserve">The </w:t>
      </w:r>
      <w:r w:rsidR="006A6380" w:rsidRPr="00B1054A">
        <w:t>re</w:t>
      </w:r>
      <w:r w:rsidRPr="00B1054A">
        <w:t xml:space="preserve">submission requested </w:t>
      </w:r>
      <w:r w:rsidR="006A6380" w:rsidRPr="00B1054A">
        <w:t>a Section 85</w:t>
      </w:r>
      <w:r w:rsidR="008B1757" w:rsidRPr="00B1054A">
        <w:t xml:space="preserve"> Authority Required</w:t>
      </w:r>
      <w:r w:rsidR="006A6380" w:rsidRPr="00B1054A">
        <w:t xml:space="preserve"> </w:t>
      </w:r>
      <w:r w:rsidR="008B1757" w:rsidRPr="00B1054A">
        <w:t xml:space="preserve">listing for </w:t>
      </w:r>
      <w:r w:rsidR="006A6380" w:rsidRPr="00B1054A">
        <w:t>dupilumab</w:t>
      </w:r>
      <w:r w:rsidR="008B1757" w:rsidRPr="00B1054A">
        <w:t xml:space="preserve"> for </w:t>
      </w:r>
      <w:r w:rsidR="0050174E" w:rsidRPr="00B1054A">
        <w:t xml:space="preserve">the </w:t>
      </w:r>
      <w:r w:rsidR="008B1757" w:rsidRPr="00B1054A">
        <w:t xml:space="preserve">treatment of </w:t>
      </w:r>
      <w:r w:rsidR="006A6380" w:rsidRPr="00B1054A">
        <w:t>atopic dermatitis (AD) in adult patients with severe disease who are inadequately controlled on topical therapies</w:t>
      </w:r>
      <w:r w:rsidR="008B1757" w:rsidRPr="00B1054A">
        <w:t xml:space="preserve">. </w:t>
      </w:r>
    </w:p>
    <w:p w:rsidR="00C2778B" w:rsidRPr="00B1054A" w:rsidRDefault="005750C5" w:rsidP="004E18E9">
      <w:pPr>
        <w:pStyle w:val="3-BodyText"/>
      </w:pPr>
      <w:r w:rsidRPr="00B1054A">
        <w:t>Listing was requested on the basis of a cost-</w:t>
      </w:r>
      <w:r w:rsidR="00E336A5" w:rsidRPr="00B1054A">
        <w:t xml:space="preserve">utility </w:t>
      </w:r>
      <w:r w:rsidRPr="00B1054A">
        <w:t xml:space="preserve">analysis versus </w:t>
      </w:r>
      <w:r w:rsidR="006A6380" w:rsidRPr="00B1054A">
        <w:t>placebo</w:t>
      </w:r>
      <w:r w:rsidR="008D02D7" w:rsidRPr="00B1054A">
        <w:t xml:space="preserve"> representing</w:t>
      </w:r>
      <w:r w:rsidR="006A6380" w:rsidRPr="00B1054A">
        <w:t xml:space="preserve"> standard of care (SoC)</w:t>
      </w:r>
      <w:r w:rsidRPr="00B1054A">
        <w:t xml:space="preserve">. </w:t>
      </w:r>
      <w:r w:rsidR="00E336A5" w:rsidRPr="00B1054A">
        <w:t>Table 1 presents the key components of the clinical issue addressed by the resubmission.</w:t>
      </w:r>
    </w:p>
    <w:p w:rsidR="008B1757" w:rsidRPr="00B1054A" w:rsidRDefault="00FD14BC" w:rsidP="004A6040">
      <w:pPr>
        <w:pStyle w:val="TableFigureHeading"/>
        <w:rPr>
          <w:rStyle w:val="CommentReference"/>
          <w:b/>
          <w:szCs w:val="24"/>
        </w:rPr>
      </w:pPr>
      <w:bookmarkStart w:id="2" w:name="_Ref27406359"/>
      <w:r w:rsidRPr="00B1054A">
        <w:t xml:space="preserve">Table </w:t>
      </w:r>
      <w:r w:rsidR="00B20399" w:rsidRPr="00B1054A">
        <w:t>1</w:t>
      </w:r>
      <w:bookmarkEnd w:id="2"/>
      <w:r w:rsidRPr="00B1054A">
        <w:t xml:space="preserve">: </w:t>
      </w:r>
      <w:r w:rsidR="008B1757" w:rsidRPr="00B1054A">
        <w:rPr>
          <w:rStyle w:val="CommentReference"/>
          <w:b/>
          <w:szCs w:val="24"/>
        </w:rPr>
        <w:t xml:space="preserve">Key components of the clinical issue addressed by the </w:t>
      </w:r>
      <w:r w:rsidR="006A6380" w:rsidRPr="00B1054A">
        <w:rPr>
          <w:rStyle w:val="CommentReference"/>
          <w:b/>
          <w:szCs w:val="24"/>
        </w:rPr>
        <w:t>re</w:t>
      </w:r>
      <w:r w:rsidR="008B1757" w:rsidRPr="00B1054A">
        <w:rPr>
          <w:rStyle w:val="CommentReference"/>
          <w:b/>
          <w:szCs w:val="24"/>
        </w:rPr>
        <w:t>submission</w:t>
      </w:r>
      <w:r w:rsidR="007170DA" w:rsidRPr="00B1054A">
        <w:rPr>
          <w:rStyle w:val="CommentReference"/>
          <w:b/>
          <w:szCs w:val="24"/>
        </w:rPr>
        <w:t xml:space="preserve"> (as stated in the </w:t>
      </w:r>
      <w:r w:rsidR="006A6380" w:rsidRPr="00B1054A">
        <w:rPr>
          <w:rStyle w:val="CommentReference"/>
          <w:b/>
          <w:szCs w:val="24"/>
        </w:rPr>
        <w:t>re</w:t>
      </w:r>
      <w:r w:rsidR="007170DA" w:rsidRPr="00B1054A">
        <w:rPr>
          <w:rStyle w:val="CommentReference"/>
          <w:b/>
          <w:szCs w:val="24"/>
        </w:rPr>
        <w:t>submission)</w:t>
      </w:r>
    </w:p>
    <w:tbl>
      <w:tblPr>
        <w:tblW w:w="9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3"/>
        <w:gridCol w:w="7488"/>
      </w:tblGrid>
      <w:tr w:rsidR="006A6380" w:rsidRPr="00B1054A" w:rsidTr="001B21D2">
        <w:tc>
          <w:tcPr>
            <w:tcW w:w="1673" w:type="dxa"/>
            <w:vAlign w:val="center"/>
          </w:tcPr>
          <w:p w:rsidR="006A6380" w:rsidRPr="00B1054A" w:rsidRDefault="006A6380" w:rsidP="001B21D2">
            <w:pPr>
              <w:pStyle w:val="In-tableHeading"/>
              <w:rPr>
                <w:lang w:val="en-AU"/>
              </w:rPr>
            </w:pPr>
            <w:r w:rsidRPr="00B1054A">
              <w:rPr>
                <w:lang w:val="en-AU"/>
              </w:rPr>
              <w:t>Component</w:t>
            </w:r>
          </w:p>
        </w:tc>
        <w:tc>
          <w:tcPr>
            <w:tcW w:w="7488" w:type="dxa"/>
            <w:vAlign w:val="center"/>
          </w:tcPr>
          <w:p w:rsidR="006A6380" w:rsidRPr="00B1054A" w:rsidRDefault="006A6380" w:rsidP="001B21D2">
            <w:pPr>
              <w:pStyle w:val="In-tableHeading"/>
              <w:rPr>
                <w:lang w:val="en-AU"/>
              </w:rPr>
            </w:pPr>
            <w:r w:rsidRPr="00B1054A">
              <w:rPr>
                <w:lang w:val="en-AU"/>
              </w:rPr>
              <w:t>Description</w:t>
            </w:r>
          </w:p>
        </w:tc>
      </w:tr>
      <w:tr w:rsidR="006A6380" w:rsidRPr="00B1054A" w:rsidTr="001B21D2">
        <w:tc>
          <w:tcPr>
            <w:tcW w:w="1673" w:type="dxa"/>
            <w:vAlign w:val="center"/>
          </w:tcPr>
          <w:p w:rsidR="006A6380" w:rsidRPr="00B1054A" w:rsidRDefault="006A6380" w:rsidP="001B21D2">
            <w:pPr>
              <w:pStyle w:val="TableText0"/>
            </w:pPr>
            <w:r w:rsidRPr="00B1054A">
              <w:t>Population</w:t>
            </w:r>
          </w:p>
        </w:tc>
        <w:tc>
          <w:tcPr>
            <w:tcW w:w="7488" w:type="dxa"/>
            <w:vAlign w:val="center"/>
          </w:tcPr>
          <w:p w:rsidR="006A6380" w:rsidRPr="00B1054A" w:rsidRDefault="006A6380" w:rsidP="001B21D2">
            <w:pPr>
              <w:pStyle w:val="TableText0"/>
            </w:pPr>
            <w:r w:rsidRPr="00B1054A">
              <w:t>Adults with severe atopic dermatitis who have had an inadequate response to topical therapies</w:t>
            </w:r>
          </w:p>
        </w:tc>
      </w:tr>
      <w:tr w:rsidR="006A6380" w:rsidRPr="00B1054A" w:rsidTr="001B21D2">
        <w:tc>
          <w:tcPr>
            <w:tcW w:w="1673" w:type="dxa"/>
            <w:vAlign w:val="center"/>
          </w:tcPr>
          <w:p w:rsidR="006A6380" w:rsidRPr="00B1054A" w:rsidRDefault="006A6380" w:rsidP="001B21D2">
            <w:pPr>
              <w:pStyle w:val="TableText0"/>
            </w:pPr>
            <w:r w:rsidRPr="00B1054A">
              <w:t>Intervention</w:t>
            </w:r>
          </w:p>
        </w:tc>
        <w:tc>
          <w:tcPr>
            <w:tcW w:w="7488" w:type="dxa"/>
            <w:vAlign w:val="center"/>
          </w:tcPr>
          <w:p w:rsidR="006A6380" w:rsidRPr="00B1054A" w:rsidRDefault="006A6380" w:rsidP="001B21D2">
            <w:pPr>
              <w:pStyle w:val="TableText0"/>
            </w:pPr>
            <w:r w:rsidRPr="00B1054A">
              <w:t>Dupilumab 600mg initial dose, followed by 300mg Q2W</w:t>
            </w:r>
          </w:p>
        </w:tc>
      </w:tr>
      <w:tr w:rsidR="006A6380" w:rsidRPr="00B1054A" w:rsidTr="001B21D2">
        <w:tc>
          <w:tcPr>
            <w:tcW w:w="1673" w:type="dxa"/>
            <w:vAlign w:val="center"/>
          </w:tcPr>
          <w:p w:rsidR="006A6380" w:rsidRPr="00B1054A" w:rsidRDefault="006A6380" w:rsidP="001B21D2">
            <w:pPr>
              <w:pStyle w:val="TableText0"/>
            </w:pPr>
            <w:r w:rsidRPr="00B1054A">
              <w:t>Comparator</w:t>
            </w:r>
          </w:p>
        </w:tc>
        <w:tc>
          <w:tcPr>
            <w:tcW w:w="7488" w:type="dxa"/>
            <w:vAlign w:val="center"/>
          </w:tcPr>
          <w:p w:rsidR="006A6380" w:rsidRPr="00B1054A" w:rsidRDefault="006A6380" w:rsidP="001B21D2">
            <w:pPr>
              <w:pStyle w:val="TableText0"/>
            </w:pPr>
            <w:r w:rsidRPr="00B1054A">
              <w:rPr>
                <w:b/>
              </w:rPr>
              <w:t>Main comparator</w:t>
            </w:r>
            <w:r w:rsidRPr="00B1054A">
              <w:t>: Placebo representing standard of care (SoC)</w:t>
            </w:r>
          </w:p>
          <w:p w:rsidR="006A6380" w:rsidRPr="00B1054A" w:rsidRDefault="006A6380" w:rsidP="001B21D2">
            <w:pPr>
              <w:pStyle w:val="TableText0"/>
            </w:pPr>
            <w:r w:rsidRPr="00B1054A">
              <w:rPr>
                <w:b/>
              </w:rPr>
              <w:t>Secondary comparator</w:t>
            </w:r>
            <w:r w:rsidRPr="00B1054A">
              <w:t>: Cyclosporin A (CsA)</w:t>
            </w:r>
          </w:p>
        </w:tc>
      </w:tr>
      <w:tr w:rsidR="006A6380" w:rsidRPr="00B1054A" w:rsidTr="001B21D2">
        <w:tc>
          <w:tcPr>
            <w:tcW w:w="1673" w:type="dxa"/>
            <w:vAlign w:val="center"/>
          </w:tcPr>
          <w:p w:rsidR="006A6380" w:rsidRPr="00B1054A" w:rsidRDefault="006A6380" w:rsidP="001B21D2">
            <w:pPr>
              <w:pStyle w:val="TableText0"/>
            </w:pPr>
            <w:r w:rsidRPr="00B1054A">
              <w:t>Outcomes (trial)</w:t>
            </w:r>
          </w:p>
        </w:tc>
        <w:tc>
          <w:tcPr>
            <w:tcW w:w="7488" w:type="dxa"/>
            <w:vAlign w:val="center"/>
          </w:tcPr>
          <w:p w:rsidR="006A6380" w:rsidRPr="00B1054A" w:rsidRDefault="006A6380" w:rsidP="001B21D2">
            <w:pPr>
              <w:pStyle w:val="TableText0"/>
            </w:pPr>
            <w:r w:rsidRPr="00B1054A">
              <w:rPr>
                <w:b/>
              </w:rPr>
              <w:t>Primary</w:t>
            </w:r>
            <w:r w:rsidRPr="00B1054A">
              <w:t>: Proportion of patients with a 75% improvement in EASI score at week 16 (EASI-75); proportion of patients with and IGA score or 0 or 1 and a change ≥2 points from baseline at week 16</w:t>
            </w:r>
          </w:p>
          <w:p w:rsidR="006A6380" w:rsidRPr="00B1054A" w:rsidRDefault="006A6380" w:rsidP="001B21D2">
            <w:pPr>
              <w:pStyle w:val="TableText0"/>
            </w:pPr>
            <w:r w:rsidRPr="00B1054A">
              <w:rPr>
                <w:b/>
              </w:rPr>
              <w:t>Secondary</w:t>
            </w:r>
            <w:r w:rsidRPr="00B1054A">
              <w:t>: Changes in physician and patient reported severity scores including EASI, SCORAD, DLQI, POEM, HADS, GISS, IGA, peak daily pruritus NRS and percent BSA involvement</w:t>
            </w:r>
          </w:p>
        </w:tc>
      </w:tr>
      <w:tr w:rsidR="006A6380" w:rsidRPr="00B1054A" w:rsidTr="001B21D2">
        <w:tc>
          <w:tcPr>
            <w:tcW w:w="1673" w:type="dxa"/>
            <w:vAlign w:val="center"/>
          </w:tcPr>
          <w:p w:rsidR="006A6380" w:rsidRPr="00B1054A" w:rsidRDefault="006A6380" w:rsidP="001B21D2">
            <w:pPr>
              <w:pStyle w:val="TableText0"/>
            </w:pPr>
            <w:r w:rsidRPr="00B1054A">
              <w:t>Clinical claim</w:t>
            </w:r>
          </w:p>
        </w:tc>
        <w:tc>
          <w:tcPr>
            <w:tcW w:w="7488" w:type="dxa"/>
            <w:vAlign w:val="center"/>
          </w:tcPr>
          <w:p w:rsidR="006A6380" w:rsidRPr="00B1054A" w:rsidRDefault="006A6380" w:rsidP="001B21D2">
            <w:pPr>
              <w:pStyle w:val="TableText0"/>
              <w:rPr>
                <w:szCs w:val="16"/>
              </w:rPr>
            </w:pPr>
            <w:r w:rsidRPr="00B1054A">
              <w:rPr>
                <w:szCs w:val="16"/>
              </w:rPr>
              <w:t>In the treatment of adult with severe atopic dermatitis unresponsive to topical therapies, dupilumab has:</w:t>
            </w:r>
          </w:p>
          <w:p w:rsidR="006A6380" w:rsidRPr="00B1054A" w:rsidRDefault="006A6380" w:rsidP="009A4A1A">
            <w:pPr>
              <w:pStyle w:val="TableText0"/>
              <w:keepNext w:val="0"/>
              <w:numPr>
                <w:ilvl w:val="0"/>
                <w:numId w:val="8"/>
              </w:numPr>
              <w:ind w:left="204" w:hanging="204"/>
              <w:rPr>
                <w:szCs w:val="16"/>
              </w:rPr>
            </w:pPr>
            <w:r w:rsidRPr="00B1054A">
              <w:rPr>
                <w:szCs w:val="16"/>
              </w:rPr>
              <w:t>Superior efficacy to standard of care with an increased risk of injection site reactions and conjunctivitis.</w:t>
            </w:r>
          </w:p>
          <w:p w:rsidR="006A6380" w:rsidRPr="00B1054A" w:rsidRDefault="006A6380" w:rsidP="009A4A1A">
            <w:pPr>
              <w:pStyle w:val="TableText0"/>
              <w:keepNext w:val="0"/>
              <w:numPr>
                <w:ilvl w:val="0"/>
                <w:numId w:val="8"/>
              </w:numPr>
              <w:ind w:left="204" w:hanging="204"/>
              <w:rPr>
                <w:szCs w:val="16"/>
              </w:rPr>
            </w:pPr>
            <w:r w:rsidRPr="00B1054A">
              <w:rPr>
                <w:szCs w:val="16"/>
              </w:rPr>
              <w:t>Similar efficacy and superior safety to CsA.</w:t>
            </w:r>
          </w:p>
        </w:tc>
      </w:tr>
    </w:tbl>
    <w:p w:rsidR="006A6380" w:rsidRPr="00B1054A" w:rsidRDefault="006A6380" w:rsidP="006A6380">
      <w:pPr>
        <w:pStyle w:val="TableFigureFooter"/>
        <w:spacing w:after="0"/>
      </w:pPr>
      <w:r w:rsidRPr="00B1054A">
        <w:t>Source: Table 1.1, p1 of the resubmission</w:t>
      </w:r>
    </w:p>
    <w:p w:rsidR="006A6380" w:rsidRPr="00B1054A" w:rsidRDefault="006A6380" w:rsidP="006A6380">
      <w:pPr>
        <w:pStyle w:val="TableFigureFooter"/>
        <w:spacing w:after="0"/>
      </w:pPr>
      <w:r w:rsidRPr="00B1054A">
        <w:t>Abbreviations: BSA: Body surface area; CsA: cyclosporin A; DLQI: Dermatology life quality index’ EASI: Eczema area and severity index; GISS: Global individual signs score; HADS: Hospital anxiety and depression scale; IGA: Investigator’s global assessment; NRS: Numerical rating scale; POEM: Patient oriented eczema measure; Q2W = fortnightly; SCORAD: Scoring atopic dermatitis</w:t>
      </w:r>
    </w:p>
    <w:p w:rsidR="005C25FF" w:rsidRPr="00B1054A" w:rsidRDefault="005C25FF" w:rsidP="004A6040">
      <w:pPr>
        <w:pStyle w:val="2-SectionHeading"/>
      </w:pPr>
      <w:bookmarkStart w:id="3" w:name="_Toc30592988"/>
      <w:r w:rsidRPr="00B1054A">
        <w:t>Background</w:t>
      </w:r>
      <w:bookmarkEnd w:id="3"/>
    </w:p>
    <w:p w:rsidR="005C25FF" w:rsidRPr="00B1054A" w:rsidRDefault="005C25FF" w:rsidP="004A6040">
      <w:pPr>
        <w:pStyle w:val="4-SubsectionHeading"/>
      </w:pPr>
      <w:bookmarkStart w:id="4" w:name="_Toc22897638"/>
      <w:bookmarkStart w:id="5" w:name="_Toc30592989"/>
      <w:r w:rsidRPr="00B1054A">
        <w:t>Registration status</w:t>
      </w:r>
      <w:bookmarkEnd w:id="4"/>
      <w:bookmarkEnd w:id="5"/>
    </w:p>
    <w:p w:rsidR="00FD14BC" w:rsidRPr="00B1054A" w:rsidRDefault="00FD14BC" w:rsidP="00C81205">
      <w:pPr>
        <w:pStyle w:val="3-BodyText"/>
        <w:spacing w:after="0"/>
      </w:pPr>
      <w:r w:rsidRPr="00B1054A">
        <w:t>Dupilumab</w:t>
      </w:r>
      <w:r w:rsidR="005C25FF" w:rsidRPr="00B1054A">
        <w:t xml:space="preserve"> was TGA registered on </w:t>
      </w:r>
      <w:r w:rsidRPr="00B1054A">
        <w:t>24 January 2018</w:t>
      </w:r>
      <w:r w:rsidR="005C25FF" w:rsidRPr="00B1054A">
        <w:t xml:space="preserve"> for </w:t>
      </w:r>
      <w:r w:rsidRPr="00B1054A">
        <w:t>‘the treatment of moderate to severe atopic dermatitis in adult patients who are candidates for chronic systemic therapy’</w:t>
      </w:r>
      <w:r w:rsidR="005C25FF" w:rsidRPr="00B1054A">
        <w:t>.</w:t>
      </w:r>
      <w:r w:rsidRPr="00B1054A">
        <w:t xml:space="preserve"> The dupilumab product information (</w:t>
      </w:r>
      <w:r w:rsidR="00C81205" w:rsidRPr="00B1054A">
        <w:t xml:space="preserve">PI; </w:t>
      </w:r>
      <w:r w:rsidRPr="00B1054A">
        <w:t>revised on 25 October 2019)</w:t>
      </w:r>
      <w:r w:rsidR="005C25FF" w:rsidRPr="00B1054A">
        <w:t xml:space="preserve"> </w:t>
      </w:r>
      <w:r w:rsidRPr="00B1054A">
        <w:t>states that dupilumab is TGA indicated:</w:t>
      </w:r>
    </w:p>
    <w:p w:rsidR="00FD14BC" w:rsidRPr="00B1054A" w:rsidRDefault="009801E5" w:rsidP="009A4A1A">
      <w:pPr>
        <w:pStyle w:val="3-BodyText"/>
        <w:numPr>
          <w:ilvl w:val="0"/>
          <w:numId w:val="11"/>
        </w:numPr>
        <w:spacing w:after="0"/>
        <w:ind w:left="993" w:hanging="284"/>
      </w:pPr>
      <w:r w:rsidRPr="00B1054A">
        <w:t xml:space="preserve">for </w:t>
      </w:r>
      <w:r w:rsidR="00FD14BC" w:rsidRPr="00B1054A">
        <w:t xml:space="preserve">the treatment of moderate to severe atopic dermatitis in patients </w:t>
      </w:r>
      <w:r w:rsidR="00FD14BC" w:rsidRPr="00331890">
        <w:t>aged 12 years and older</w:t>
      </w:r>
      <w:r w:rsidR="00FD14BC" w:rsidRPr="00B1054A">
        <w:t xml:space="preserve"> who are candidat</w:t>
      </w:r>
      <w:r w:rsidR="00C81205" w:rsidRPr="00B1054A">
        <w:t>es for chronic systemic therapy</w:t>
      </w:r>
      <w:r w:rsidR="00FD14BC" w:rsidRPr="00B1054A">
        <w:t>;</w:t>
      </w:r>
    </w:p>
    <w:p w:rsidR="00FD14BC" w:rsidRPr="00B1054A" w:rsidRDefault="00C81205" w:rsidP="009A4A1A">
      <w:pPr>
        <w:pStyle w:val="3-BodyText"/>
        <w:numPr>
          <w:ilvl w:val="0"/>
          <w:numId w:val="11"/>
        </w:numPr>
        <w:spacing w:after="0"/>
        <w:ind w:left="993" w:hanging="284"/>
      </w:pPr>
      <w:r w:rsidRPr="00B1054A">
        <w:lastRenderedPageBreak/>
        <w:t>a</w:t>
      </w:r>
      <w:r w:rsidR="00FD14BC" w:rsidRPr="00B1054A">
        <w:t>s add on maintenance treatment in patients aged 12 years and older with moderate to severe asthma with type 2 inflammation (elevated eosinophils or elevated FeNO)</w:t>
      </w:r>
      <w:r w:rsidRPr="00B1054A">
        <w:t>; and</w:t>
      </w:r>
    </w:p>
    <w:p w:rsidR="00C81205" w:rsidRPr="00B1054A" w:rsidRDefault="00C81205" w:rsidP="009A4A1A">
      <w:pPr>
        <w:pStyle w:val="3-BodyText"/>
        <w:numPr>
          <w:ilvl w:val="0"/>
          <w:numId w:val="11"/>
        </w:numPr>
        <w:ind w:left="993" w:hanging="284"/>
      </w:pPr>
      <w:r w:rsidRPr="00B1054A">
        <w:t>as maintenance therapy for oral corticosteroid dependent asthma.</w:t>
      </w:r>
    </w:p>
    <w:p w:rsidR="00C81205" w:rsidRPr="00B1054A" w:rsidRDefault="00C81205" w:rsidP="002B74DA">
      <w:pPr>
        <w:pStyle w:val="3-BodyText"/>
        <w:spacing w:after="0"/>
      </w:pPr>
      <w:r w:rsidRPr="00B1054A">
        <w:t>Dosage in adult patients is two consecutive initial 300 mg doses followed by 300 mg given every other week (Q2W).</w:t>
      </w:r>
      <w:r w:rsidR="00FE3642">
        <w:t xml:space="preserve">  The PBAC noted f</w:t>
      </w:r>
      <w:r w:rsidR="00FE3642">
        <w:rPr>
          <w:sz w:val="23"/>
          <w:szCs w:val="23"/>
        </w:rPr>
        <w:t>or patients 12 to 17 years of age with atopic dermatitis, the recommended every other week dose is 200 mg (&lt;60 kg) or 300 mg (≥60 kg).</w:t>
      </w:r>
    </w:p>
    <w:p w:rsidR="005C25FF" w:rsidRPr="00B1054A" w:rsidRDefault="005C25FF" w:rsidP="004E18E9">
      <w:pPr>
        <w:pStyle w:val="4-SubsectionHeading"/>
      </w:pPr>
      <w:bookmarkStart w:id="6" w:name="_Toc22897639"/>
      <w:bookmarkStart w:id="7" w:name="_Toc30592990"/>
      <w:r w:rsidRPr="00B1054A">
        <w:t>Previous PBAC consideration</w:t>
      </w:r>
      <w:bookmarkEnd w:id="6"/>
      <w:bookmarkEnd w:id="7"/>
    </w:p>
    <w:p w:rsidR="002E4F02" w:rsidRPr="00B1054A" w:rsidRDefault="00C81205" w:rsidP="002E4F02">
      <w:pPr>
        <w:pStyle w:val="3-BodyText"/>
        <w:rPr>
          <w:snapToGrid/>
        </w:rPr>
      </w:pPr>
      <w:r w:rsidRPr="00B1054A">
        <w:rPr>
          <w:snapToGrid/>
        </w:rPr>
        <w:t xml:space="preserve">Dupilumab has </w:t>
      </w:r>
      <w:r w:rsidR="00BB19B1" w:rsidRPr="00B1054A">
        <w:rPr>
          <w:snapToGrid/>
        </w:rPr>
        <w:t xml:space="preserve">previously </w:t>
      </w:r>
      <w:r w:rsidRPr="00B1054A">
        <w:rPr>
          <w:snapToGrid/>
        </w:rPr>
        <w:t xml:space="preserve">been considered by the </w:t>
      </w:r>
      <w:r w:rsidR="00B1054A" w:rsidRPr="00B1054A">
        <w:rPr>
          <w:snapToGrid/>
        </w:rPr>
        <w:t>PBAC in</w:t>
      </w:r>
      <w:r w:rsidRPr="00B1054A">
        <w:rPr>
          <w:snapToGrid/>
        </w:rPr>
        <w:t xml:space="preserve"> July 2018 and July 2019.</w:t>
      </w:r>
      <w:r w:rsidR="00E336A5" w:rsidRPr="00B1054A">
        <w:rPr>
          <w:snapToGrid/>
        </w:rPr>
        <w:t xml:space="preserve"> A summary of the key matters for concern in the previous resubmission (July 2019) and how these have been address</w:t>
      </w:r>
      <w:r w:rsidR="00340C91" w:rsidRPr="00B1054A">
        <w:rPr>
          <w:snapToGrid/>
        </w:rPr>
        <w:t>ed</w:t>
      </w:r>
      <w:r w:rsidR="00E336A5" w:rsidRPr="00B1054A">
        <w:rPr>
          <w:snapToGrid/>
        </w:rPr>
        <w:t xml:space="preserve"> in the current resubmission is provided in Table 2.</w:t>
      </w:r>
    </w:p>
    <w:p w:rsidR="005C25FF" w:rsidRPr="00B1054A" w:rsidRDefault="00E336A5" w:rsidP="002E4F02">
      <w:pPr>
        <w:pStyle w:val="TableFigureHeading"/>
        <w:rPr>
          <w:rStyle w:val="CommentReference"/>
          <w:b/>
          <w:szCs w:val="24"/>
        </w:rPr>
      </w:pPr>
      <w:bookmarkStart w:id="8" w:name="_Ref27406321"/>
      <w:r w:rsidRPr="00B1054A">
        <w:rPr>
          <w:rStyle w:val="CommentReference"/>
          <w:b/>
          <w:szCs w:val="24"/>
        </w:rPr>
        <w:t xml:space="preserve">Table </w:t>
      </w:r>
      <w:r w:rsidR="00B20399" w:rsidRPr="00B1054A">
        <w:rPr>
          <w:rStyle w:val="CommentReference"/>
          <w:b/>
          <w:szCs w:val="24"/>
        </w:rPr>
        <w:t>2</w:t>
      </w:r>
      <w:bookmarkEnd w:id="8"/>
      <w:r w:rsidR="005C25FF" w:rsidRPr="00B1054A">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4151"/>
        <w:gridCol w:w="3028"/>
      </w:tblGrid>
      <w:tr w:rsidR="005C25FF" w:rsidRPr="00B1054A" w:rsidTr="00A73CC9">
        <w:trPr>
          <w:cantSplit/>
          <w:tblHeader/>
        </w:trPr>
        <w:tc>
          <w:tcPr>
            <w:tcW w:w="1019" w:type="pct"/>
            <w:vAlign w:val="center"/>
          </w:tcPr>
          <w:p w:rsidR="005C25FF" w:rsidRPr="00B1054A" w:rsidRDefault="005C25FF" w:rsidP="004E18E9">
            <w:pPr>
              <w:pStyle w:val="In-tableHeading"/>
              <w:rPr>
                <w:lang w:val="en-AU"/>
              </w:rPr>
            </w:pPr>
            <w:r w:rsidRPr="00B1054A">
              <w:rPr>
                <w:lang w:val="en-AU"/>
              </w:rPr>
              <w:t>Component</w:t>
            </w:r>
          </w:p>
        </w:tc>
        <w:tc>
          <w:tcPr>
            <w:tcW w:w="2302" w:type="pct"/>
            <w:vAlign w:val="center"/>
          </w:tcPr>
          <w:p w:rsidR="005C25FF" w:rsidRPr="00B1054A" w:rsidRDefault="005C25FF" w:rsidP="00A73CC9">
            <w:pPr>
              <w:pStyle w:val="In-tableHeading"/>
              <w:jc w:val="center"/>
              <w:rPr>
                <w:lang w:val="en-AU"/>
              </w:rPr>
            </w:pPr>
            <w:r w:rsidRPr="00B1054A">
              <w:rPr>
                <w:lang w:val="en-AU"/>
              </w:rPr>
              <w:t>Matter of concern</w:t>
            </w:r>
            <w:r w:rsidR="00A73CC9" w:rsidRPr="00B1054A">
              <w:rPr>
                <w:lang w:val="en-AU"/>
              </w:rPr>
              <w:t xml:space="preserve"> (July 2019 PSD)</w:t>
            </w:r>
          </w:p>
        </w:tc>
        <w:tc>
          <w:tcPr>
            <w:tcW w:w="1679" w:type="pct"/>
            <w:vAlign w:val="center"/>
          </w:tcPr>
          <w:p w:rsidR="005C25FF" w:rsidRPr="00B1054A" w:rsidRDefault="005C25FF" w:rsidP="00A73CC9">
            <w:pPr>
              <w:pStyle w:val="In-tableHeading"/>
              <w:jc w:val="center"/>
              <w:rPr>
                <w:lang w:val="en-AU"/>
              </w:rPr>
            </w:pPr>
            <w:r w:rsidRPr="00B1054A">
              <w:rPr>
                <w:lang w:val="en-AU"/>
              </w:rPr>
              <w:t>How the resubmission addresses it</w:t>
            </w:r>
          </w:p>
        </w:tc>
      </w:tr>
      <w:tr w:rsidR="005C25FF" w:rsidRPr="00B1054A" w:rsidTr="00A73CC9">
        <w:trPr>
          <w:cantSplit/>
        </w:trPr>
        <w:tc>
          <w:tcPr>
            <w:tcW w:w="1019" w:type="pct"/>
            <w:vAlign w:val="center"/>
          </w:tcPr>
          <w:p w:rsidR="005C25FF" w:rsidRPr="00B1054A" w:rsidRDefault="00A73CC9" w:rsidP="004E18E9">
            <w:pPr>
              <w:pStyle w:val="TableText0"/>
            </w:pPr>
            <w:r w:rsidRPr="00B1054A">
              <w:t>Initial eligibility criteria</w:t>
            </w:r>
          </w:p>
        </w:tc>
        <w:tc>
          <w:tcPr>
            <w:tcW w:w="2302" w:type="pct"/>
          </w:tcPr>
          <w:p w:rsidR="005C25FF" w:rsidRPr="00B1054A" w:rsidRDefault="00A73CC9" w:rsidP="00A73CC9">
            <w:pPr>
              <w:pStyle w:val="TableText0"/>
              <w:rPr>
                <w:rFonts w:eastAsia="Times New Roman" w:cs="Arial"/>
                <w:bCs w:val="0"/>
                <w:snapToGrid w:val="0"/>
                <w:szCs w:val="20"/>
              </w:rPr>
            </w:pPr>
            <w:r w:rsidRPr="00B1054A">
              <w:t>Initial assessment of disease severity should be based on both the PGA and EASI scores, consistent with the clinical trial inclusion criteria (Para 7.4)</w:t>
            </w:r>
          </w:p>
        </w:tc>
        <w:tc>
          <w:tcPr>
            <w:tcW w:w="1679" w:type="pct"/>
            <w:vAlign w:val="center"/>
          </w:tcPr>
          <w:p w:rsidR="005C25FF" w:rsidRPr="00B1054A" w:rsidRDefault="005C25FF" w:rsidP="00A73CC9">
            <w:pPr>
              <w:pStyle w:val="TableText0"/>
              <w:rPr>
                <w:rFonts w:eastAsia="Times New Roman" w:cs="Arial"/>
                <w:bCs w:val="0"/>
                <w:snapToGrid w:val="0"/>
                <w:szCs w:val="20"/>
              </w:rPr>
            </w:pPr>
            <w:r w:rsidRPr="00B1054A">
              <w:rPr>
                <w:rFonts w:eastAsia="Times New Roman" w:cs="Arial"/>
                <w:bCs w:val="0"/>
                <w:snapToGrid w:val="0"/>
                <w:szCs w:val="20"/>
              </w:rPr>
              <w:t>Addressed. Restriction amended to reflect PBAC comments.</w:t>
            </w:r>
          </w:p>
        </w:tc>
      </w:tr>
      <w:tr w:rsidR="005C25FF" w:rsidRPr="00B1054A" w:rsidTr="00A73CC9">
        <w:trPr>
          <w:cantSplit/>
        </w:trPr>
        <w:tc>
          <w:tcPr>
            <w:tcW w:w="1019" w:type="pct"/>
            <w:vAlign w:val="center"/>
          </w:tcPr>
          <w:p w:rsidR="005C25FF" w:rsidRPr="00B1054A" w:rsidRDefault="00A73CC9" w:rsidP="004E18E9">
            <w:pPr>
              <w:pStyle w:val="TableText0"/>
            </w:pPr>
            <w:r w:rsidRPr="00B1054A">
              <w:t>Response criteria for eligibility for continuation</w:t>
            </w:r>
          </w:p>
        </w:tc>
        <w:tc>
          <w:tcPr>
            <w:tcW w:w="2302" w:type="pct"/>
          </w:tcPr>
          <w:p w:rsidR="005C25FF" w:rsidRPr="00B1054A" w:rsidRDefault="00A73CC9" w:rsidP="00FC5D58">
            <w:pPr>
              <w:pStyle w:val="TableText0"/>
              <w:rPr>
                <w:rFonts w:eastAsia="Times New Roman" w:cs="Arial"/>
                <w:bCs w:val="0"/>
                <w:snapToGrid w:val="0"/>
                <w:szCs w:val="20"/>
              </w:rPr>
            </w:pPr>
            <w:r w:rsidRPr="00B1054A">
              <w:t>Both DLQI and EASI-75 were important measures of response and should be included in the response criteria (Para 7.4)</w:t>
            </w:r>
          </w:p>
        </w:tc>
        <w:tc>
          <w:tcPr>
            <w:tcW w:w="1679" w:type="pct"/>
          </w:tcPr>
          <w:p w:rsidR="005C25FF" w:rsidRPr="00B1054A" w:rsidRDefault="00A73CC9" w:rsidP="00A73CC9">
            <w:pPr>
              <w:pStyle w:val="TableText0"/>
              <w:rPr>
                <w:rFonts w:eastAsia="Times New Roman" w:cs="Arial"/>
                <w:bCs w:val="0"/>
                <w:snapToGrid w:val="0"/>
                <w:szCs w:val="20"/>
              </w:rPr>
            </w:pPr>
            <w:r w:rsidRPr="00B1054A">
              <w:rPr>
                <w:rFonts w:eastAsia="Times New Roman" w:cs="Arial"/>
                <w:bCs w:val="0"/>
                <w:snapToGrid w:val="0"/>
                <w:szCs w:val="20"/>
              </w:rPr>
              <w:t>Partially</w:t>
            </w:r>
            <w:r w:rsidR="005C25FF" w:rsidRPr="00B1054A">
              <w:rPr>
                <w:rFonts w:eastAsia="Times New Roman" w:cs="Arial"/>
                <w:bCs w:val="0"/>
                <w:snapToGrid w:val="0"/>
                <w:szCs w:val="20"/>
              </w:rPr>
              <w:t xml:space="preserve"> addressed. </w:t>
            </w:r>
            <w:r w:rsidRPr="00B1054A">
              <w:rPr>
                <w:rFonts w:eastAsia="Times New Roman" w:cs="Arial"/>
                <w:bCs w:val="0"/>
                <w:snapToGrid w:val="0"/>
                <w:szCs w:val="20"/>
              </w:rPr>
              <w:t>Response criteria is defined as EASI-50 (not EASI-75) and 4 point improvement in DLQI</w:t>
            </w:r>
          </w:p>
        </w:tc>
      </w:tr>
      <w:tr w:rsidR="00FC5D58" w:rsidRPr="00B1054A" w:rsidTr="00A73CC9">
        <w:trPr>
          <w:cantSplit/>
        </w:trPr>
        <w:tc>
          <w:tcPr>
            <w:tcW w:w="1019" w:type="pct"/>
            <w:vMerge w:val="restart"/>
            <w:vAlign w:val="center"/>
          </w:tcPr>
          <w:p w:rsidR="00FC5D58" w:rsidRPr="00B1054A" w:rsidRDefault="00FC5D58" w:rsidP="004E18E9">
            <w:pPr>
              <w:pStyle w:val="TableText0"/>
            </w:pPr>
            <w:r w:rsidRPr="00B1054A">
              <w:t>Economic model – key drivers</w:t>
            </w:r>
          </w:p>
        </w:tc>
        <w:tc>
          <w:tcPr>
            <w:tcW w:w="2302" w:type="pct"/>
          </w:tcPr>
          <w:p w:rsidR="00FC5D58" w:rsidRPr="00B1054A" w:rsidRDefault="00FC5D58" w:rsidP="00A73CC9">
            <w:pPr>
              <w:pStyle w:val="TableText0"/>
            </w:pPr>
            <w:r w:rsidRPr="00B1054A">
              <w:t>The frequency of hospitalisations (2.5/year) and emergency visits (3/year) did not appear plausible for patients with moderate to severe AD (Para 7.14)</w:t>
            </w:r>
          </w:p>
        </w:tc>
        <w:tc>
          <w:tcPr>
            <w:tcW w:w="1679" w:type="pct"/>
          </w:tcPr>
          <w:p w:rsidR="00FC5D58" w:rsidRPr="00B1054A" w:rsidRDefault="00FC5D58" w:rsidP="00A73CC9">
            <w:pPr>
              <w:pStyle w:val="TableText0"/>
              <w:rPr>
                <w:rFonts w:eastAsia="Times New Roman" w:cs="Arial"/>
                <w:bCs w:val="0"/>
                <w:snapToGrid w:val="0"/>
                <w:szCs w:val="20"/>
              </w:rPr>
            </w:pPr>
            <w:r w:rsidRPr="00B1054A">
              <w:rPr>
                <w:rFonts w:eastAsia="Times New Roman" w:cs="Arial"/>
                <w:bCs w:val="0"/>
                <w:snapToGrid w:val="0"/>
                <w:szCs w:val="20"/>
              </w:rPr>
              <w:t>Addressed. Resubmission provides evidence for resource use from new clinician survey (n=63)</w:t>
            </w:r>
          </w:p>
        </w:tc>
      </w:tr>
      <w:tr w:rsidR="00FC5D58" w:rsidRPr="00B1054A" w:rsidTr="00A73CC9">
        <w:trPr>
          <w:cantSplit/>
        </w:trPr>
        <w:tc>
          <w:tcPr>
            <w:tcW w:w="1019" w:type="pct"/>
            <w:vMerge/>
            <w:vAlign w:val="center"/>
          </w:tcPr>
          <w:p w:rsidR="00FC5D58" w:rsidRPr="00B1054A" w:rsidRDefault="00FC5D58" w:rsidP="004E18E9">
            <w:pPr>
              <w:pStyle w:val="TableText0"/>
            </w:pPr>
          </w:p>
        </w:tc>
        <w:tc>
          <w:tcPr>
            <w:tcW w:w="2302" w:type="pct"/>
          </w:tcPr>
          <w:p w:rsidR="00FC5D58" w:rsidRPr="00B1054A" w:rsidRDefault="00FC5D58" w:rsidP="004E18E9">
            <w:pPr>
              <w:pStyle w:val="TableText0"/>
            </w:pPr>
            <w:r w:rsidRPr="00B1054A">
              <w:t>Differential rates of maintenance of response applied in the treatment arms of the model were not reasonable (Para 7.15)</w:t>
            </w:r>
          </w:p>
        </w:tc>
        <w:tc>
          <w:tcPr>
            <w:tcW w:w="1679" w:type="pct"/>
          </w:tcPr>
          <w:p w:rsidR="00FC5D58" w:rsidRPr="00B1054A" w:rsidRDefault="00FC5D58" w:rsidP="00A73CC9">
            <w:pPr>
              <w:pStyle w:val="TableText0"/>
              <w:rPr>
                <w:rFonts w:eastAsia="Times New Roman" w:cs="Arial"/>
                <w:bCs w:val="0"/>
                <w:snapToGrid w:val="0"/>
                <w:szCs w:val="20"/>
              </w:rPr>
            </w:pPr>
            <w:r w:rsidRPr="00B1054A">
              <w:rPr>
                <w:rFonts w:eastAsia="Times New Roman" w:cs="Arial"/>
                <w:bCs w:val="0"/>
                <w:snapToGrid w:val="0"/>
                <w:szCs w:val="20"/>
              </w:rPr>
              <w:t>Not addressed. The sponsor disagrees with the PBAC and maintains differential maintenance of response</w:t>
            </w:r>
          </w:p>
        </w:tc>
      </w:tr>
      <w:tr w:rsidR="00FC5D58" w:rsidRPr="00B1054A" w:rsidTr="00FC5D58">
        <w:trPr>
          <w:cantSplit/>
        </w:trPr>
        <w:tc>
          <w:tcPr>
            <w:tcW w:w="1019" w:type="pct"/>
            <w:vMerge/>
            <w:vAlign w:val="center"/>
          </w:tcPr>
          <w:p w:rsidR="00FC5D58" w:rsidRPr="00B1054A" w:rsidRDefault="00FC5D58" w:rsidP="004E18E9">
            <w:pPr>
              <w:pStyle w:val="TableText0"/>
            </w:pPr>
          </w:p>
        </w:tc>
        <w:tc>
          <w:tcPr>
            <w:tcW w:w="2302" w:type="pct"/>
          </w:tcPr>
          <w:p w:rsidR="00FC5D58" w:rsidRPr="00B1054A" w:rsidRDefault="00FC5D58" w:rsidP="00FC5D58">
            <w:pPr>
              <w:pStyle w:val="TableText0"/>
            </w:pPr>
            <w:r w:rsidRPr="00B1054A">
              <w:t>The 10 year time horizon was not adequately justified and that the model time horizon should be no more than 5 years given the available evidence (Para 7.15, 7.16)</w:t>
            </w:r>
          </w:p>
        </w:tc>
        <w:tc>
          <w:tcPr>
            <w:tcW w:w="1679" w:type="pct"/>
            <w:vAlign w:val="center"/>
          </w:tcPr>
          <w:p w:rsidR="00FC5D58" w:rsidRPr="00B1054A" w:rsidRDefault="00FC5D58" w:rsidP="00FC5D58">
            <w:pPr>
              <w:pStyle w:val="TableText0"/>
              <w:rPr>
                <w:rFonts w:eastAsia="Times New Roman" w:cs="Arial"/>
                <w:bCs w:val="0"/>
                <w:snapToGrid w:val="0"/>
                <w:szCs w:val="20"/>
              </w:rPr>
            </w:pPr>
            <w:r w:rsidRPr="00B1054A">
              <w:rPr>
                <w:rFonts w:eastAsia="Times New Roman" w:cs="Arial"/>
                <w:bCs w:val="0"/>
                <w:snapToGrid w:val="0"/>
                <w:szCs w:val="20"/>
              </w:rPr>
              <w:t>Addressed. Model time horizon is 5 years.</w:t>
            </w:r>
          </w:p>
        </w:tc>
      </w:tr>
      <w:tr w:rsidR="00FC5D58" w:rsidRPr="00B1054A" w:rsidTr="00FC5D58">
        <w:trPr>
          <w:cantSplit/>
        </w:trPr>
        <w:tc>
          <w:tcPr>
            <w:tcW w:w="1019" w:type="pct"/>
            <w:vMerge w:val="restart"/>
            <w:vAlign w:val="center"/>
          </w:tcPr>
          <w:p w:rsidR="00FC5D58" w:rsidRPr="00B1054A" w:rsidRDefault="00FC5D58" w:rsidP="004E18E9">
            <w:pPr>
              <w:pStyle w:val="TableText0"/>
            </w:pPr>
            <w:r w:rsidRPr="00B1054A">
              <w:t>Financial estimates</w:t>
            </w:r>
          </w:p>
        </w:tc>
        <w:tc>
          <w:tcPr>
            <w:tcW w:w="2302" w:type="pct"/>
            <w:vAlign w:val="center"/>
          </w:tcPr>
          <w:p w:rsidR="00FC5D58" w:rsidRPr="00B1054A" w:rsidRDefault="00FC5D58" w:rsidP="002F7557">
            <w:pPr>
              <w:pStyle w:val="TableText0"/>
            </w:pPr>
            <w:r w:rsidRPr="00B1054A">
              <w:t>The financial cost was very high and remained uncertain; the estimated total cost over the first 6 years of listing increased…..to $</w:t>
            </w:r>
            <w:r w:rsidR="002F7557">
              <w:t xml:space="preserve">500 million to </w:t>
            </w:r>
            <w:r w:rsidR="00D04DCB">
              <w:t>&lt; </w:t>
            </w:r>
            <w:r w:rsidR="002F7557">
              <w:t xml:space="preserve">$600 </w:t>
            </w:r>
            <w:r w:rsidRPr="00B1054A">
              <w:t>million (Para 7.18)</w:t>
            </w:r>
          </w:p>
        </w:tc>
        <w:tc>
          <w:tcPr>
            <w:tcW w:w="1679" w:type="pct"/>
          </w:tcPr>
          <w:p w:rsidR="00FC5D58" w:rsidRPr="00B1054A" w:rsidRDefault="00FC5D58" w:rsidP="00A73CC9">
            <w:pPr>
              <w:pStyle w:val="TableText0"/>
              <w:rPr>
                <w:rFonts w:eastAsia="Times New Roman" w:cs="Arial"/>
                <w:bCs w:val="0"/>
                <w:snapToGrid w:val="0"/>
                <w:szCs w:val="20"/>
              </w:rPr>
            </w:pPr>
            <w:r w:rsidRPr="00B1054A">
              <w:rPr>
                <w:rFonts w:eastAsia="Times New Roman" w:cs="Arial"/>
                <w:bCs w:val="0"/>
                <w:snapToGrid w:val="0"/>
                <w:szCs w:val="20"/>
              </w:rPr>
              <w:t>Addressed. Updated financial estimates are provided for a narrower population (severe compared with moderate to severe AD)</w:t>
            </w:r>
          </w:p>
        </w:tc>
      </w:tr>
      <w:tr w:rsidR="00FC5D58" w:rsidRPr="00B1054A" w:rsidTr="00FC5D58">
        <w:trPr>
          <w:cantSplit/>
        </w:trPr>
        <w:tc>
          <w:tcPr>
            <w:tcW w:w="1019" w:type="pct"/>
            <w:vMerge/>
            <w:vAlign w:val="center"/>
          </w:tcPr>
          <w:p w:rsidR="00FC5D58" w:rsidRPr="00B1054A" w:rsidRDefault="00FC5D58" w:rsidP="004E18E9">
            <w:pPr>
              <w:pStyle w:val="TableText0"/>
            </w:pPr>
          </w:p>
        </w:tc>
        <w:tc>
          <w:tcPr>
            <w:tcW w:w="2302" w:type="pct"/>
          </w:tcPr>
          <w:p w:rsidR="00FC5D58" w:rsidRPr="00B1054A" w:rsidRDefault="00FC5D58" w:rsidP="004E18E9">
            <w:pPr>
              <w:pStyle w:val="TableText0"/>
            </w:pPr>
            <w:r w:rsidRPr="00B1054A">
              <w:t>An RSA would be necessary to manage uncertainty in patient estimates, likely treatment duration and the potential for use outside the proposed restriction (Para 7.19)</w:t>
            </w:r>
          </w:p>
        </w:tc>
        <w:tc>
          <w:tcPr>
            <w:tcW w:w="1679" w:type="pct"/>
            <w:vAlign w:val="center"/>
          </w:tcPr>
          <w:p w:rsidR="00FC5D58" w:rsidRPr="00B1054A" w:rsidRDefault="00FC5D58" w:rsidP="009B07AD">
            <w:pPr>
              <w:pStyle w:val="TableText0"/>
              <w:rPr>
                <w:rFonts w:eastAsia="Times New Roman" w:cs="Arial"/>
                <w:bCs w:val="0"/>
                <w:snapToGrid w:val="0"/>
                <w:szCs w:val="20"/>
              </w:rPr>
            </w:pPr>
            <w:r w:rsidRPr="00B1054A">
              <w:t>The sponsor is willing to negotiate a RSA to address any residual uncertainty</w:t>
            </w:r>
          </w:p>
        </w:tc>
      </w:tr>
    </w:tbl>
    <w:p w:rsidR="00E8706D" w:rsidRPr="00FE59C7" w:rsidRDefault="005C25FF" w:rsidP="00FE59C7">
      <w:pPr>
        <w:pStyle w:val="TableFigureFooter"/>
      </w:pPr>
      <w:r w:rsidRPr="00FE59C7">
        <w:t xml:space="preserve">Source: </w:t>
      </w:r>
      <w:r w:rsidR="00A73CC9" w:rsidRPr="00FE59C7">
        <w:t>Table 1.4, pp12-13 of the resubmission</w:t>
      </w:r>
    </w:p>
    <w:p w:rsidR="00E8706D" w:rsidRPr="00FE59C7" w:rsidRDefault="00E8706D" w:rsidP="00FE59C7">
      <w:pPr>
        <w:pStyle w:val="3-BodyText"/>
        <w:numPr>
          <w:ilvl w:val="0"/>
          <w:numId w:val="0"/>
        </w:numPr>
        <w:ind w:left="720" w:hanging="720"/>
        <w:rPr>
          <w:i/>
        </w:rPr>
      </w:pPr>
      <w:r w:rsidRPr="00FE59C7">
        <w:rPr>
          <w:i/>
        </w:rPr>
        <w:t>For more detail on PBAC’s view, see section 7 PBAC outcome.</w:t>
      </w:r>
    </w:p>
    <w:p w:rsidR="00272B8F" w:rsidRPr="00173EB7" w:rsidRDefault="00B50DB8" w:rsidP="00173EB7">
      <w:pPr>
        <w:pStyle w:val="2-SectionHeading"/>
      </w:pPr>
      <w:bookmarkStart w:id="9" w:name="_Toc30592991"/>
      <w:r w:rsidRPr="00B1054A">
        <w:lastRenderedPageBreak/>
        <w:t>Requested listing</w:t>
      </w:r>
      <w:bookmarkEnd w:id="9"/>
    </w:p>
    <w:tbl>
      <w:tblPr>
        <w:tblW w:w="4977" w:type="pct"/>
        <w:tblInd w:w="28" w:type="dxa"/>
        <w:tblCellMar>
          <w:left w:w="28" w:type="dxa"/>
          <w:right w:w="28" w:type="dxa"/>
        </w:tblCellMar>
        <w:tblLook w:val="0000" w:firstRow="0" w:lastRow="0" w:firstColumn="0" w:lastColumn="0" w:noHBand="0" w:noVBand="0"/>
      </w:tblPr>
      <w:tblGrid>
        <w:gridCol w:w="1815"/>
        <w:gridCol w:w="988"/>
        <w:gridCol w:w="994"/>
        <w:gridCol w:w="852"/>
        <w:gridCol w:w="1986"/>
        <w:gridCol w:w="1132"/>
        <w:gridCol w:w="1218"/>
      </w:tblGrid>
      <w:tr w:rsidR="003517F9" w:rsidRPr="00B1054A" w:rsidTr="00C774CB">
        <w:trPr>
          <w:cantSplit/>
          <w:trHeight w:val="463"/>
        </w:trPr>
        <w:tc>
          <w:tcPr>
            <w:tcW w:w="1560" w:type="pct"/>
            <w:gridSpan w:val="2"/>
            <w:tcBorders>
              <w:top w:val="single" w:sz="4" w:space="0" w:color="auto"/>
              <w:bottom w:val="single" w:sz="4" w:space="0" w:color="auto"/>
            </w:tcBorders>
            <w:vAlign w:val="center"/>
          </w:tcPr>
          <w:p w:rsidR="00617E12" w:rsidRPr="00B1054A" w:rsidRDefault="00617E12" w:rsidP="00617E12">
            <w:pPr>
              <w:keepNext/>
              <w:jc w:val="left"/>
              <w:rPr>
                <w:rFonts w:ascii="Arial Narrow" w:hAnsi="Arial Narrow"/>
                <w:b/>
                <w:sz w:val="20"/>
              </w:rPr>
            </w:pPr>
            <w:r w:rsidRPr="00B1054A">
              <w:rPr>
                <w:rFonts w:ascii="Arial Narrow" w:hAnsi="Arial Narrow"/>
                <w:b/>
                <w:sz w:val="20"/>
              </w:rPr>
              <w:t>Name, Restriction,</w:t>
            </w:r>
          </w:p>
          <w:p w:rsidR="00617E12" w:rsidRPr="00B1054A" w:rsidRDefault="00617E12" w:rsidP="00617E12">
            <w:pPr>
              <w:keepNext/>
              <w:jc w:val="left"/>
              <w:rPr>
                <w:rFonts w:ascii="Arial Narrow" w:hAnsi="Arial Narrow"/>
                <w:b/>
                <w:sz w:val="20"/>
              </w:rPr>
            </w:pPr>
            <w:r w:rsidRPr="00B1054A">
              <w:rPr>
                <w:rFonts w:ascii="Arial Narrow" w:hAnsi="Arial Narrow"/>
                <w:b/>
                <w:sz w:val="20"/>
              </w:rPr>
              <w:t>Manner of administration and form</w:t>
            </w:r>
          </w:p>
        </w:tc>
        <w:tc>
          <w:tcPr>
            <w:tcW w:w="553" w:type="pct"/>
            <w:tcBorders>
              <w:top w:val="single" w:sz="4" w:space="0" w:color="auto"/>
              <w:bottom w:val="single" w:sz="4" w:space="0" w:color="auto"/>
            </w:tcBorders>
            <w:vAlign w:val="center"/>
          </w:tcPr>
          <w:p w:rsidR="00617E12" w:rsidRPr="00B1054A" w:rsidRDefault="00617E12" w:rsidP="00617E12">
            <w:pPr>
              <w:keepNext/>
              <w:jc w:val="center"/>
              <w:rPr>
                <w:rFonts w:ascii="Arial Narrow" w:hAnsi="Arial Narrow"/>
                <w:b/>
                <w:sz w:val="20"/>
              </w:rPr>
            </w:pPr>
            <w:r w:rsidRPr="00B1054A">
              <w:rPr>
                <w:rFonts w:ascii="Arial Narrow" w:hAnsi="Arial Narrow"/>
                <w:b/>
                <w:sz w:val="20"/>
              </w:rPr>
              <w:t>Max.</w:t>
            </w:r>
          </w:p>
          <w:p w:rsidR="00617E12" w:rsidRPr="00B1054A" w:rsidRDefault="00617E12" w:rsidP="005C29AD">
            <w:pPr>
              <w:keepNext/>
              <w:jc w:val="center"/>
              <w:rPr>
                <w:rFonts w:ascii="Arial Narrow" w:hAnsi="Arial Narrow"/>
                <w:b/>
                <w:sz w:val="20"/>
              </w:rPr>
            </w:pPr>
            <w:r w:rsidRPr="00B1054A">
              <w:rPr>
                <w:rFonts w:ascii="Arial Narrow" w:hAnsi="Arial Narrow"/>
                <w:b/>
                <w:sz w:val="20"/>
              </w:rPr>
              <w:t>Qty</w:t>
            </w:r>
            <w:r w:rsidR="00591957" w:rsidRPr="00B1054A">
              <w:rPr>
                <w:rFonts w:ascii="Arial Narrow" w:hAnsi="Arial Narrow"/>
                <w:b/>
                <w:sz w:val="20"/>
              </w:rPr>
              <w:t xml:space="preserve"> </w:t>
            </w:r>
          </w:p>
        </w:tc>
        <w:tc>
          <w:tcPr>
            <w:tcW w:w="474" w:type="pct"/>
            <w:tcBorders>
              <w:top w:val="single" w:sz="4" w:space="0" w:color="auto"/>
              <w:bottom w:val="single" w:sz="4" w:space="0" w:color="auto"/>
            </w:tcBorders>
            <w:vAlign w:val="center"/>
          </w:tcPr>
          <w:p w:rsidR="00617E12" w:rsidRPr="00B1054A" w:rsidRDefault="00617E12" w:rsidP="00617E12">
            <w:pPr>
              <w:keepNext/>
              <w:jc w:val="center"/>
              <w:rPr>
                <w:rFonts w:ascii="Arial Narrow" w:hAnsi="Arial Narrow"/>
                <w:b/>
                <w:sz w:val="20"/>
              </w:rPr>
            </w:pPr>
            <w:r w:rsidRPr="00B1054A">
              <w:rPr>
                <w:rFonts w:ascii="Arial Narrow" w:hAnsi="Arial Narrow" w:cs="Times New Roman"/>
                <w:b/>
                <w:sz w:val="20"/>
              </w:rPr>
              <w:t>№</w:t>
            </w:r>
            <w:r w:rsidRPr="00B1054A">
              <w:rPr>
                <w:rFonts w:ascii="Arial Narrow" w:hAnsi="Arial Narrow"/>
                <w:b/>
                <w:sz w:val="20"/>
              </w:rPr>
              <w:t>.of</w:t>
            </w:r>
          </w:p>
          <w:p w:rsidR="00617E12" w:rsidRPr="00B1054A" w:rsidRDefault="00617E12" w:rsidP="00617E12">
            <w:pPr>
              <w:keepNext/>
              <w:jc w:val="center"/>
              <w:rPr>
                <w:rFonts w:ascii="Arial Narrow" w:hAnsi="Arial Narrow"/>
                <w:b/>
                <w:sz w:val="20"/>
              </w:rPr>
            </w:pPr>
            <w:r w:rsidRPr="00B1054A">
              <w:rPr>
                <w:rFonts w:ascii="Arial Narrow" w:hAnsi="Arial Narrow"/>
                <w:b/>
                <w:sz w:val="20"/>
              </w:rPr>
              <w:t>Rpts</w:t>
            </w:r>
          </w:p>
        </w:tc>
        <w:tc>
          <w:tcPr>
            <w:tcW w:w="1105" w:type="pct"/>
            <w:tcBorders>
              <w:top w:val="single" w:sz="4" w:space="0" w:color="auto"/>
              <w:bottom w:val="single" w:sz="4" w:space="0" w:color="auto"/>
            </w:tcBorders>
            <w:vAlign w:val="center"/>
          </w:tcPr>
          <w:p w:rsidR="00617E12" w:rsidRPr="00B1054A" w:rsidRDefault="00617E12" w:rsidP="005C29AD">
            <w:pPr>
              <w:keepNext/>
              <w:jc w:val="center"/>
              <w:rPr>
                <w:rFonts w:ascii="Arial Narrow" w:hAnsi="Arial Narrow"/>
                <w:b/>
                <w:sz w:val="20"/>
              </w:rPr>
            </w:pPr>
            <w:r w:rsidRPr="00B1054A">
              <w:rPr>
                <w:rFonts w:ascii="Arial Narrow" w:hAnsi="Arial Narrow"/>
                <w:b/>
                <w:sz w:val="20"/>
              </w:rPr>
              <w:t>Dispensed Price for Max. Qty</w:t>
            </w:r>
          </w:p>
        </w:tc>
        <w:tc>
          <w:tcPr>
            <w:tcW w:w="1308" w:type="pct"/>
            <w:gridSpan w:val="2"/>
            <w:tcBorders>
              <w:top w:val="single" w:sz="4" w:space="0" w:color="auto"/>
              <w:bottom w:val="single" w:sz="4" w:space="0" w:color="auto"/>
            </w:tcBorders>
            <w:vAlign w:val="center"/>
          </w:tcPr>
          <w:p w:rsidR="00617E12" w:rsidRPr="00B1054A" w:rsidRDefault="00617E12" w:rsidP="00617E12">
            <w:pPr>
              <w:keepNext/>
              <w:jc w:val="center"/>
              <w:rPr>
                <w:rFonts w:ascii="Arial Narrow" w:hAnsi="Arial Narrow"/>
                <w:b/>
                <w:sz w:val="20"/>
              </w:rPr>
            </w:pPr>
            <w:r w:rsidRPr="00B1054A">
              <w:rPr>
                <w:rFonts w:ascii="Arial Narrow" w:hAnsi="Arial Narrow"/>
                <w:b/>
                <w:sz w:val="20"/>
              </w:rPr>
              <w:t>Proprietary Name and Manufacturer</w:t>
            </w:r>
          </w:p>
        </w:tc>
      </w:tr>
      <w:tr w:rsidR="003517F9" w:rsidRPr="00B1054A" w:rsidTr="00C774CB">
        <w:trPr>
          <w:cantSplit/>
          <w:trHeight w:val="567"/>
        </w:trPr>
        <w:tc>
          <w:tcPr>
            <w:tcW w:w="1560" w:type="pct"/>
            <w:gridSpan w:val="2"/>
            <w:vAlign w:val="center"/>
          </w:tcPr>
          <w:p w:rsidR="005C29AD" w:rsidRPr="00B1054A" w:rsidRDefault="005C29AD" w:rsidP="005C29AD">
            <w:pPr>
              <w:pStyle w:val="TableHeading"/>
              <w:rPr>
                <w:b w:val="0"/>
              </w:rPr>
            </w:pPr>
            <w:r w:rsidRPr="00B1054A">
              <w:rPr>
                <w:b w:val="0"/>
              </w:rPr>
              <w:t xml:space="preserve">DUPILUMAB </w:t>
            </w:r>
          </w:p>
          <w:p w:rsidR="005C29AD" w:rsidRPr="00B1054A" w:rsidRDefault="005C29AD" w:rsidP="005C29AD">
            <w:pPr>
              <w:pStyle w:val="TableHeading"/>
              <w:rPr>
                <w:b w:val="0"/>
              </w:rPr>
            </w:pPr>
            <w:r w:rsidRPr="00B1054A">
              <w:rPr>
                <w:b w:val="0"/>
              </w:rPr>
              <w:t>Dupilumab 300mg/2mL</w:t>
            </w:r>
          </w:p>
          <w:p w:rsidR="00617E12" w:rsidRPr="00B1054A" w:rsidRDefault="005C29AD" w:rsidP="005C29AD">
            <w:pPr>
              <w:pStyle w:val="TableHeading"/>
            </w:pPr>
            <w:r w:rsidRPr="00B1054A">
              <w:rPr>
                <w:b w:val="0"/>
              </w:rPr>
              <w:t>2 x 2mL pre-filled syringe</w:t>
            </w:r>
          </w:p>
        </w:tc>
        <w:tc>
          <w:tcPr>
            <w:tcW w:w="553" w:type="pct"/>
            <w:vAlign w:val="center"/>
          </w:tcPr>
          <w:p w:rsidR="00617E12" w:rsidRPr="00B1054A" w:rsidRDefault="005C29AD" w:rsidP="00617E12">
            <w:pPr>
              <w:keepNext/>
              <w:jc w:val="center"/>
              <w:rPr>
                <w:rFonts w:ascii="Arial Narrow" w:hAnsi="Arial Narrow"/>
                <w:sz w:val="20"/>
              </w:rPr>
            </w:pPr>
            <w:r w:rsidRPr="00B1054A">
              <w:rPr>
                <w:rFonts w:ascii="Arial Narrow" w:hAnsi="Arial Narrow"/>
                <w:sz w:val="20"/>
              </w:rPr>
              <w:t>1</w:t>
            </w:r>
          </w:p>
        </w:tc>
        <w:tc>
          <w:tcPr>
            <w:tcW w:w="474" w:type="pct"/>
            <w:vAlign w:val="center"/>
          </w:tcPr>
          <w:p w:rsidR="00617E12" w:rsidRPr="00B1054A" w:rsidRDefault="005C29AD" w:rsidP="00617E12">
            <w:pPr>
              <w:keepNext/>
              <w:jc w:val="center"/>
              <w:rPr>
                <w:rFonts w:ascii="Arial Narrow" w:hAnsi="Arial Narrow"/>
                <w:sz w:val="20"/>
                <w:vertAlign w:val="superscript"/>
              </w:rPr>
            </w:pPr>
            <w:r w:rsidRPr="00B1054A">
              <w:rPr>
                <w:rFonts w:ascii="Arial Narrow" w:hAnsi="Arial Narrow"/>
                <w:sz w:val="20"/>
              </w:rPr>
              <w:t xml:space="preserve">4 </w:t>
            </w:r>
            <w:r w:rsidRPr="00B1054A">
              <w:rPr>
                <w:rFonts w:ascii="Arial Narrow" w:hAnsi="Arial Narrow"/>
                <w:sz w:val="20"/>
                <w:vertAlign w:val="superscript"/>
              </w:rPr>
              <w:t>a</w:t>
            </w:r>
          </w:p>
          <w:p w:rsidR="005C29AD" w:rsidRPr="00B1054A" w:rsidRDefault="005C29AD" w:rsidP="00617E12">
            <w:pPr>
              <w:keepNext/>
              <w:jc w:val="center"/>
              <w:rPr>
                <w:rFonts w:ascii="Arial Narrow" w:hAnsi="Arial Narrow"/>
                <w:sz w:val="20"/>
                <w:vertAlign w:val="superscript"/>
              </w:rPr>
            </w:pPr>
            <w:r w:rsidRPr="00B1054A">
              <w:rPr>
                <w:rFonts w:ascii="Arial Narrow" w:hAnsi="Arial Narrow"/>
                <w:sz w:val="20"/>
              </w:rPr>
              <w:t>2</w:t>
            </w:r>
            <w:r w:rsidR="009F6014" w:rsidRPr="00B1054A">
              <w:rPr>
                <w:rFonts w:ascii="Arial Narrow" w:hAnsi="Arial Narrow"/>
                <w:sz w:val="20"/>
              </w:rPr>
              <w:t xml:space="preserve"> </w:t>
            </w:r>
            <w:r w:rsidR="009F6014" w:rsidRPr="00B1054A">
              <w:rPr>
                <w:rFonts w:ascii="Arial Narrow" w:hAnsi="Arial Narrow"/>
                <w:sz w:val="20"/>
                <w:vertAlign w:val="superscript"/>
              </w:rPr>
              <w:t>b</w:t>
            </w:r>
          </w:p>
          <w:p w:rsidR="005C29AD" w:rsidRPr="00B1054A" w:rsidRDefault="005C29AD" w:rsidP="00617E12">
            <w:pPr>
              <w:keepNext/>
              <w:jc w:val="center"/>
              <w:rPr>
                <w:rFonts w:ascii="Arial Narrow" w:hAnsi="Arial Narrow"/>
                <w:sz w:val="20"/>
                <w:vertAlign w:val="superscript"/>
              </w:rPr>
            </w:pPr>
            <w:r w:rsidRPr="00B1054A">
              <w:rPr>
                <w:rFonts w:ascii="Arial Narrow" w:hAnsi="Arial Narrow"/>
                <w:sz w:val="20"/>
              </w:rPr>
              <w:t xml:space="preserve">5 </w:t>
            </w:r>
            <w:r w:rsidR="009F6014" w:rsidRPr="00B1054A">
              <w:rPr>
                <w:rFonts w:ascii="Arial Narrow" w:hAnsi="Arial Narrow"/>
                <w:sz w:val="20"/>
                <w:vertAlign w:val="superscript"/>
              </w:rPr>
              <w:t>c</w:t>
            </w:r>
          </w:p>
        </w:tc>
        <w:tc>
          <w:tcPr>
            <w:tcW w:w="1105" w:type="pct"/>
            <w:vAlign w:val="center"/>
          </w:tcPr>
          <w:p w:rsidR="00617E12" w:rsidRPr="00B1054A" w:rsidRDefault="00617E12" w:rsidP="009F6014">
            <w:pPr>
              <w:keepNext/>
              <w:jc w:val="center"/>
              <w:rPr>
                <w:rFonts w:ascii="Arial Narrow" w:hAnsi="Arial Narrow"/>
                <w:sz w:val="20"/>
              </w:rPr>
            </w:pPr>
            <w:r w:rsidRPr="00B1054A">
              <w:rPr>
                <w:rFonts w:ascii="Arial Narrow" w:hAnsi="Arial Narrow"/>
                <w:sz w:val="20"/>
              </w:rPr>
              <w:t>$</w:t>
            </w:r>
            <w:r w:rsidR="009F6014" w:rsidRPr="00B1054A">
              <w:rPr>
                <w:rFonts w:ascii="Arial Narrow" w:hAnsi="Arial Narrow"/>
                <w:sz w:val="20"/>
              </w:rPr>
              <w:t>1,743.77 (published)</w:t>
            </w:r>
          </w:p>
          <w:p w:rsidR="009F6014" w:rsidRPr="00B1054A" w:rsidRDefault="009F6014" w:rsidP="009F6014">
            <w:pPr>
              <w:keepNext/>
              <w:jc w:val="center"/>
              <w:rPr>
                <w:rFonts w:ascii="Arial Narrow" w:hAnsi="Arial Narrow"/>
                <w:sz w:val="20"/>
              </w:rPr>
            </w:pPr>
            <w:r w:rsidRPr="00B1054A">
              <w:rPr>
                <w:rFonts w:ascii="Arial Narrow" w:hAnsi="Arial Narrow"/>
                <w:sz w:val="20"/>
              </w:rPr>
              <w:t>$</w:t>
            </w:r>
            <w:r w:rsidR="00BB6CB6">
              <w:rPr>
                <w:rFonts w:ascii="Arial Narrow" w:hAnsi="Arial Narrow"/>
                <w:noProof/>
                <w:color w:val="000000"/>
                <w:sz w:val="20"/>
                <w:highlight w:val="black"/>
              </w:rPr>
              <w:t>''''''''''''''''''''</w:t>
            </w:r>
            <w:r w:rsidRPr="00B1054A">
              <w:rPr>
                <w:rFonts w:ascii="Arial Narrow" w:hAnsi="Arial Narrow"/>
                <w:sz w:val="20"/>
              </w:rPr>
              <w:t xml:space="preserve"> (effective)</w:t>
            </w:r>
          </w:p>
        </w:tc>
        <w:tc>
          <w:tcPr>
            <w:tcW w:w="630" w:type="pct"/>
            <w:vAlign w:val="center"/>
          </w:tcPr>
          <w:p w:rsidR="00617E12" w:rsidRPr="00B1054A" w:rsidRDefault="00C774CB" w:rsidP="00C774CB">
            <w:pPr>
              <w:keepNext/>
              <w:jc w:val="center"/>
              <w:rPr>
                <w:rFonts w:ascii="Arial Narrow" w:hAnsi="Arial Narrow"/>
                <w:sz w:val="20"/>
              </w:rPr>
            </w:pPr>
            <w:r w:rsidRPr="00B1054A">
              <w:rPr>
                <w:rFonts w:ascii="Arial Narrow" w:hAnsi="Arial Narrow"/>
                <w:sz w:val="20"/>
              </w:rPr>
              <w:t>Dupixent®</w:t>
            </w:r>
          </w:p>
        </w:tc>
        <w:tc>
          <w:tcPr>
            <w:tcW w:w="678" w:type="pct"/>
            <w:vAlign w:val="center"/>
          </w:tcPr>
          <w:p w:rsidR="00591957" w:rsidRPr="00B1054A" w:rsidRDefault="001B21D2" w:rsidP="00EC0DD9">
            <w:pPr>
              <w:keepNext/>
              <w:jc w:val="center"/>
              <w:rPr>
                <w:rFonts w:ascii="Arial Narrow" w:hAnsi="Arial Narrow"/>
                <w:sz w:val="20"/>
              </w:rPr>
            </w:pPr>
            <w:r w:rsidRPr="00B1054A">
              <w:rPr>
                <w:rFonts w:ascii="Arial Narrow" w:hAnsi="Arial Narrow"/>
                <w:sz w:val="20"/>
              </w:rPr>
              <w:t>Sanofi-A</w:t>
            </w:r>
            <w:r w:rsidR="00C774CB" w:rsidRPr="00B1054A">
              <w:rPr>
                <w:rFonts w:ascii="Arial Narrow" w:hAnsi="Arial Narrow"/>
                <w:sz w:val="20"/>
              </w:rPr>
              <w:t>ventis</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91957" w:rsidP="00591957">
            <w:pPr>
              <w:pStyle w:val="Tabletext"/>
            </w:pPr>
            <w:r w:rsidRPr="00B1054A">
              <w:t>Category/Program:</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591957" w:rsidP="005C29AD">
            <w:pPr>
              <w:pStyle w:val="Tabletext"/>
            </w:pPr>
            <w:r w:rsidRPr="00B1054A">
              <w:t>General Schedule</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91957" w:rsidP="00591957">
            <w:pPr>
              <w:pStyle w:val="Tabletext"/>
            </w:pPr>
            <w:r w:rsidRPr="00B1054A">
              <w:t>PBS indication:</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C774CB" w:rsidP="00C774CB">
            <w:pPr>
              <w:pStyle w:val="Tabletext"/>
            </w:pPr>
            <w:r w:rsidRPr="00B1054A">
              <w:t xml:space="preserve">Chronic severe atopic dermatitis </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91957" w:rsidP="00591957">
            <w:pPr>
              <w:pStyle w:val="Tabletext"/>
            </w:pPr>
            <w:r w:rsidRPr="00B1054A">
              <w:t>Treatment phase:</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C774CB" w:rsidP="00591957">
            <w:pPr>
              <w:pStyle w:val="Tabletext"/>
            </w:pPr>
            <w:r w:rsidRPr="00B1054A">
              <w:t>Initial, Continuing and Grandfather</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42C2D" w:rsidP="00591957">
            <w:pPr>
              <w:pStyle w:val="Tabletext"/>
            </w:pPr>
            <w:r w:rsidRPr="00B1054A">
              <w:t>Restriction</w:t>
            </w:r>
            <w:r w:rsidR="00591957" w:rsidRPr="00B1054A">
              <w:t>:</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C774CB" w:rsidP="00591957">
            <w:pPr>
              <w:pStyle w:val="Tabletext"/>
            </w:pPr>
            <w:r w:rsidRPr="00B1054A">
              <w:t>Authority Required – In writing</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42C2D" w:rsidP="00591957">
            <w:pPr>
              <w:pStyle w:val="Tabletext"/>
            </w:pPr>
            <w:r w:rsidRPr="00B1054A">
              <w:t>Treatment criteria</w:t>
            </w:r>
            <w:r w:rsidR="00591957" w:rsidRPr="00B1054A">
              <w:t>:</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C774CB" w:rsidP="00591957">
            <w:pPr>
              <w:pStyle w:val="Tabletext"/>
            </w:pPr>
            <w:r w:rsidRPr="00B1054A">
              <w:t>Must be treated by a dermatologist or clinical immunologist</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42C2D" w:rsidP="00591957">
            <w:pPr>
              <w:pStyle w:val="Tabletext"/>
            </w:pPr>
            <w:r w:rsidRPr="00B1054A">
              <w:t>Clinical criteria</w:t>
            </w:r>
            <w:r w:rsidR="00591957" w:rsidRPr="00B1054A">
              <w:t>:</w:t>
            </w:r>
          </w:p>
        </w:tc>
        <w:tc>
          <w:tcPr>
            <w:tcW w:w="3990" w:type="pct"/>
            <w:gridSpan w:val="6"/>
            <w:tcBorders>
              <w:top w:val="single" w:sz="4" w:space="0" w:color="auto"/>
              <w:left w:val="single" w:sz="4" w:space="0" w:color="auto"/>
              <w:bottom w:val="single" w:sz="4" w:space="0" w:color="auto"/>
              <w:right w:val="single" w:sz="4" w:space="0" w:color="auto"/>
            </w:tcBorders>
          </w:tcPr>
          <w:p w:rsidR="00542C2D" w:rsidRPr="00B1054A" w:rsidRDefault="00C774CB" w:rsidP="00591957">
            <w:pPr>
              <w:pStyle w:val="Tabletext"/>
              <w:rPr>
                <w:b/>
                <w:u w:val="single"/>
              </w:rPr>
            </w:pPr>
            <w:r w:rsidRPr="00B1054A">
              <w:rPr>
                <w:b/>
                <w:u w:val="single"/>
              </w:rPr>
              <w:t>Whole body</w:t>
            </w:r>
          </w:p>
          <w:p w:rsidR="00C774CB" w:rsidRPr="00B1054A" w:rsidRDefault="00C774CB" w:rsidP="00C774CB">
            <w:pPr>
              <w:jc w:val="left"/>
              <w:rPr>
                <w:rFonts w:ascii="Arial Narrow" w:hAnsi="Arial Narrow" w:cs="Times New Roman"/>
                <w:sz w:val="20"/>
                <w:szCs w:val="20"/>
              </w:rPr>
            </w:pPr>
            <w:r w:rsidRPr="00B1054A">
              <w:rPr>
                <w:rFonts w:ascii="Arial Narrow" w:hAnsi="Arial Narrow" w:cs="Times New Roman"/>
                <w:sz w:val="20"/>
                <w:szCs w:val="20"/>
                <w:u w:val="single"/>
              </w:rPr>
              <w:t>Initial</w:t>
            </w:r>
            <w:r w:rsidRPr="00B1054A">
              <w:rPr>
                <w:rFonts w:ascii="Arial Narrow" w:hAnsi="Arial Narrow" w:cs="Times New Roman"/>
                <w:sz w:val="20"/>
                <w:szCs w:val="20"/>
              </w:rPr>
              <w:t>: Patient must have severe atopic dermatitis with a PGA score of 4 and an EASI score ≥20; and must have failed to achieve an adequate response to topical therapies (topical corticosteroids and/or topical calcineurin inhibitors)</w:t>
            </w:r>
          </w:p>
          <w:p w:rsidR="00C774CB" w:rsidRPr="00B1054A" w:rsidRDefault="00C774CB" w:rsidP="00C774CB">
            <w:pPr>
              <w:contextualSpacing/>
              <w:jc w:val="left"/>
              <w:rPr>
                <w:rFonts w:ascii="Arial Narrow" w:eastAsia="Calibri" w:hAnsi="Arial Narrow" w:cs="Times New Roman"/>
                <w:b/>
                <w:sz w:val="20"/>
                <w:szCs w:val="20"/>
              </w:rPr>
            </w:pPr>
            <w:r w:rsidRPr="00B1054A">
              <w:rPr>
                <w:rFonts w:ascii="Arial Narrow" w:hAnsi="Arial Narrow" w:cs="Times New Roman"/>
                <w:sz w:val="20"/>
                <w:szCs w:val="20"/>
                <w:u w:val="single"/>
              </w:rPr>
              <w:t>Continuing</w:t>
            </w:r>
            <w:r w:rsidRPr="00B1054A">
              <w:rPr>
                <w:rFonts w:ascii="Arial Narrow" w:hAnsi="Arial Narrow" w:cs="Times New Roman"/>
                <w:sz w:val="20"/>
                <w:szCs w:val="20"/>
              </w:rPr>
              <w:t xml:space="preserve">: </w:t>
            </w:r>
            <w:r w:rsidRPr="00B1054A">
              <w:rPr>
                <w:rFonts w:ascii="Arial Narrow" w:eastAsia="Calibri" w:hAnsi="Arial Narrow" w:cs="Times New Roman"/>
                <w:sz w:val="20"/>
                <w:szCs w:val="20"/>
              </w:rPr>
              <w:t>An improvement in Dermatology Life Index (DLQI) score of at least 4 points, or sustained at that level, when compared to the prebiologic treatment baseline value for this treatment cycle; AND An improvement in the Eczema Area and Severity Index (EASI) score of at least 50%, or sustained at that level, when compared to the prebiologic treatment baseline value for this treatment cycle</w:t>
            </w:r>
            <w:r w:rsidRPr="00B1054A">
              <w:rPr>
                <w:rFonts w:ascii="Arial Narrow" w:eastAsia="Calibri" w:hAnsi="Arial Narrow" w:cs="Times New Roman"/>
                <w:b/>
                <w:sz w:val="20"/>
                <w:szCs w:val="20"/>
              </w:rPr>
              <w:t>.</w:t>
            </w:r>
          </w:p>
          <w:p w:rsidR="00C774CB" w:rsidRPr="00B1054A" w:rsidRDefault="00C774CB" w:rsidP="00C774CB">
            <w:pPr>
              <w:contextualSpacing/>
              <w:jc w:val="left"/>
              <w:rPr>
                <w:rFonts w:ascii="Arial Narrow" w:eastAsia="Calibri" w:hAnsi="Arial Narrow" w:cs="Times New Roman"/>
                <w:b/>
                <w:i/>
                <w:sz w:val="20"/>
                <w:szCs w:val="20"/>
                <w:u w:val="single"/>
              </w:rPr>
            </w:pPr>
            <w:r w:rsidRPr="00B1054A">
              <w:rPr>
                <w:rFonts w:ascii="Arial Narrow" w:eastAsia="Calibri" w:hAnsi="Arial Narrow" w:cs="Times New Roman"/>
                <w:b/>
                <w:sz w:val="20"/>
                <w:szCs w:val="20"/>
                <w:u w:val="single"/>
              </w:rPr>
              <w:t>Face, hand</w:t>
            </w:r>
          </w:p>
          <w:p w:rsidR="00C774CB" w:rsidRPr="00B1054A" w:rsidRDefault="001B21D2" w:rsidP="001B21D2">
            <w:pPr>
              <w:jc w:val="left"/>
              <w:rPr>
                <w:rFonts w:ascii="Arial Narrow" w:eastAsia="Calibri" w:hAnsi="Arial Narrow" w:cs="Times New Roman"/>
                <w:sz w:val="20"/>
                <w:szCs w:val="20"/>
              </w:rPr>
            </w:pPr>
            <w:r w:rsidRPr="00B1054A">
              <w:rPr>
                <w:rFonts w:ascii="Arial Narrow" w:hAnsi="Arial Narrow" w:cs="Times New Roman"/>
                <w:sz w:val="20"/>
                <w:szCs w:val="20"/>
                <w:u w:val="single"/>
              </w:rPr>
              <w:t>Initial</w:t>
            </w:r>
            <w:r w:rsidRPr="00B1054A">
              <w:rPr>
                <w:rFonts w:ascii="Arial Narrow" w:hAnsi="Arial Narrow" w:cs="Times New Roman"/>
                <w:sz w:val="20"/>
                <w:szCs w:val="20"/>
              </w:rPr>
              <w:t xml:space="preserve">: </w:t>
            </w:r>
            <w:r w:rsidRPr="00B1054A">
              <w:rPr>
                <w:rFonts w:ascii="Arial Narrow" w:eastAsia="Calibri" w:hAnsi="Arial Narrow" w:cs="Times New Roman"/>
                <w:sz w:val="20"/>
                <w:szCs w:val="20"/>
              </w:rPr>
              <w:t>Patient must have severe atopic dermatitis of the face</w:t>
            </w:r>
            <w:r w:rsidR="004647A7" w:rsidRPr="00B1054A">
              <w:rPr>
                <w:rFonts w:ascii="Arial Narrow" w:eastAsia="Calibri" w:hAnsi="Arial Narrow" w:cs="Times New Roman"/>
                <w:sz w:val="20"/>
                <w:szCs w:val="20"/>
              </w:rPr>
              <w:t xml:space="preserve"> or</w:t>
            </w:r>
            <w:r w:rsidRPr="00B1054A">
              <w:rPr>
                <w:rFonts w:ascii="Arial Narrow" w:eastAsia="Calibri" w:hAnsi="Arial Narrow" w:cs="Times New Roman"/>
                <w:sz w:val="20"/>
                <w:szCs w:val="20"/>
              </w:rPr>
              <w:t xml:space="preserve"> palm of hand and the treatment must be as systemic monotherapy (other than oral corticosteroids)</w:t>
            </w:r>
          </w:p>
          <w:p w:rsidR="001B21D2" w:rsidRPr="00B1054A" w:rsidRDefault="001B21D2" w:rsidP="001B21D2">
            <w:pPr>
              <w:contextualSpacing/>
              <w:jc w:val="left"/>
              <w:rPr>
                <w:rFonts w:ascii="Arial Narrow" w:eastAsia="Calibri" w:hAnsi="Arial Narrow" w:cs="Times New Roman"/>
                <w:sz w:val="20"/>
                <w:szCs w:val="20"/>
              </w:rPr>
            </w:pPr>
            <w:r w:rsidRPr="00B1054A">
              <w:rPr>
                <w:rFonts w:ascii="Arial Narrow" w:eastAsia="Calibri" w:hAnsi="Arial Narrow" w:cs="Times New Roman"/>
                <w:sz w:val="20"/>
                <w:szCs w:val="20"/>
                <w:u w:val="single"/>
              </w:rPr>
              <w:t>Continuing</w:t>
            </w:r>
            <w:r w:rsidRPr="00B1054A">
              <w:rPr>
                <w:rFonts w:ascii="Arial Narrow" w:eastAsia="Calibri" w:hAnsi="Arial Narrow" w:cs="Times New Roman"/>
                <w:sz w:val="20"/>
                <w:szCs w:val="20"/>
              </w:rPr>
              <w:t xml:space="preserve">: A reduction in the Eczema Area and Severity Index (EASI) of at least 3 of the 4 subscores for erythema, oedema/papulation, excoriation and lichenification to mild or better, or sustained at this level, as compared to the prebiologic baseline values; OR A reduction by 75% or more of the skin area affected, or sustained at this level, as compared to the prebiologic baseline value. </w:t>
            </w:r>
          </w:p>
        </w:tc>
      </w:tr>
      <w:tr w:rsidR="00591957"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tcPr>
          <w:p w:rsidR="00591957" w:rsidRPr="00B1054A" w:rsidRDefault="00591957" w:rsidP="00591957">
            <w:pPr>
              <w:pStyle w:val="Tabletext"/>
            </w:pPr>
            <w:r w:rsidRPr="00B1054A">
              <w:t>Population criteria:</w:t>
            </w:r>
          </w:p>
        </w:tc>
        <w:tc>
          <w:tcPr>
            <w:tcW w:w="3990" w:type="pct"/>
            <w:gridSpan w:val="6"/>
            <w:tcBorders>
              <w:top w:val="single" w:sz="4" w:space="0" w:color="auto"/>
              <w:left w:val="single" w:sz="4" w:space="0" w:color="auto"/>
              <w:bottom w:val="single" w:sz="4" w:space="0" w:color="auto"/>
              <w:right w:val="single" w:sz="4" w:space="0" w:color="auto"/>
            </w:tcBorders>
          </w:tcPr>
          <w:p w:rsidR="00591957" w:rsidRPr="00B1054A" w:rsidRDefault="001B21D2" w:rsidP="00591957">
            <w:pPr>
              <w:pStyle w:val="Tabletext"/>
              <w:rPr>
                <w:color w:val="000000"/>
              </w:rPr>
            </w:pPr>
            <w:r w:rsidRPr="00B1054A">
              <w:rPr>
                <w:rFonts w:eastAsia="Calibri"/>
                <w:szCs w:val="20"/>
              </w:rPr>
              <w:t>Patient must be 18 years of age or older</w:t>
            </w:r>
          </w:p>
        </w:tc>
      </w:tr>
      <w:tr w:rsidR="00542C2D" w:rsidRPr="00B1054A" w:rsidTr="001B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rsidR="00542C2D" w:rsidRPr="00B1054A" w:rsidRDefault="00591957" w:rsidP="00591957">
            <w:pPr>
              <w:pStyle w:val="Tabletext"/>
            </w:pPr>
            <w:r w:rsidRPr="00B1054A">
              <w:t>Prescriber criteria:</w:t>
            </w:r>
          </w:p>
        </w:tc>
        <w:tc>
          <w:tcPr>
            <w:tcW w:w="3990" w:type="pct"/>
            <w:gridSpan w:val="6"/>
            <w:tcBorders>
              <w:top w:val="single" w:sz="4" w:space="0" w:color="auto"/>
              <w:left w:val="single" w:sz="4" w:space="0" w:color="auto"/>
              <w:bottom w:val="single" w:sz="4" w:space="0" w:color="auto"/>
              <w:right w:val="single" w:sz="4" w:space="0" w:color="auto"/>
            </w:tcBorders>
          </w:tcPr>
          <w:p w:rsidR="001B21D2" w:rsidRPr="00B1054A" w:rsidRDefault="001B21D2" w:rsidP="001B21D2">
            <w:pPr>
              <w:rPr>
                <w:rFonts w:ascii="Arial Narrow" w:eastAsia="Calibri" w:hAnsi="Arial Narrow" w:cs="Times New Roman"/>
                <w:sz w:val="20"/>
                <w:szCs w:val="20"/>
              </w:rPr>
            </w:pPr>
            <w:r w:rsidRPr="00B1054A">
              <w:rPr>
                <w:rFonts w:ascii="Arial Narrow" w:eastAsia="Calibri" w:hAnsi="Arial Narrow" w:cs="Times New Roman"/>
                <w:sz w:val="20"/>
                <w:szCs w:val="20"/>
              </w:rPr>
              <w:t>Completed current Dermatology Life Quality Index (DLQI) calculation sheets including the date of assessment of the patient’s condition.</w:t>
            </w:r>
          </w:p>
          <w:p w:rsidR="00542C2D" w:rsidRPr="00B1054A" w:rsidRDefault="001B21D2" w:rsidP="001B21D2">
            <w:pPr>
              <w:pStyle w:val="Tabletext"/>
              <w:rPr>
                <w:color w:val="000000"/>
              </w:rPr>
            </w:pPr>
            <w:r w:rsidRPr="00B1054A">
              <w:rPr>
                <w:rFonts w:eastAsia="Calibri"/>
                <w:szCs w:val="20"/>
              </w:rPr>
              <w:t>Completed Eczema Area and Severity Index (EASI) calculation sheets including the date of assessment of the patient’s condition.</w:t>
            </w:r>
          </w:p>
        </w:tc>
      </w:tr>
    </w:tbl>
    <w:p w:rsidR="00B60939" w:rsidRPr="00B1054A" w:rsidRDefault="00C774CB" w:rsidP="00FE59C7">
      <w:pPr>
        <w:pStyle w:val="TableFigureFooter"/>
      </w:pPr>
      <w:r w:rsidRPr="00B1054A">
        <w:rPr>
          <w:vertAlign w:val="superscript"/>
        </w:rPr>
        <w:t>a</w:t>
      </w:r>
      <w:r w:rsidRPr="00B1054A">
        <w:tab/>
        <w:t>Initial, whole body and face and hand</w:t>
      </w:r>
    </w:p>
    <w:p w:rsidR="00C774CB" w:rsidRPr="00B1054A" w:rsidRDefault="00C774CB" w:rsidP="00FE59C7">
      <w:pPr>
        <w:pStyle w:val="TableFigureFooter"/>
      </w:pPr>
      <w:r w:rsidRPr="00B1054A">
        <w:rPr>
          <w:vertAlign w:val="superscript"/>
        </w:rPr>
        <w:t>b</w:t>
      </w:r>
      <w:r w:rsidRPr="00B1054A">
        <w:tab/>
        <w:t>Initial (balance of supply)</w:t>
      </w:r>
    </w:p>
    <w:p w:rsidR="00C774CB" w:rsidRPr="00FE59C7" w:rsidRDefault="00C774CB" w:rsidP="00FE59C7">
      <w:pPr>
        <w:pStyle w:val="TableFigureFooter"/>
      </w:pPr>
      <w:r w:rsidRPr="00B1054A">
        <w:rPr>
          <w:vertAlign w:val="superscript"/>
        </w:rPr>
        <w:t>c</w:t>
      </w:r>
      <w:r w:rsidRPr="00B1054A">
        <w:tab/>
        <w:t>Continuing</w:t>
      </w:r>
      <w:r w:rsidR="009D758C" w:rsidRPr="00B1054A">
        <w:t>:</w:t>
      </w:r>
      <w:r w:rsidRPr="00B1054A">
        <w:t xml:space="preserve"> whole body</w:t>
      </w:r>
      <w:r w:rsidR="009D758C" w:rsidRPr="00B1054A">
        <w:t>;</w:t>
      </w:r>
      <w:r w:rsidRPr="00B1054A">
        <w:t xml:space="preserve"> face and hand</w:t>
      </w:r>
      <w:r w:rsidR="009D758C" w:rsidRPr="00B1054A">
        <w:t xml:space="preserve"> </w:t>
      </w:r>
      <w:r w:rsidR="009D758C" w:rsidRPr="00B1054A">
        <w:rPr>
          <w:i/>
        </w:rPr>
        <w:t>and foot and genitals</w:t>
      </w:r>
      <w:r w:rsidR="009D758C" w:rsidRPr="00B1054A">
        <w:t>;</w:t>
      </w:r>
      <w:r w:rsidRPr="00B1054A">
        <w:t xml:space="preserve"> and grandfather</w:t>
      </w:r>
    </w:p>
    <w:p w:rsidR="001B21D2" w:rsidRPr="00B1054A" w:rsidRDefault="001B21D2" w:rsidP="004E18E9">
      <w:pPr>
        <w:pStyle w:val="3-BodyText"/>
      </w:pPr>
      <w:r w:rsidRPr="00B1054A">
        <w:t>The</w:t>
      </w:r>
      <w:r w:rsidR="00CA5080" w:rsidRPr="00B1054A">
        <w:t xml:space="preserve"> key differences with</w:t>
      </w:r>
      <w:r w:rsidRPr="00B1054A">
        <w:t xml:space="preserve"> the restriction</w:t>
      </w:r>
      <w:r w:rsidR="00A66CBD" w:rsidRPr="00B1054A">
        <w:t>s</w:t>
      </w:r>
      <w:r w:rsidRPr="00B1054A">
        <w:t xml:space="preserve"> </w:t>
      </w:r>
      <w:r w:rsidR="00CA5080" w:rsidRPr="00B1054A">
        <w:t xml:space="preserve">requested in the current resubmission, </w:t>
      </w:r>
      <w:r w:rsidRPr="00B1054A">
        <w:t>compared with the Ju</w:t>
      </w:r>
      <w:r w:rsidR="00A66CBD" w:rsidRPr="00B1054A">
        <w:t>ly 2018 an</w:t>
      </w:r>
      <w:r w:rsidRPr="00B1054A">
        <w:t xml:space="preserve">d July 2019 (re)submissions are summarised in </w:t>
      </w:r>
      <w:r w:rsidR="00A66CBD" w:rsidRPr="00B1054A">
        <w:t>Table 3.</w:t>
      </w:r>
    </w:p>
    <w:p w:rsidR="00633FEB" w:rsidRDefault="00633FEB">
      <w:pPr>
        <w:jc w:val="left"/>
        <w:rPr>
          <w:rStyle w:val="CommentReference"/>
          <w:rFonts w:eastAsiaTheme="majorEastAsia" w:cstheme="majorBidi"/>
          <w:bCs/>
          <w:szCs w:val="24"/>
        </w:rPr>
      </w:pPr>
      <w:bookmarkStart w:id="10" w:name="_Ref27408308"/>
      <w:r>
        <w:rPr>
          <w:rStyle w:val="CommentReference"/>
          <w:b w:val="0"/>
          <w:szCs w:val="24"/>
        </w:rPr>
        <w:br w:type="page"/>
      </w:r>
    </w:p>
    <w:p w:rsidR="00A66CBD" w:rsidRPr="00B1054A" w:rsidRDefault="00A66CBD" w:rsidP="002722EC">
      <w:pPr>
        <w:pStyle w:val="TableFigureHeading"/>
        <w:rPr>
          <w:rStyle w:val="CommentReference"/>
          <w:szCs w:val="24"/>
        </w:rPr>
      </w:pPr>
      <w:r w:rsidRPr="00B1054A">
        <w:rPr>
          <w:rStyle w:val="CommentReference"/>
          <w:b/>
          <w:szCs w:val="24"/>
        </w:rPr>
        <w:lastRenderedPageBreak/>
        <w:t xml:space="preserve">Table </w:t>
      </w:r>
      <w:r w:rsidR="00B20399" w:rsidRPr="00B1054A">
        <w:rPr>
          <w:rStyle w:val="CommentReference"/>
          <w:b/>
          <w:szCs w:val="24"/>
        </w:rPr>
        <w:t>3</w:t>
      </w:r>
      <w:bookmarkEnd w:id="10"/>
      <w:r w:rsidRPr="00B1054A">
        <w:rPr>
          <w:rStyle w:val="CommentReference"/>
          <w:b/>
          <w:szCs w:val="24"/>
        </w:rPr>
        <w:t>: Main differences to Section 1 between the three (re)submissions</w:t>
      </w:r>
    </w:p>
    <w:tbl>
      <w:tblPr>
        <w:tblStyle w:val="TableGrid"/>
        <w:tblW w:w="5000" w:type="pct"/>
        <w:tblCellMar>
          <w:left w:w="28" w:type="dxa"/>
          <w:right w:w="28" w:type="dxa"/>
        </w:tblCellMar>
        <w:tblLook w:val="04A0" w:firstRow="1" w:lastRow="0" w:firstColumn="1" w:lastColumn="0" w:noHBand="0" w:noVBand="1"/>
        <w:tblCaption w:val="Table 3: Main differences to Section 1 between the three (re)submissions"/>
      </w:tblPr>
      <w:tblGrid>
        <w:gridCol w:w="1040"/>
        <w:gridCol w:w="2659"/>
        <w:gridCol w:w="2659"/>
        <w:gridCol w:w="2659"/>
      </w:tblGrid>
      <w:tr w:rsidR="00A66CBD" w:rsidRPr="00B1054A" w:rsidTr="00A66CBD">
        <w:trPr>
          <w:tblHeader/>
        </w:trPr>
        <w:tc>
          <w:tcPr>
            <w:tcW w:w="1040" w:type="dxa"/>
          </w:tcPr>
          <w:p w:rsidR="00A66CBD" w:rsidRPr="00B1054A" w:rsidRDefault="00A66CBD" w:rsidP="002B74DA">
            <w:pPr>
              <w:pStyle w:val="Tabletext"/>
              <w:jc w:val="both"/>
              <w:rPr>
                <w:rFonts w:cs="Arial"/>
              </w:rPr>
            </w:pPr>
          </w:p>
        </w:tc>
        <w:tc>
          <w:tcPr>
            <w:tcW w:w="2659" w:type="dxa"/>
          </w:tcPr>
          <w:p w:rsidR="00A66CBD" w:rsidRPr="00B1054A" w:rsidRDefault="00A66CBD" w:rsidP="002B74DA">
            <w:pPr>
              <w:pStyle w:val="Tabletext"/>
              <w:jc w:val="center"/>
              <w:rPr>
                <w:rFonts w:cs="Arial"/>
                <w:b/>
              </w:rPr>
            </w:pPr>
            <w:r w:rsidRPr="00B1054A">
              <w:rPr>
                <w:rFonts w:cs="Arial"/>
                <w:b/>
              </w:rPr>
              <w:t xml:space="preserve">Original submission </w:t>
            </w:r>
          </w:p>
          <w:p w:rsidR="00A66CBD" w:rsidRPr="00B1054A" w:rsidRDefault="00A66CBD" w:rsidP="002B74DA">
            <w:pPr>
              <w:pStyle w:val="Tabletext"/>
              <w:jc w:val="center"/>
              <w:rPr>
                <w:rFonts w:cs="Arial"/>
                <w:b/>
              </w:rPr>
            </w:pPr>
            <w:r w:rsidRPr="00B1054A">
              <w:rPr>
                <w:rFonts w:cs="Arial"/>
                <w:b/>
              </w:rPr>
              <w:t>(July 2018)</w:t>
            </w:r>
          </w:p>
        </w:tc>
        <w:tc>
          <w:tcPr>
            <w:tcW w:w="2659" w:type="dxa"/>
            <w:vAlign w:val="center"/>
          </w:tcPr>
          <w:p w:rsidR="00A66CBD" w:rsidRPr="00B1054A" w:rsidRDefault="00A66CBD" w:rsidP="002B74DA">
            <w:pPr>
              <w:pStyle w:val="Tabletext"/>
              <w:jc w:val="center"/>
              <w:rPr>
                <w:rFonts w:cs="Arial"/>
                <w:b/>
              </w:rPr>
            </w:pPr>
            <w:r w:rsidRPr="00B1054A">
              <w:rPr>
                <w:rFonts w:cs="Arial"/>
                <w:b/>
              </w:rPr>
              <w:t xml:space="preserve">First resubmission </w:t>
            </w:r>
          </w:p>
          <w:p w:rsidR="00A66CBD" w:rsidRPr="00B1054A" w:rsidRDefault="00A66CBD" w:rsidP="002B74DA">
            <w:pPr>
              <w:pStyle w:val="Tabletext"/>
              <w:jc w:val="center"/>
              <w:rPr>
                <w:rFonts w:cs="Arial"/>
                <w:b/>
              </w:rPr>
            </w:pPr>
            <w:r w:rsidRPr="00B1054A">
              <w:rPr>
                <w:rFonts w:cs="Arial"/>
                <w:b/>
              </w:rPr>
              <w:t>(July 2019)</w:t>
            </w:r>
          </w:p>
        </w:tc>
        <w:tc>
          <w:tcPr>
            <w:tcW w:w="2659" w:type="dxa"/>
            <w:vAlign w:val="center"/>
          </w:tcPr>
          <w:p w:rsidR="00A66CBD" w:rsidRPr="00B1054A" w:rsidRDefault="00A66CBD" w:rsidP="002B74DA">
            <w:pPr>
              <w:pStyle w:val="Tabletext"/>
              <w:jc w:val="center"/>
              <w:rPr>
                <w:rFonts w:cs="Arial"/>
                <w:b/>
              </w:rPr>
            </w:pPr>
            <w:r w:rsidRPr="00B1054A">
              <w:rPr>
                <w:rFonts w:cs="Arial"/>
                <w:b/>
              </w:rPr>
              <w:t>Current resubmission</w:t>
            </w:r>
          </w:p>
          <w:p w:rsidR="00A66CBD" w:rsidRPr="00B1054A" w:rsidRDefault="00A66CBD" w:rsidP="002B74DA">
            <w:pPr>
              <w:pStyle w:val="Tabletext"/>
              <w:jc w:val="center"/>
              <w:rPr>
                <w:rFonts w:cs="Arial"/>
                <w:b/>
              </w:rPr>
            </w:pPr>
            <w:r w:rsidRPr="00B1054A">
              <w:rPr>
                <w:rFonts w:cs="Arial"/>
                <w:b/>
              </w:rPr>
              <w:t>(March 2020)</w:t>
            </w:r>
          </w:p>
        </w:tc>
      </w:tr>
      <w:tr w:rsidR="00A66CBD" w:rsidRPr="00B1054A" w:rsidTr="00A66CBD">
        <w:tc>
          <w:tcPr>
            <w:tcW w:w="1040" w:type="dxa"/>
          </w:tcPr>
          <w:p w:rsidR="00A66CBD" w:rsidRPr="00B1054A" w:rsidRDefault="00A66CBD" w:rsidP="002B74DA">
            <w:pPr>
              <w:pStyle w:val="Tabletext"/>
              <w:jc w:val="both"/>
              <w:rPr>
                <w:rFonts w:cs="Arial"/>
                <w:b/>
              </w:rPr>
            </w:pPr>
            <w:r w:rsidRPr="00B1054A">
              <w:rPr>
                <w:rFonts w:cs="Arial"/>
                <w:b/>
              </w:rPr>
              <w:t>Population</w:t>
            </w:r>
            <w:r w:rsidRPr="00B1054A">
              <w:rPr>
                <w:rFonts w:cs="Arial"/>
                <w:b/>
                <w:vertAlign w:val="superscript"/>
              </w:rPr>
              <w:t>1</w:t>
            </w:r>
          </w:p>
        </w:tc>
        <w:tc>
          <w:tcPr>
            <w:tcW w:w="2659" w:type="dxa"/>
          </w:tcPr>
          <w:p w:rsidR="00A66CBD" w:rsidRPr="00B1054A" w:rsidRDefault="00A66CBD" w:rsidP="00134905">
            <w:pPr>
              <w:pStyle w:val="Tabletext"/>
              <w:rPr>
                <w:rFonts w:cs="Arial"/>
              </w:rPr>
            </w:pPr>
            <w:r w:rsidRPr="00B1054A">
              <w:rPr>
                <w:rFonts w:cs="Arial"/>
              </w:rPr>
              <w:t>Adults with severe AD (defined as an Investigator’s Global Assessment [IGA] score of 4) who have had an inadequate response or intolerance to cyclosporin A (CsA), or for whom CsA is contra-indicated.</w:t>
            </w:r>
          </w:p>
        </w:tc>
        <w:tc>
          <w:tcPr>
            <w:tcW w:w="2659" w:type="dxa"/>
          </w:tcPr>
          <w:p w:rsidR="00A66CBD" w:rsidRPr="00B1054A" w:rsidRDefault="00A66CBD" w:rsidP="002B74DA">
            <w:pPr>
              <w:pStyle w:val="Tabletext"/>
              <w:rPr>
                <w:rFonts w:cs="Arial"/>
              </w:rPr>
            </w:pPr>
            <w:r w:rsidRPr="00B1054A">
              <w:rPr>
                <w:rFonts w:cs="Arial"/>
              </w:rPr>
              <w:t>Moderate</w:t>
            </w:r>
            <w:r w:rsidR="00134905" w:rsidRPr="00B1054A">
              <w:rPr>
                <w:rFonts w:cs="Arial"/>
              </w:rPr>
              <w:t xml:space="preserve"> </w:t>
            </w:r>
            <w:r w:rsidRPr="00B1054A">
              <w:rPr>
                <w:rFonts w:cs="Arial"/>
              </w:rPr>
              <w:t>to</w:t>
            </w:r>
            <w:r w:rsidR="00134905" w:rsidRPr="00B1054A">
              <w:rPr>
                <w:rFonts w:cs="Arial"/>
              </w:rPr>
              <w:t xml:space="preserve"> </w:t>
            </w:r>
            <w:r w:rsidRPr="00B1054A">
              <w:rPr>
                <w:rFonts w:cs="Arial"/>
              </w:rPr>
              <w:t>severe atopic dermatitis AD (defined as Physician’s Global Assessment [PGA] score or 3 or 4) who have had an inadequate response to topical therapy (topical corticosteroids [TCS]/topical calcineurin inhibitor [TCI])</w:t>
            </w:r>
          </w:p>
        </w:tc>
        <w:tc>
          <w:tcPr>
            <w:tcW w:w="2659" w:type="dxa"/>
          </w:tcPr>
          <w:p w:rsidR="00A66CBD" w:rsidRPr="00B1054A" w:rsidRDefault="00A66CBD" w:rsidP="002B74DA">
            <w:pPr>
              <w:pStyle w:val="Tabletext"/>
              <w:rPr>
                <w:rFonts w:cs="Arial"/>
              </w:rPr>
            </w:pPr>
            <w:r w:rsidRPr="00B1054A">
              <w:rPr>
                <w:rFonts w:cs="Arial"/>
              </w:rPr>
              <w:t>Adults with severe AD (defined as a PGA of 4 AND an Eczema Area and Severity Index [EASI] of ≥20 ) who have had an inadequate response to topical therapies (TCS/TCI)</w:t>
            </w:r>
          </w:p>
        </w:tc>
      </w:tr>
      <w:tr w:rsidR="00A66CBD" w:rsidRPr="00B1054A" w:rsidTr="00A66CBD">
        <w:tc>
          <w:tcPr>
            <w:tcW w:w="1040" w:type="dxa"/>
          </w:tcPr>
          <w:p w:rsidR="00A66CBD" w:rsidRPr="00B1054A" w:rsidRDefault="00A66CBD" w:rsidP="00A66CBD">
            <w:pPr>
              <w:pStyle w:val="Tabletext"/>
              <w:rPr>
                <w:rFonts w:cs="Arial"/>
                <w:b/>
              </w:rPr>
            </w:pPr>
            <w:r w:rsidRPr="00B1054A">
              <w:rPr>
                <w:rFonts w:cs="Arial"/>
                <w:b/>
              </w:rPr>
              <w:t>Price</w:t>
            </w:r>
          </w:p>
        </w:tc>
        <w:tc>
          <w:tcPr>
            <w:tcW w:w="2659" w:type="dxa"/>
          </w:tcPr>
          <w:p w:rsidR="00A66CBD" w:rsidRPr="00B1054A" w:rsidRDefault="00A66CBD" w:rsidP="002B74DA">
            <w:pPr>
              <w:pStyle w:val="Tabletext"/>
              <w:rPr>
                <w:rFonts w:cs="Arial"/>
              </w:rPr>
            </w:pPr>
            <w:r w:rsidRPr="00B1054A">
              <w:rPr>
                <w:rFonts w:cs="Arial"/>
              </w:rPr>
              <w:t>Price: $</w:t>
            </w:r>
            <w:r w:rsidR="00BB6CB6">
              <w:rPr>
                <w:rFonts w:cs="Arial"/>
                <w:noProof/>
                <w:color w:val="000000"/>
                <w:highlight w:val="black"/>
              </w:rPr>
              <w:t>''''''''''''''''''''''</w:t>
            </w:r>
            <w:r w:rsidRPr="00B1054A">
              <w:rPr>
                <w:rFonts w:cs="Arial"/>
              </w:rPr>
              <w:t xml:space="preserve"> (effective); $1,615.39 (published)</w:t>
            </w:r>
          </w:p>
        </w:tc>
        <w:tc>
          <w:tcPr>
            <w:tcW w:w="2659" w:type="dxa"/>
          </w:tcPr>
          <w:p w:rsidR="00A66CBD" w:rsidRPr="00B1054A" w:rsidRDefault="00A66CBD" w:rsidP="002B74DA">
            <w:pPr>
              <w:pStyle w:val="Tabletext"/>
              <w:rPr>
                <w:rFonts w:cs="Arial"/>
              </w:rPr>
            </w:pPr>
            <w:r w:rsidRPr="00B1054A">
              <w:rPr>
                <w:rFonts w:cs="Arial"/>
              </w:rPr>
              <w:t>Price: $</w:t>
            </w:r>
            <w:r w:rsidR="00BB6CB6">
              <w:rPr>
                <w:rFonts w:cs="Arial"/>
                <w:noProof/>
                <w:color w:val="000000"/>
                <w:highlight w:val="black"/>
              </w:rPr>
              <w:t xml:space="preserve">'''''''''''''''''''''' </w:t>
            </w:r>
            <w:r w:rsidRPr="00B1054A">
              <w:rPr>
                <w:rFonts w:cs="Arial"/>
              </w:rPr>
              <w:t>(effective); $1,743.62 (published)</w:t>
            </w:r>
          </w:p>
        </w:tc>
        <w:tc>
          <w:tcPr>
            <w:tcW w:w="2659" w:type="dxa"/>
          </w:tcPr>
          <w:p w:rsidR="00A66CBD" w:rsidRPr="00B1054A" w:rsidRDefault="00A66CBD" w:rsidP="002B74DA">
            <w:pPr>
              <w:pStyle w:val="Tabletext"/>
              <w:rPr>
                <w:rFonts w:cs="Arial"/>
              </w:rPr>
            </w:pPr>
            <w:r w:rsidRPr="00B1054A">
              <w:rPr>
                <w:rFonts w:cs="Arial"/>
              </w:rPr>
              <w:t>Price: $</w:t>
            </w:r>
            <w:r w:rsidR="00BB6CB6">
              <w:rPr>
                <w:rFonts w:cs="Arial"/>
                <w:noProof/>
                <w:color w:val="000000"/>
                <w:highlight w:val="black"/>
              </w:rPr>
              <w:t xml:space="preserve">''''''''''''''''''''''' </w:t>
            </w:r>
            <w:r w:rsidRPr="00B1054A">
              <w:rPr>
                <w:rFonts w:cs="Arial"/>
              </w:rPr>
              <w:t xml:space="preserve">(effective); </w:t>
            </w:r>
          </w:p>
          <w:p w:rsidR="00A66CBD" w:rsidRPr="00B1054A" w:rsidRDefault="00A66CBD" w:rsidP="002B74DA">
            <w:pPr>
              <w:pStyle w:val="Tabletext"/>
              <w:rPr>
                <w:rFonts w:cs="Arial"/>
              </w:rPr>
            </w:pPr>
            <w:r w:rsidRPr="00B1054A">
              <w:rPr>
                <w:rFonts w:cs="Arial"/>
              </w:rPr>
              <w:t>$1,743.77 (published)</w:t>
            </w:r>
          </w:p>
        </w:tc>
      </w:tr>
      <w:tr w:rsidR="00A66CBD" w:rsidRPr="00B1054A" w:rsidTr="00A66CBD">
        <w:tc>
          <w:tcPr>
            <w:tcW w:w="1040" w:type="dxa"/>
            <w:vMerge w:val="restart"/>
          </w:tcPr>
          <w:p w:rsidR="00A66CBD" w:rsidRPr="00B1054A" w:rsidRDefault="00A66CBD" w:rsidP="002B74DA">
            <w:pPr>
              <w:pStyle w:val="Tabletext"/>
              <w:jc w:val="both"/>
              <w:rPr>
                <w:rFonts w:cs="Arial"/>
                <w:b/>
              </w:rPr>
            </w:pPr>
            <w:r w:rsidRPr="00B1054A">
              <w:rPr>
                <w:rFonts w:cs="Arial"/>
                <w:b/>
              </w:rPr>
              <w:t xml:space="preserve">Listings </w:t>
            </w:r>
          </w:p>
        </w:tc>
        <w:tc>
          <w:tcPr>
            <w:tcW w:w="5318" w:type="dxa"/>
            <w:gridSpan w:val="2"/>
          </w:tcPr>
          <w:p w:rsidR="00A66CBD" w:rsidRPr="00B1054A" w:rsidRDefault="00A66CBD" w:rsidP="002B74DA">
            <w:pPr>
              <w:pStyle w:val="Tabletext"/>
              <w:rPr>
                <w:rFonts w:cs="Arial"/>
              </w:rPr>
            </w:pPr>
            <w:r w:rsidRPr="00B1054A">
              <w:rPr>
                <w:rFonts w:cs="Arial"/>
              </w:rPr>
              <w:t>Initial and continuing restriction requested listings for all eligible patients</w:t>
            </w:r>
          </w:p>
        </w:tc>
        <w:tc>
          <w:tcPr>
            <w:tcW w:w="2659" w:type="dxa"/>
          </w:tcPr>
          <w:p w:rsidR="00A66CBD" w:rsidRPr="00B1054A" w:rsidRDefault="00A66CBD" w:rsidP="0063361F">
            <w:pPr>
              <w:pStyle w:val="Tabletext"/>
              <w:rPr>
                <w:rFonts w:cs="Arial"/>
              </w:rPr>
            </w:pPr>
            <w:r w:rsidRPr="00B1054A">
              <w:rPr>
                <w:rFonts w:cs="Arial"/>
              </w:rPr>
              <w:t xml:space="preserve">Initial and continuing restriction requested listings separate for whole body AD patients and for AD patients affected </w:t>
            </w:r>
            <w:r w:rsidR="0063361F" w:rsidRPr="00B1054A">
              <w:rPr>
                <w:rFonts w:cs="Arial"/>
              </w:rPr>
              <w:t xml:space="preserve">on the </w:t>
            </w:r>
            <w:r w:rsidRPr="00B1054A">
              <w:rPr>
                <w:rFonts w:cs="Arial"/>
              </w:rPr>
              <w:t>hand</w:t>
            </w:r>
            <w:r w:rsidR="0063361F" w:rsidRPr="00B1054A">
              <w:rPr>
                <w:rFonts w:cs="Arial"/>
              </w:rPr>
              <w:t>s or</w:t>
            </w:r>
            <w:r w:rsidRPr="00B1054A">
              <w:rPr>
                <w:rFonts w:cs="Arial"/>
              </w:rPr>
              <w:t xml:space="preserve"> face</w:t>
            </w:r>
          </w:p>
        </w:tc>
      </w:tr>
      <w:tr w:rsidR="00A66CBD" w:rsidRPr="00B1054A" w:rsidTr="00A66CBD">
        <w:tc>
          <w:tcPr>
            <w:tcW w:w="1040" w:type="dxa"/>
            <w:vMerge/>
          </w:tcPr>
          <w:p w:rsidR="00A66CBD" w:rsidRPr="00B1054A" w:rsidRDefault="00A66CBD" w:rsidP="002B74DA">
            <w:pPr>
              <w:pStyle w:val="Tabletext"/>
              <w:jc w:val="both"/>
              <w:rPr>
                <w:rFonts w:cs="Arial"/>
              </w:rPr>
            </w:pPr>
          </w:p>
        </w:tc>
        <w:tc>
          <w:tcPr>
            <w:tcW w:w="2659" w:type="dxa"/>
          </w:tcPr>
          <w:p w:rsidR="00A66CBD" w:rsidRPr="00B1054A" w:rsidRDefault="00A66CBD" w:rsidP="002B74DA">
            <w:pPr>
              <w:pStyle w:val="Tabletext"/>
              <w:rPr>
                <w:rFonts w:cs="Arial"/>
              </w:rPr>
            </w:pPr>
            <w:r w:rsidRPr="00B1054A">
              <w:rPr>
                <w:rFonts w:cs="Arial"/>
              </w:rPr>
              <w:t>Requested restrictions for patients who are returning to therapy after a break in treatment of less than 5 years</w:t>
            </w:r>
          </w:p>
        </w:tc>
        <w:tc>
          <w:tcPr>
            <w:tcW w:w="2659" w:type="dxa"/>
          </w:tcPr>
          <w:p w:rsidR="00A66CBD" w:rsidRPr="00B1054A" w:rsidRDefault="00A66CBD" w:rsidP="002B74DA">
            <w:pPr>
              <w:pStyle w:val="Tabletext"/>
              <w:rPr>
                <w:rFonts w:cs="Arial"/>
              </w:rPr>
            </w:pPr>
            <w:r w:rsidRPr="00B1054A">
              <w:rPr>
                <w:rFonts w:cs="Arial"/>
              </w:rPr>
              <w:t>No requested restrictions for patients who are returning to therapy after a break in treatment of less than 5 years</w:t>
            </w:r>
          </w:p>
        </w:tc>
        <w:tc>
          <w:tcPr>
            <w:tcW w:w="2659" w:type="dxa"/>
          </w:tcPr>
          <w:p w:rsidR="00A66CBD" w:rsidRPr="00B1054A" w:rsidRDefault="00A66CBD" w:rsidP="002B74DA">
            <w:pPr>
              <w:pStyle w:val="Tabletext"/>
              <w:rPr>
                <w:rFonts w:cs="Arial"/>
              </w:rPr>
            </w:pPr>
            <w:r w:rsidRPr="00B1054A">
              <w:rPr>
                <w:rFonts w:cs="Arial"/>
              </w:rPr>
              <w:t>Requested restrictions for patients who are returning to therapy after a break in treatment of less than 5 years</w:t>
            </w:r>
          </w:p>
        </w:tc>
      </w:tr>
      <w:tr w:rsidR="00A66CBD" w:rsidRPr="00B1054A" w:rsidTr="00A66CBD">
        <w:tc>
          <w:tcPr>
            <w:tcW w:w="1040" w:type="dxa"/>
          </w:tcPr>
          <w:p w:rsidR="00A66CBD" w:rsidRPr="00B1054A" w:rsidRDefault="00A66CBD" w:rsidP="002B74DA">
            <w:pPr>
              <w:pStyle w:val="Tabletext"/>
              <w:jc w:val="both"/>
              <w:rPr>
                <w:rFonts w:cs="Arial"/>
                <w:b/>
              </w:rPr>
            </w:pPr>
            <w:r w:rsidRPr="00B1054A">
              <w:rPr>
                <w:rFonts w:cs="Arial"/>
                <w:b/>
              </w:rPr>
              <w:t>Clinical criteria</w:t>
            </w:r>
          </w:p>
        </w:tc>
        <w:tc>
          <w:tcPr>
            <w:tcW w:w="2659" w:type="dxa"/>
          </w:tcPr>
          <w:p w:rsidR="00A66CBD" w:rsidRPr="00B1054A" w:rsidRDefault="00A66CBD" w:rsidP="002B74DA">
            <w:pPr>
              <w:pStyle w:val="Tabletext"/>
              <w:rPr>
                <w:rFonts w:cs="Arial"/>
              </w:rPr>
            </w:pPr>
            <w:r w:rsidRPr="00B1054A">
              <w:rPr>
                <w:rFonts w:cs="Arial"/>
              </w:rPr>
              <w:t xml:space="preserve">Initial restriction criteria: IGA=4 </w:t>
            </w:r>
            <w:r w:rsidRPr="00B1054A">
              <w:rPr>
                <w:rFonts w:cs="Arial"/>
                <w:vertAlign w:val="superscript"/>
              </w:rPr>
              <w:t>1</w:t>
            </w:r>
          </w:p>
        </w:tc>
        <w:tc>
          <w:tcPr>
            <w:tcW w:w="2659" w:type="dxa"/>
          </w:tcPr>
          <w:p w:rsidR="00A66CBD" w:rsidRPr="00B1054A" w:rsidRDefault="00A66CBD" w:rsidP="002B74DA">
            <w:pPr>
              <w:pStyle w:val="Tabletext"/>
              <w:rPr>
                <w:rFonts w:cs="Arial"/>
              </w:rPr>
            </w:pPr>
            <w:r w:rsidRPr="00B1054A">
              <w:rPr>
                <w:rFonts w:cs="Arial"/>
              </w:rPr>
              <w:t xml:space="preserve">Initial restriction criteria: </w:t>
            </w:r>
          </w:p>
          <w:p w:rsidR="00A66CBD" w:rsidRPr="00B1054A" w:rsidRDefault="00A66CBD" w:rsidP="002B74DA">
            <w:pPr>
              <w:pStyle w:val="Tabletext"/>
              <w:rPr>
                <w:rFonts w:cs="Arial"/>
              </w:rPr>
            </w:pPr>
            <w:r w:rsidRPr="00B1054A">
              <w:rPr>
                <w:rFonts w:cs="Arial"/>
              </w:rPr>
              <w:t xml:space="preserve">PGA=3 or 4 </w:t>
            </w:r>
            <w:r w:rsidRPr="00B1054A">
              <w:rPr>
                <w:rFonts w:cs="Arial"/>
                <w:vertAlign w:val="superscript"/>
              </w:rPr>
              <w:t>1</w:t>
            </w:r>
          </w:p>
        </w:tc>
        <w:tc>
          <w:tcPr>
            <w:tcW w:w="2659" w:type="dxa"/>
          </w:tcPr>
          <w:p w:rsidR="00A66CBD" w:rsidRPr="00B1054A" w:rsidRDefault="00A66CBD" w:rsidP="002B74DA">
            <w:pPr>
              <w:pStyle w:val="Tabletext"/>
              <w:rPr>
                <w:rFonts w:cs="Arial"/>
              </w:rPr>
            </w:pPr>
            <w:r w:rsidRPr="00B1054A">
              <w:rPr>
                <w:rFonts w:cs="Arial"/>
              </w:rPr>
              <w:t>Initial restriction criteria (whole body): PGA=4</w:t>
            </w:r>
            <w:r w:rsidRPr="00B1054A">
              <w:rPr>
                <w:rFonts w:cs="Arial"/>
                <w:vertAlign w:val="superscript"/>
              </w:rPr>
              <w:t>1</w:t>
            </w:r>
            <w:r w:rsidRPr="00B1054A">
              <w:rPr>
                <w:rFonts w:cs="Arial"/>
              </w:rPr>
              <w:t xml:space="preserve"> and EASI≥20</w:t>
            </w:r>
          </w:p>
        </w:tc>
      </w:tr>
      <w:tr w:rsidR="00A66CBD" w:rsidRPr="00B1054A" w:rsidTr="00A66CBD">
        <w:tc>
          <w:tcPr>
            <w:tcW w:w="1040" w:type="dxa"/>
          </w:tcPr>
          <w:p w:rsidR="00A66CBD" w:rsidRPr="00B1054A" w:rsidRDefault="00A66CBD" w:rsidP="002B74DA">
            <w:pPr>
              <w:pStyle w:val="Tabletext"/>
              <w:jc w:val="both"/>
              <w:rPr>
                <w:rFonts w:cs="Arial"/>
                <w:b/>
              </w:rPr>
            </w:pPr>
            <w:r w:rsidRPr="00B1054A">
              <w:rPr>
                <w:rFonts w:cs="Arial"/>
                <w:b/>
              </w:rPr>
              <w:t>Eligibility for continuation</w:t>
            </w:r>
          </w:p>
        </w:tc>
        <w:tc>
          <w:tcPr>
            <w:tcW w:w="2659" w:type="dxa"/>
          </w:tcPr>
          <w:p w:rsidR="00A66CBD" w:rsidRPr="00B1054A" w:rsidRDefault="00A66CBD" w:rsidP="002B74DA">
            <w:pPr>
              <w:pStyle w:val="Tabletext"/>
              <w:rPr>
                <w:rFonts w:cs="Arial"/>
              </w:rPr>
            </w:pPr>
            <w:r w:rsidRPr="00B1054A">
              <w:rPr>
                <w:rFonts w:cs="Arial"/>
              </w:rPr>
              <w:t>Continuing restriction criteria: EASI-75 response</w:t>
            </w:r>
          </w:p>
        </w:tc>
        <w:tc>
          <w:tcPr>
            <w:tcW w:w="2659" w:type="dxa"/>
          </w:tcPr>
          <w:p w:rsidR="00A66CBD" w:rsidRPr="00B1054A" w:rsidRDefault="00A66CBD" w:rsidP="002B74DA">
            <w:pPr>
              <w:pStyle w:val="Tabletext"/>
              <w:rPr>
                <w:rFonts w:cs="Arial"/>
              </w:rPr>
            </w:pPr>
            <w:r w:rsidRPr="00B1054A">
              <w:rPr>
                <w:rFonts w:cs="Arial"/>
              </w:rPr>
              <w:t xml:space="preserve">Continuing restriction criteria: change in baseline in DLQI of ≥4 </w:t>
            </w:r>
            <w:r w:rsidRPr="00B1054A">
              <w:rPr>
                <w:rFonts w:cs="Arial"/>
                <w:u w:val="single"/>
              </w:rPr>
              <w:t>OR</w:t>
            </w:r>
            <w:r w:rsidRPr="00B1054A">
              <w:rPr>
                <w:rFonts w:cs="Arial"/>
              </w:rPr>
              <w:t xml:space="preserve"> an improvement from baseline in PGA score of ≥2</w:t>
            </w:r>
          </w:p>
        </w:tc>
        <w:tc>
          <w:tcPr>
            <w:tcW w:w="2659" w:type="dxa"/>
          </w:tcPr>
          <w:p w:rsidR="00A66CBD" w:rsidRPr="00B1054A" w:rsidRDefault="00A66CBD" w:rsidP="002B74DA">
            <w:pPr>
              <w:pStyle w:val="Tabletext"/>
              <w:rPr>
                <w:rFonts w:cs="Arial"/>
              </w:rPr>
            </w:pPr>
            <w:r w:rsidRPr="00B1054A">
              <w:rPr>
                <w:rFonts w:cs="Arial"/>
              </w:rPr>
              <w:t xml:space="preserve">Continuing restriction criteria: change in baseline in DLQI of ≥4 </w:t>
            </w:r>
            <w:r w:rsidRPr="00B1054A">
              <w:rPr>
                <w:rFonts w:cs="Arial"/>
                <w:u w:val="single"/>
              </w:rPr>
              <w:t>AND</w:t>
            </w:r>
            <w:r w:rsidRPr="00B1054A">
              <w:rPr>
                <w:rFonts w:cs="Arial"/>
              </w:rPr>
              <w:t xml:space="preserve"> EASI-50</w:t>
            </w:r>
          </w:p>
        </w:tc>
      </w:tr>
    </w:tbl>
    <w:p w:rsidR="00CA5080" w:rsidRPr="00B1054A" w:rsidRDefault="00CA5080" w:rsidP="00CA5080">
      <w:pPr>
        <w:pStyle w:val="TableFigureFooter"/>
      </w:pPr>
      <w:r w:rsidRPr="00B1054A">
        <w:t>Abbreviations: AD = atopic dermatitis; CsA = cyclosporin A; DLQI = dermatology life quality index; EASI = Eczema Area and Severity Index; EASI-50 = reduction from baseline in EASI score of 50% or more; EASI-75 = reduction from baseline in EASI score of 75% or more; IGA = Investigator’s Global Assessment; PGA = Physician’s Global Assessment; SoC = standard of care; TCI = topical calcineurin inhibitor; TCS = topical corticosteroid</w:t>
      </w:r>
    </w:p>
    <w:p w:rsidR="00CA5080" w:rsidRPr="00B1054A" w:rsidRDefault="00CA5080" w:rsidP="006C17F3">
      <w:pPr>
        <w:pStyle w:val="TableFigureFooter"/>
        <w:tabs>
          <w:tab w:val="left" w:pos="0"/>
        </w:tabs>
      </w:pPr>
      <w:r w:rsidRPr="00B1054A">
        <w:rPr>
          <w:vertAlign w:val="superscript"/>
        </w:rPr>
        <w:t>1</w:t>
      </w:r>
      <w:r w:rsidRPr="00B1054A">
        <w:t>The IGA and PGA are synonymous outcome measures, differing only by the name used based on the setting administered (discussed in Section 1.1).</w:t>
      </w:r>
    </w:p>
    <w:p w:rsidR="00CA5080" w:rsidRPr="00B1054A" w:rsidRDefault="00CA5080" w:rsidP="005C36FF">
      <w:pPr>
        <w:pStyle w:val="3-BodyText"/>
      </w:pPr>
      <w:bookmarkStart w:id="11" w:name="_Ref30395096"/>
      <w:r w:rsidRPr="00B1054A">
        <w:t>In its consideration of the July 2019 resubmission, the PBAC stated the measurement of response should “include EASI-75 [a 75% improvement in Eczema Activity and Severity Index score] and either DLQI [Dermatology Life Quality Index] &lt;5, or DLQI improvements of ≥4 points, and may also include the PGA [Physician’s Global Assessment]” (</w:t>
      </w:r>
      <w:r w:rsidR="003E533B" w:rsidRPr="00B1054A">
        <w:t>paragraph 7.20, d</w:t>
      </w:r>
      <w:r w:rsidRPr="00B1054A">
        <w:t>upilumab</w:t>
      </w:r>
      <w:r w:rsidR="003E533B" w:rsidRPr="00B1054A">
        <w:t>,</w:t>
      </w:r>
      <w:r w:rsidRPr="00B1054A">
        <w:t xml:space="preserve"> PSD, July 2019). The resubmission defines response and eligibility criteria for continuing treatment as a</w:t>
      </w:r>
      <w:r w:rsidR="00A11461" w:rsidRPr="00B1054A">
        <w:t>n</w:t>
      </w:r>
      <w:r w:rsidRPr="00B1054A">
        <w:t xml:space="preserve"> EASI-50 </w:t>
      </w:r>
      <w:r w:rsidR="00A11461" w:rsidRPr="00B1054A">
        <w:t xml:space="preserve">(50% improvement in EASI) </w:t>
      </w:r>
      <w:r w:rsidRPr="00B1054A">
        <w:t xml:space="preserve">AND DLQI improvements of ≥4 points (DLQI 4) based on a series of post-hoc sub-group analyses and the impacts of changing the definition of response on the ICER. </w:t>
      </w:r>
      <w:r w:rsidR="00450A89" w:rsidRPr="00B1054A">
        <w:t>The commentary stated that c</w:t>
      </w:r>
      <w:r w:rsidR="00A11461" w:rsidRPr="00B1054A">
        <w:t>hoosing criteria based on the most cost-effective combination of response definition may</w:t>
      </w:r>
      <w:r w:rsidR="002B74DA" w:rsidRPr="00B1054A">
        <w:t xml:space="preserve"> not</w:t>
      </w:r>
      <w:r w:rsidR="00A11461" w:rsidRPr="00B1054A">
        <w:t xml:space="preserve"> be </w:t>
      </w:r>
      <w:r w:rsidR="002B74DA" w:rsidRPr="00B1054A">
        <w:t>a</w:t>
      </w:r>
      <w:r w:rsidR="00A11461" w:rsidRPr="00B1054A">
        <w:t xml:space="preserve">ppropriate as this decision should be made on what is most clinically meaningful and what most appropriately aligns with the clinical evidence; noting that EASI-75 was the primary or co-primary outcome of most trials. </w:t>
      </w:r>
      <w:bookmarkEnd w:id="11"/>
      <w:r w:rsidR="00D27DD6" w:rsidRPr="00B1054A">
        <w:t xml:space="preserve">The Pre-Sub-Committee Response (PSCR) argued that “the choice of scales and definitions of response proposed appropriately target continued therapy to patients who are deriving and will continue to derive a clinically meaningful </w:t>
      </w:r>
      <w:r w:rsidR="00D27DD6" w:rsidRPr="00B1054A">
        <w:lastRenderedPageBreak/>
        <w:t>benefit from treatment with dupilumab whilst avoiding inappropriately excluding patients who do not achieve maximal benefit for either scale by week 16”.</w:t>
      </w:r>
    </w:p>
    <w:p w:rsidR="00656314" w:rsidRPr="00B1054A" w:rsidRDefault="00656314" w:rsidP="005C36FF">
      <w:pPr>
        <w:pStyle w:val="3-BodyText"/>
      </w:pPr>
      <w:r w:rsidRPr="00B1054A">
        <w:t xml:space="preserve">The ESC </w:t>
      </w:r>
      <w:r w:rsidR="005C36FF" w:rsidRPr="00B1054A">
        <w:t xml:space="preserve">noted that </w:t>
      </w:r>
      <w:r w:rsidR="00BD1FFA" w:rsidRPr="00B1054A">
        <w:t>using a marker of lesions and patient impact for</w:t>
      </w:r>
      <w:r w:rsidR="005C36FF" w:rsidRPr="00B1054A">
        <w:t xml:space="preserve"> continuing criteria is broadly consistent with Australian consensus guidelines</w:t>
      </w:r>
      <w:r w:rsidR="005C36FF" w:rsidRPr="00B1054A">
        <w:rPr>
          <w:rStyle w:val="FootnoteReference"/>
        </w:rPr>
        <w:footnoteReference w:id="1"/>
      </w:r>
      <w:r w:rsidR="00BD1FFA" w:rsidRPr="00B1054A">
        <w:t>. The ESC</w:t>
      </w:r>
      <w:r w:rsidR="005C36FF" w:rsidRPr="00B1054A">
        <w:t xml:space="preserve"> considered </w:t>
      </w:r>
      <w:r w:rsidR="00BD1FFA" w:rsidRPr="00B1054A">
        <w:t>the proposed approach</w:t>
      </w:r>
      <w:r w:rsidR="005C36FF" w:rsidRPr="00B1054A">
        <w:t xml:space="preserve"> </w:t>
      </w:r>
      <w:r w:rsidRPr="00B1054A">
        <w:t>is likely to be clinically reasonable</w:t>
      </w:r>
      <w:r w:rsidR="00104C16" w:rsidRPr="00B1054A">
        <w:t xml:space="preserve"> and </w:t>
      </w:r>
      <w:r w:rsidR="00E674B3" w:rsidRPr="00B1054A">
        <w:t xml:space="preserve">able to </w:t>
      </w:r>
      <w:r w:rsidR="00104C16" w:rsidRPr="00B1054A">
        <w:t>capture patients with the best response to treatment</w:t>
      </w:r>
      <w:r w:rsidRPr="00B1054A">
        <w:t>.</w:t>
      </w:r>
      <w:r w:rsidR="00104C16" w:rsidRPr="00B1054A">
        <w:t xml:space="preserve"> The ESC noted that the proportion of responders appeared to plateau at around week 16 </w:t>
      </w:r>
      <w:r w:rsidR="00685DD4" w:rsidRPr="00B1054A">
        <w:t xml:space="preserve">in data from the CHRONOS trial </w:t>
      </w:r>
      <w:r w:rsidR="00104C16" w:rsidRPr="00B1054A">
        <w:t xml:space="preserve">and the number of </w:t>
      </w:r>
      <w:r w:rsidR="00685DD4" w:rsidRPr="00B1054A">
        <w:t xml:space="preserve">additional </w:t>
      </w:r>
      <w:r w:rsidR="00104C16" w:rsidRPr="00B1054A">
        <w:t xml:space="preserve">patients who respond in terms of EASI-75 following this time point may be small. </w:t>
      </w:r>
    </w:p>
    <w:p w:rsidR="005C36FF" w:rsidRPr="00B1054A" w:rsidRDefault="00CA5080" w:rsidP="00442A84">
      <w:pPr>
        <w:pStyle w:val="3-BodyText"/>
      </w:pPr>
      <w:r w:rsidRPr="00B1054A">
        <w:t xml:space="preserve">This resubmission, unlike the previous </w:t>
      </w:r>
      <w:r w:rsidR="003D2E9F" w:rsidRPr="00B1054A">
        <w:t>re (</w:t>
      </w:r>
      <w:r w:rsidRPr="00B1054A">
        <w:t xml:space="preserve">submissions), requests a separate listing for </w:t>
      </w:r>
      <w:r w:rsidR="0093391B" w:rsidRPr="00B1054A">
        <w:t xml:space="preserve">patients with severe AD of the </w:t>
      </w:r>
      <w:r w:rsidRPr="00B1054A">
        <w:t>face</w:t>
      </w:r>
      <w:r w:rsidR="0093391B" w:rsidRPr="00B1054A">
        <w:t xml:space="preserve"> or</w:t>
      </w:r>
      <w:r w:rsidRPr="00B1054A">
        <w:t xml:space="preserve"> hand</w:t>
      </w:r>
      <w:r w:rsidR="0093391B" w:rsidRPr="00B1054A">
        <w:t>s who have a baseline EASI of less than 20 but in whom their AD is considered severe due to the intensity and/or locations affected</w:t>
      </w:r>
      <w:r w:rsidR="00703D17" w:rsidRPr="00B1054A">
        <w:t>. The requested criteria for this listing also include</w:t>
      </w:r>
      <w:r w:rsidR="00D27DD6" w:rsidRPr="00B1054A">
        <w:t>d</w:t>
      </w:r>
      <w:r w:rsidR="00703D17" w:rsidRPr="00B1054A">
        <w:t xml:space="preserve"> the</w:t>
      </w:r>
      <w:r w:rsidRPr="00B1054A">
        <w:t xml:space="preserve"> foot and genitals</w:t>
      </w:r>
      <w:r w:rsidR="00D27DD6" w:rsidRPr="00B1054A">
        <w:t xml:space="preserve">, however </w:t>
      </w:r>
      <w:r w:rsidR="00465B78" w:rsidRPr="00B1054A">
        <w:t xml:space="preserve">the </w:t>
      </w:r>
      <w:r w:rsidR="00D27DD6" w:rsidRPr="00B1054A">
        <w:t xml:space="preserve">PSCR </w:t>
      </w:r>
      <w:r w:rsidR="00465B78" w:rsidRPr="00B1054A">
        <w:t xml:space="preserve"> </w:t>
      </w:r>
      <w:r w:rsidR="00D27DD6" w:rsidRPr="00B1054A">
        <w:t xml:space="preserve">clarified that the </w:t>
      </w:r>
      <w:r w:rsidR="00465B78" w:rsidRPr="00B1054A">
        <w:t>intention of this listing was to include patients with severe AD of face or hands only</w:t>
      </w:r>
      <w:r w:rsidRPr="00B1054A">
        <w:t>. The resubmission provide</w:t>
      </w:r>
      <w:r w:rsidR="00724BB7">
        <w:t>d</w:t>
      </w:r>
      <w:r w:rsidRPr="00B1054A">
        <w:t xml:space="preserve"> no data to inform the efficacy of </w:t>
      </w:r>
      <w:r w:rsidRPr="00B1054A">
        <w:rPr>
          <w:rFonts w:cstheme="minorHAnsi"/>
        </w:rPr>
        <w:t>dupilumab in patients who exclusively had face</w:t>
      </w:r>
      <w:r w:rsidR="00465B78" w:rsidRPr="00B1054A">
        <w:rPr>
          <w:rFonts w:cstheme="minorHAnsi"/>
        </w:rPr>
        <w:t xml:space="preserve"> or</w:t>
      </w:r>
      <w:r w:rsidRPr="00B1054A">
        <w:rPr>
          <w:rFonts w:cstheme="minorHAnsi"/>
        </w:rPr>
        <w:t xml:space="preserve"> hand AD. </w:t>
      </w:r>
      <w:r w:rsidR="00B51606" w:rsidRPr="00B1054A">
        <w:rPr>
          <w:rFonts w:cstheme="minorHAnsi"/>
        </w:rPr>
        <w:t xml:space="preserve">The PSCR </w:t>
      </w:r>
      <w:r w:rsidR="00AD2208" w:rsidRPr="00B1054A">
        <w:rPr>
          <w:rFonts w:cstheme="minorHAnsi"/>
        </w:rPr>
        <w:t xml:space="preserve"> </w:t>
      </w:r>
      <w:r w:rsidR="00442A84" w:rsidRPr="00B1054A">
        <w:rPr>
          <w:rFonts w:cstheme="minorHAnsi"/>
        </w:rPr>
        <w:t>referred to a recent publication</w:t>
      </w:r>
      <w:r w:rsidR="006C36CD" w:rsidRPr="00B1054A">
        <w:rPr>
          <w:rFonts w:cstheme="minorHAnsi"/>
        </w:rPr>
        <w:t xml:space="preserve"> (letter to the editor)</w:t>
      </w:r>
      <w:r w:rsidR="00442A84" w:rsidRPr="00B1054A">
        <w:rPr>
          <w:rStyle w:val="FootnoteReference"/>
          <w:rFonts w:cstheme="minorHAnsi"/>
        </w:rPr>
        <w:footnoteReference w:id="2"/>
      </w:r>
      <w:r w:rsidR="00442A84" w:rsidRPr="00B1054A">
        <w:rPr>
          <w:rFonts w:cstheme="minorHAnsi"/>
        </w:rPr>
        <w:t xml:space="preserve"> </w:t>
      </w:r>
      <w:r w:rsidR="00442A84" w:rsidRPr="00B1054A">
        <w:rPr>
          <w:rFonts w:eastAsia="CIDFont+F1" w:cstheme="minorHAnsi"/>
        </w:rPr>
        <w:t xml:space="preserve">which </w:t>
      </w:r>
      <w:r w:rsidR="006C36CD" w:rsidRPr="00B1054A">
        <w:rPr>
          <w:rFonts w:eastAsia="CIDFont+F1" w:cstheme="minorHAnsi"/>
        </w:rPr>
        <w:t>reported</w:t>
      </w:r>
      <w:r w:rsidR="00442A84" w:rsidRPr="00B1054A">
        <w:rPr>
          <w:rFonts w:eastAsia="CIDFont+F1" w:cstheme="minorHAnsi"/>
        </w:rPr>
        <w:t xml:space="preserve"> the efficacy of dupilumab in different body regions (head and neck, upper extremities, trunk, lower extremities) in patients included in the dupilumab clinical trials. The PSCR claimed that r</w:t>
      </w:r>
      <w:r w:rsidR="00930E09" w:rsidRPr="00B1054A">
        <w:rPr>
          <w:rFonts w:eastAsia="CIDFont+F1" w:cstheme="minorHAnsi"/>
        </w:rPr>
        <w:t xml:space="preserve">esults of this post </w:t>
      </w:r>
      <w:r w:rsidR="00442A84" w:rsidRPr="00B1054A">
        <w:rPr>
          <w:rFonts w:eastAsia="CIDFont+F1" w:cstheme="minorHAnsi"/>
        </w:rPr>
        <w:t>hoc analysis indicated that similar and statistically significant improvements in EASI score were observed in all of the body areas assessed. The ESC agreed with the PSCR that this study supported the claim that dupilumab is equally effective in all anatomical regions and the ESC considered that the proposed listing was clinically appropriate.</w:t>
      </w:r>
    </w:p>
    <w:p w:rsidR="00CA5080" w:rsidRDefault="009D758C" w:rsidP="005C36FF">
      <w:pPr>
        <w:pStyle w:val="3-BodyText"/>
        <w:spacing w:before="240"/>
      </w:pPr>
      <w:r w:rsidRPr="00B1054A">
        <w:t xml:space="preserve">The </w:t>
      </w:r>
      <w:r w:rsidR="00724BB7" w:rsidRPr="00B1054A">
        <w:t xml:space="preserve">requested </w:t>
      </w:r>
      <w:r w:rsidRPr="00B1054A">
        <w:t xml:space="preserve">face and hand continuing treatment restriction included wording around the requirement to assess </w:t>
      </w:r>
      <w:r w:rsidR="00724BB7">
        <w:t>eligibility</w:t>
      </w:r>
      <w:r w:rsidRPr="00B1054A">
        <w:t xml:space="preserve"> based on the DLQI, however change in DLQI is not included in the criteria for continuing treatment. </w:t>
      </w:r>
      <w:r w:rsidR="00465B78" w:rsidRPr="00B1054A">
        <w:t>The PSCR</w:t>
      </w:r>
      <w:r w:rsidR="00930E09" w:rsidRPr="00B1054A">
        <w:t xml:space="preserve"> </w:t>
      </w:r>
      <w:r w:rsidR="00465B78" w:rsidRPr="00B1054A">
        <w:t>acknow</w:t>
      </w:r>
      <w:r w:rsidR="00863250" w:rsidRPr="00B1054A">
        <w:t xml:space="preserve">ledged that, as patients who achieve successful resolution of severe AD lesions on the face or hands are likely to experience a significant improvement in quality of life, a continuation criterion based on improvement in DLQI score would be appropriate for this restriction. The sponsor suggested that this be consistent with the continuing criteria for the proposed “whole body” listing (improvement in DLQI score of ≥4 points). </w:t>
      </w:r>
      <w:r w:rsidR="005C36FF" w:rsidRPr="00B1054A">
        <w:t>The ESC considered that this addition to the criteria for continuing treatment was appropriate.</w:t>
      </w:r>
    </w:p>
    <w:p w:rsidR="00724BB7" w:rsidRPr="00B1054A" w:rsidRDefault="00724BB7" w:rsidP="005C36FF">
      <w:pPr>
        <w:pStyle w:val="3-BodyText"/>
        <w:spacing w:before="240"/>
      </w:pPr>
      <w:r>
        <w:lastRenderedPageBreak/>
        <w:t xml:space="preserve">The PBAC noted the requested listing for adults was inconsistent with the TGA registered indication which is for </w:t>
      </w:r>
      <w:r w:rsidRPr="00B1054A">
        <w:t xml:space="preserve">patients </w:t>
      </w:r>
      <w:r w:rsidRPr="00331890">
        <w:t>aged 12 years and older</w:t>
      </w:r>
      <w:r>
        <w:t>.</w:t>
      </w:r>
    </w:p>
    <w:p w:rsidR="00C36B4B" w:rsidRPr="00B1054A" w:rsidRDefault="00C36B4B" w:rsidP="00C36B4B">
      <w:pPr>
        <w:pStyle w:val="BodyText1"/>
        <w:rPr>
          <w:i/>
          <w:sz w:val="24"/>
          <w:szCs w:val="24"/>
        </w:rPr>
      </w:pPr>
      <w:r w:rsidRPr="00B1054A">
        <w:rPr>
          <w:i/>
          <w:sz w:val="24"/>
          <w:szCs w:val="24"/>
        </w:rPr>
        <w:t>For more detail on PBAC’s view, see section 7 PBAC outcome.</w:t>
      </w:r>
    </w:p>
    <w:p w:rsidR="00B50DB8" w:rsidRPr="00B1054A" w:rsidRDefault="00203181" w:rsidP="004E18E9">
      <w:pPr>
        <w:pStyle w:val="2-SectionHeading"/>
      </w:pPr>
      <w:bookmarkStart w:id="12" w:name="_Toc30592992"/>
      <w:r w:rsidRPr="00B1054A">
        <w:t xml:space="preserve">Population and </w:t>
      </w:r>
      <w:r w:rsidR="008E0D3C" w:rsidRPr="00B1054A">
        <w:t>d</w:t>
      </w:r>
      <w:r w:rsidRPr="00B1054A">
        <w:t>isease</w:t>
      </w:r>
      <w:bookmarkEnd w:id="12"/>
    </w:p>
    <w:p w:rsidR="00894489" w:rsidRPr="00B1054A" w:rsidRDefault="009F7AB6" w:rsidP="004E18E9">
      <w:pPr>
        <w:pStyle w:val="3-BodyText"/>
      </w:pPr>
      <w:r w:rsidRPr="00B1054A">
        <w:t>AD is a chronic inflammatory disease characterised by dry skin, itching and extensive skin lesions. Symptoms may be continuous or of a relapsing-remitting nature. The clinical presentation of symptoms varies based on phase (chronic or acute) and severity of AD. Patients with severe AD have more frequent symptom flaring, and their disease is characterised by skin with pronounced dryness, red lesions, papulation, crusting and skin thickening. Patients can suffer from itchy painful skin, bleeding, sleep deprivation, an increased risk of skin infections, depression, anxiety and/or suicidal intentions.</w:t>
      </w:r>
    </w:p>
    <w:p w:rsidR="009F7AB6" w:rsidRPr="00B1054A" w:rsidRDefault="009F7AB6" w:rsidP="009F7AB6">
      <w:pPr>
        <w:pStyle w:val="3-BodyText"/>
      </w:pPr>
      <w:r w:rsidRPr="00B1054A">
        <w:t xml:space="preserve">Consistent with the previous resubmission (July 2019), the proposed clinical management algorithm indicates that patients can choose either dupilumab or cyclosporin A (CsA) as first-line systemic therapy following inadequate response to topical corticosteroids [TCS]/topical calcineurin inhibitor [TCI]), with the alternative treatment (CsA or dupilumab) as second-line. </w:t>
      </w:r>
    </w:p>
    <w:p w:rsidR="007627BE" w:rsidRPr="00B1054A" w:rsidRDefault="009F7AB6" w:rsidP="004E18E9">
      <w:pPr>
        <w:pStyle w:val="3-BodyText"/>
      </w:pPr>
      <w:r w:rsidRPr="00B1054A">
        <w:t>Dupilumab (ATC D11AH05) is a recombinant human IgG4 monoclonal antibody which selectively binds to and inhibits signalling of IL-4 and IL-13, the key cytokines of atopic disease. The inhibition of IL-4 and IL-13 signalling reduces type 2 inflammatory response and is also believed to induce altered epidermal responses, inhibit terminal differentiation proteins, and produce and/or amplify the skin barrier defect in AD thereby restoring skin barrier function.</w:t>
      </w:r>
    </w:p>
    <w:p w:rsidR="00EE1CA5" w:rsidRPr="00B1054A" w:rsidRDefault="00EE1CA5" w:rsidP="004E18E9">
      <w:pPr>
        <w:pStyle w:val="3-BodyText"/>
      </w:pPr>
      <w:r w:rsidRPr="00B1054A">
        <w:t>The ESC noted that the clinical algorithm presented was similar to that presented in the Australian AD consensus document</w:t>
      </w:r>
      <w:r w:rsidR="004523A1" w:rsidRPr="00B1054A">
        <w:t>. The consensus document</w:t>
      </w:r>
      <w:r w:rsidRPr="00B1054A">
        <w:t xml:space="preserve"> included consideration of treatment with phototherapy in patients with moderate to severe disease or with reduced QoL</w:t>
      </w:r>
      <w:r w:rsidR="00BD1FFA" w:rsidRPr="00B1054A">
        <w:t>, where there was requisite availability, suitability and patient compliance</w:t>
      </w:r>
      <w:r w:rsidR="00B1054A">
        <w:t xml:space="preserve">. </w:t>
      </w:r>
    </w:p>
    <w:p w:rsidR="00C36B4B" w:rsidRPr="00B1054A" w:rsidRDefault="00C36B4B" w:rsidP="00C36B4B">
      <w:pPr>
        <w:pStyle w:val="BodyText1"/>
        <w:rPr>
          <w:i/>
          <w:sz w:val="24"/>
          <w:szCs w:val="24"/>
        </w:rPr>
      </w:pPr>
      <w:r w:rsidRPr="00B1054A">
        <w:rPr>
          <w:i/>
          <w:sz w:val="24"/>
          <w:szCs w:val="24"/>
        </w:rPr>
        <w:t>For more detail on PBAC’s view, see section 7 PBAC outcome.</w:t>
      </w:r>
    </w:p>
    <w:p w:rsidR="00B50DB8" w:rsidRPr="00B1054A" w:rsidRDefault="00B50DB8" w:rsidP="004E18E9">
      <w:pPr>
        <w:pStyle w:val="2-SectionHeading"/>
      </w:pPr>
      <w:bookmarkStart w:id="13" w:name="_Toc30592993"/>
      <w:r w:rsidRPr="00B1054A">
        <w:t>Comparator</w:t>
      </w:r>
      <w:bookmarkEnd w:id="13"/>
    </w:p>
    <w:p w:rsidR="009F7AB6" w:rsidRPr="00B1054A" w:rsidRDefault="009F7AB6" w:rsidP="009F7AB6">
      <w:pPr>
        <w:pStyle w:val="3-BodyText"/>
      </w:pPr>
      <w:r w:rsidRPr="00B1054A">
        <w:t>S</w:t>
      </w:r>
      <w:r w:rsidR="00882E3C" w:rsidRPr="00B1054A">
        <w:t>tandard of care</w:t>
      </w:r>
      <w:r w:rsidRPr="00B1054A">
        <w:t xml:space="preserve"> (represented by placebo)</w:t>
      </w:r>
      <w:r w:rsidR="00270648" w:rsidRPr="00B1054A">
        <w:t xml:space="preserve"> wa</w:t>
      </w:r>
      <w:r w:rsidRPr="00B1054A">
        <w:t>s nominated as the main comparator, and CsA as a relevant secondary comparator. SoC “would also include concomitant TCS ± TCI therapy for flaring” (</w:t>
      </w:r>
      <w:r w:rsidR="003E533B" w:rsidRPr="00B1054A">
        <w:t>paragraph 5.1, d</w:t>
      </w:r>
      <w:r w:rsidRPr="00B1054A">
        <w:t>upilumab</w:t>
      </w:r>
      <w:r w:rsidR="003E533B" w:rsidRPr="00B1054A">
        <w:t>,</w:t>
      </w:r>
      <w:r w:rsidRPr="00B1054A">
        <w:t xml:space="preserve"> PSD, July 2018). The PBAC previously accepted placebo </w:t>
      </w:r>
      <w:r w:rsidR="00270648" w:rsidRPr="00B1054A">
        <w:t xml:space="preserve">representing standard of care </w:t>
      </w:r>
      <w:r w:rsidRPr="00B1054A">
        <w:t>as the appropriate main comparator (</w:t>
      </w:r>
      <w:r w:rsidR="003E533B" w:rsidRPr="00B1054A">
        <w:t>paragraph 5.4, d</w:t>
      </w:r>
      <w:r w:rsidRPr="00B1054A">
        <w:t>upilumab</w:t>
      </w:r>
      <w:r w:rsidR="003E533B" w:rsidRPr="00B1054A">
        <w:t>,</w:t>
      </w:r>
      <w:r w:rsidRPr="00B1054A">
        <w:t xml:space="preserve"> PSD, July 2019). The PBAC also “considered CsA to be an additional relevant comparator…but acknowledged the likely limited use of CsA in clinical practice, and the limited clinical evidence for CsA…did not enable a </w:t>
      </w:r>
      <w:r w:rsidRPr="00B1054A">
        <w:lastRenderedPageBreak/>
        <w:t>meaningful comparison of dupilumab and CsA</w:t>
      </w:r>
      <w:r w:rsidR="00561EA1" w:rsidRPr="00B1054A">
        <w:t>”</w:t>
      </w:r>
      <w:r w:rsidRPr="00B1054A">
        <w:t xml:space="preserve"> (</w:t>
      </w:r>
      <w:r w:rsidR="003E533B" w:rsidRPr="00B1054A">
        <w:t>paragraph 5.4, d</w:t>
      </w:r>
      <w:r w:rsidRPr="00B1054A">
        <w:t>upilumab</w:t>
      </w:r>
      <w:r w:rsidR="003E533B" w:rsidRPr="00B1054A">
        <w:t>,</w:t>
      </w:r>
      <w:r w:rsidRPr="00B1054A">
        <w:t xml:space="preserve"> PSD, July 2019). As in the July 2019 resubmission, whilst nominating CsA as an appropriate comparator, the current resubmission did not indicate the CsA dosage or treatment regimen that would be applicable.</w:t>
      </w:r>
    </w:p>
    <w:p w:rsidR="00C36B4B" w:rsidRPr="00B1054A" w:rsidRDefault="00C36B4B" w:rsidP="00C36B4B">
      <w:pPr>
        <w:pStyle w:val="BodyText1"/>
        <w:rPr>
          <w:i/>
          <w:sz w:val="24"/>
          <w:szCs w:val="24"/>
        </w:rPr>
      </w:pPr>
      <w:r w:rsidRPr="00B1054A">
        <w:rPr>
          <w:i/>
          <w:sz w:val="24"/>
          <w:szCs w:val="24"/>
        </w:rPr>
        <w:t>For more detail on PBAC’s view, see section 7 PBAC outcome.</w:t>
      </w:r>
    </w:p>
    <w:p w:rsidR="00223D5A" w:rsidRPr="00B1054A" w:rsidRDefault="00223D5A" w:rsidP="00223D5A">
      <w:pPr>
        <w:pStyle w:val="2-SectionHeading"/>
        <w:numPr>
          <w:ilvl w:val="0"/>
          <w:numId w:val="1"/>
        </w:numPr>
      </w:pPr>
      <w:bookmarkStart w:id="14" w:name="_Toc30592994"/>
      <w:bookmarkStart w:id="15" w:name="_Toc22897640"/>
      <w:r w:rsidRPr="00B1054A">
        <w:t>Consideration of the evidence</w:t>
      </w:r>
      <w:bookmarkEnd w:id="14"/>
    </w:p>
    <w:p w:rsidR="00C36B4B" w:rsidRPr="00B1054A" w:rsidRDefault="00C36B4B" w:rsidP="00C36B4B">
      <w:pPr>
        <w:pStyle w:val="4-SubsectionHeading"/>
      </w:pPr>
      <w:bookmarkStart w:id="16" w:name="_Toc30592995"/>
      <w:r w:rsidRPr="00B1054A">
        <w:t>Sponsor hearing</w:t>
      </w:r>
    </w:p>
    <w:p w:rsidR="00C36B4B" w:rsidRPr="00B1054A" w:rsidRDefault="00C36B4B" w:rsidP="00C36B4B">
      <w:pPr>
        <w:widowControl w:val="0"/>
        <w:numPr>
          <w:ilvl w:val="1"/>
          <w:numId w:val="1"/>
        </w:numPr>
        <w:spacing w:after="120"/>
        <w:rPr>
          <w:rFonts w:asciiTheme="minorHAnsi" w:hAnsiTheme="minorHAnsi"/>
          <w:bCs/>
          <w:snapToGrid w:val="0"/>
        </w:rPr>
      </w:pPr>
      <w:r w:rsidRPr="00B1054A">
        <w:rPr>
          <w:rFonts w:asciiTheme="minorHAnsi" w:hAnsiTheme="minorHAnsi"/>
          <w:bCs/>
          <w:snapToGrid w:val="0"/>
        </w:rPr>
        <w:t>The</w:t>
      </w:r>
      <w:r w:rsidR="009B62F4" w:rsidRPr="00B1054A">
        <w:rPr>
          <w:rFonts w:asciiTheme="minorHAnsi" w:hAnsiTheme="minorHAnsi"/>
          <w:bCs/>
          <w:snapToGrid w:val="0"/>
        </w:rPr>
        <w:t>re was no hearing for this item</w:t>
      </w:r>
      <w:r w:rsidRPr="00B1054A">
        <w:rPr>
          <w:rFonts w:asciiTheme="minorHAnsi" w:hAnsiTheme="minorHAnsi"/>
          <w:bCs/>
          <w:snapToGrid w:val="0"/>
        </w:rPr>
        <w:t>.</w:t>
      </w:r>
    </w:p>
    <w:p w:rsidR="00C36B4B" w:rsidRPr="00B1054A" w:rsidRDefault="00C36B4B" w:rsidP="00C36B4B">
      <w:pPr>
        <w:pStyle w:val="4-SubsectionHeading"/>
      </w:pPr>
      <w:r w:rsidRPr="00B1054A">
        <w:t>Consumer comments</w:t>
      </w:r>
    </w:p>
    <w:p w:rsidR="00C36B4B" w:rsidRPr="00B1054A" w:rsidRDefault="00C36B4B" w:rsidP="00C36B4B">
      <w:pPr>
        <w:widowControl w:val="0"/>
        <w:numPr>
          <w:ilvl w:val="1"/>
          <w:numId w:val="1"/>
        </w:numPr>
        <w:spacing w:after="120"/>
        <w:rPr>
          <w:rFonts w:asciiTheme="minorHAnsi" w:hAnsiTheme="minorHAnsi"/>
          <w:bCs/>
          <w:snapToGrid w:val="0"/>
        </w:rPr>
      </w:pPr>
      <w:r w:rsidRPr="00B1054A">
        <w:rPr>
          <w:rFonts w:asciiTheme="minorHAnsi" w:hAnsiTheme="minorHAnsi"/>
          <w:bCs/>
          <w:snapToGrid w:val="0"/>
        </w:rPr>
        <w:t>The PBAC noted and welcom</w:t>
      </w:r>
      <w:r w:rsidR="00DB012E" w:rsidRPr="00B1054A">
        <w:rPr>
          <w:rFonts w:asciiTheme="minorHAnsi" w:hAnsiTheme="minorHAnsi"/>
          <w:bCs/>
          <w:snapToGrid w:val="0"/>
        </w:rPr>
        <w:t>ed the input from individuals (323), health care professionals (61</w:t>
      </w:r>
      <w:r w:rsidRPr="00B1054A">
        <w:rPr>
          <w:rFonts w:asciiTheme="minorHAnsi" w:hAnsiTheme="minorHAnsi"/>
          <w:bCs/>
          <w:snapToGrid w:val="0"/>
        </w:rPr>
        <w:t>) and organisations (</w:t>
      </w:r>
      <w:r w:rsidR="00DB012E" w:rsidRPr="00B1054A">
        <w:rPr>
          <w:rFonts w:asciiTheme="minorHAnsi" w:hAnsiTheme="minorHAnsi"/>
          <w:bCs/>
          <w:snapToGrid w:val="0"/>
        </w:rPr>
        <w:t>6</w:t>
      </w:r>
      <w:r w:rsidRPr="00B1054A">
        <w:rPr>
          <w:rFonts w:asciiTheme="minorHAnsi" w:hAnsiTheme="minorHAnsi"/>
          <w:bCs/>
          <w:snapToGrid w:val="0"/>
        </w:rPr>
        <w:t>) via the Consumer Comments facility on the PBS website</w:t>
      </w:r>
      <w:r w:rsidR="00B1054A">
        <w:rPr>
          <w:rFonts w:asciiTheme="minorHAnsi" w:hAnsiTheme="minorHAnsi"/>
          <w:bCs/>
          <w:snapToGrid w:val="0"/>
        </w:rPr>
        <w:t xml:space="preserve">. </w:t>
      </w:r>
    </w:p>
    <w:p w:rsidR="00DB012E" w:rsidRPr="00B1054A" w:rsidRDefault="00DB012E" w:rsidP="00DB012E">
      <w:pPr>
        <w:widowControl w:val="0"/>
        <w:numPr>
          <w:ilvl w:val="1"/>
          <w:numId w:val="1"/>
        </w:numPr>
        <w:spacing w:after="120"/>
        <w:rPr>
          <w:rFonts w:asciiTheme="minorHAnsi" w:hAnsiTheme="minorHAnsi"/>
          <w:bCs/>
        </w:rPr>
      </w:pPr>
      <w:r w:rsidRPr="00B1054A">
        <w:rPr>
          <w:rFonts w:asciiTheme="minorHAnsi" w:hAnsiTheme="minorHAnsi"/>
          <w:bCs/>
        </w:rPr>
        <w:t>The comments from healthcare professionals including dermatologists, immunologists, allergists, nurses, pharmacists and surgeons, described the very high disease burden for patients with severe AD. Healthcare professionals described the impact on patients’ lives of itch, sleep disruption, pain and infections and the resulting effects on their ability to work and maintain relationships. Healthcare professionals also noted the detrimental impact on mental health from uncontrolled severe AD</w:t>
      </w:r>
      <w:r w:rsidR="00B1054A">
        <w:rPr>
          <w:rFonts w:asciiTheme="minorHAnsi" w:hAnsiTheme="minorHAnsi"/>
          <w:bCs/>
        </w:rPr>
        <w:t xml:space="preserve">. </w:t>
      </w:r>
      <w:r w:rsidRPr="00B1054A">
        <w:rPr>
          <w:rFonts w:asciiTheme="minorHAnsi" w:hAnsiTheme="minorHAnsi"/>
          <w:bCs/>
        </w:rPr>
        <w:t>Healthcare professionals noted the lack of safe and effective treatments currently available, and that other systemic treatments have high AE burden including steroid-induced diabetes, osteoporosis and fractures, raised liver function tests, hypertension and nausea. Many healthcare professionals reported having patients with access to dupilumab through compassionate access programs who experienced substantial improvement in their AD, mental health and quality of life as a result of their treatment. Healthcare professionals reported the high cost of self-funding dupilumab which was described as inequitable and precludes many patients from accessing treatment. One healthcare professional noted intense lobbying by the sponsor for support of the proposed listing</w:t>
      </w:r>
      <w:r w:rsidR="0069625B" w:rsidRPr="00B1054A">
        <w:rPr>
          <w:rFonts w:asciiTheme="minorHAnsi" w:hAnsiTheme="minorHAnsi"/>
          <w:bCs/>
        </w:rPr>
        <w:t>,</w:t>
      </w:r>
      <w:r w:rsidRPr="00B1054A">
        <w:rPr>
          <w:rFonts w:asciiTheme="minorHAnsi" w:hAnsiTheme="minorHAnsi"/>
          <w:bCs/>
        </w:rPr>
        <w:t xml:space="preserve"> and several also mentioned the high price requested by the sponsor for dupilumab and the need to weigh this high and ongoing cost against the benefits of treatment. Healthcare providers also compared dupilumab with biological treatments for psoriasis, many of which are available on the PBS.</w:t>
      </w:r>
    </w:p>
    <w:p w:rsidR="00DB012E" w:rsidRPr="00B1054A" w:rsidRDefault="00DB012E" w:rsidP="00DB012E">
      <w:pPr>
        <w:widowControl w:val="0"/>
        <w:numPr>
          <w:ilvl w:val="1"/>
          <w:numId w:val="1"/>
        </w:numPr>
        <w:spacing w:after="120"/>
        <w:rPr>
          <w:rFonts w:asciiTheme="minorHAnsi" w:hAnsiTheme="minorHAnsi"/>
          <w:bCs/>
        </w:rPr>
      </w:pPr>
      <w:r w:rsidRPr="00B1054A">
        <w:rPr>
          <w:rFonts w:asciiTheme="minorHAnsi" w:hAnsiTheme="minorHAnsi"/>
          <w:bCs/>
        </w:rPr>
        <w:t>Comments from patients not currently accessing dupilumab described the very high and ongoing impact AD has on all aspects of their daily functioning, relationships, financial security and their quality of life. Some patients reported being hospitalised due to infection and sepsis, some also reported the impact of their suffering on their mental health including clinical depression and suicide attempts or suicidal ideation. Many patients noted the high cost of dupilumab, which made it unsustainable or impossible for patients to access.</w:t>
      </w:r>
    </w:p>
    <w:p w:rsidR="00DB012E" w:rsidRPr="00B1054A" w:rsidRDefault="00DB012E" w:rsidP="00DB012E">
      <w:pPr>
        <w:widowControl w:val="0"/>
        <w:numPr>
          <w:ilvl w:val="1"/>
          <w:numId w:val="1"/>
        </w:numPr>
        <w:spacing w:after="120"/>
        <w:rPr>
          <w:rFonts w:asciiTheme="minorHAnsi" w:hAnsiTheme="minorHAnsi"/>
          <w:bCs/>
        </w:rPr>
      </w:pPr>
      <w:r w:rsidRPr="00B1054A">
        <w:rPr>
          <w:rFonts w:asciiTheme="minorHAnsi" w:hAnsiTheme="minorHAnsi"/>
          <w:bCs/>
        </w:rPr>
        <w:lastRenderedPageBreak/>
        <w:t xml:space="preserve">Comments from individuals currently accessing dupilumab described treatment as life-changing, with a range of benefits of treatment including dramatic improvements in terms of being able to care for themselves and family, to work, sleep improvements, relationships, psychological well-being and relief from incessant itch, bleeding and pain. These individuals noted that, where experienced, side effects from treatment were well-tolerated and easily resolved. </w:t>
      </w:r>
    </w:p>
    <w:p w:rsidR="00DB012E" w:rsidRPr="00B1054A" w:rsidRDefault="00DB012E" w:rsidP="00DB012E">
      <w:pPr>
        <w:widowControl w:val="0"/>
        <w:numPr>
          <w:ilvl w:val="1"/>
          <w:numId w:val="1"/>
        </w:numPr>
        <w:spacing w:after="120"/>
        <w:rPr>
          <w:rFonts w:asciiTheme="minorHAnsi" w:hAnsiTheme="minorHAnsi" w:cstheme="minorHAnsi"/>
          <w:bCs/>
        </w:rPr>
      </w:pPr>
      <w:r w:rsidRPr="00B1054A">
        <w:rPr>
          <w:rFonts w:asciiTheme="minorHAnsi" w:hAnsiTheme="minorHAnsi" w:cstheme="minorHAnsi"/>
          <w:bCs/>
        </w:rPr>
        <w:t xml:space="preserve">The PBAC noted the support for PBS listing of dupilumab received from Allergy &amp; Anaphylaxis Australia, The Eczema Association of Australasia Inc, Eczema Support Australia, The Australasian College of Dermatologists, National Allergy Strategy and the Royal Melbourne Hospital Department of Dermatology. </w:t>
      </w:r>
    </w:p>
    <w:p w:rsidR="00DB012E" w:rsidRPr="00B1054A" w:rsidRDefault="00DB012E" w:rsidP="00DB012E">
      <w:pPr>
        <w:widowControl w:val="0"/>
        <w:numPr>
          <w:ilvl w:val="1"/>
          <w:numId w:val="1"/>
        </w:numPr>
        <w:spacing w:after="120"/>
        <w:rPr>
          <w:rFonts w:asciiTheme="minorHAnsi" w:hAnsiTheme="minorHAnsi" w:cstheme="minorHAnsi"/>
          <w:bCs/>
        </w:rPr>
      </w:pPr>
      <w:r w:rsidRPr="00B1054A">
        <w:rPr>
          <w:rFonts w:asciiTheme="minorHAnsi" w:hAnsiTheme="minorHAnsi" w:cstheme="minorHAnsi"/>
          <w:bCs/>
        </w:rPr>
        <w:t xml:space="preserve">The PBAC noted the advice from Allergy &amp; Anaphylaxis Australia (A&amp;AA) that their stance on the need for dupilumab remains unchanged from previous advice. A&amp;AA noted that dupilumab “has given people with severe AD hope and for some, a will to go on”. A&amp;AA considered that PBS listing of dupilumab will be life-changing for patients with severe AD and urged that listing of dupilumab be given urgent and serious consideration. </w:t>
      </w:r>
    </w:p>
    <w:p w:rsidR="00DB012E" w:rsidRPr="00B1054A" w:rsidRDefault="00DB012E" w:rsidP="00DB012E">
      <w:pPr>
        <w:widowControl w:val="0"/>
        <w:numPr>
          <w:ilvl w:val="1"/>
          <w:numId w:val="1"/>
        </w:numPr>
        <w:spacing w:after="120"/>
        <w:rPr>
          <w:rFonts w:asciiTheme="minorHAnsi" w:hAnsiTheme="minorHAnsi" w:cstheme="minorHAnsi"/>
          <w:bCs/>
        </w:rPr>
      </w:pPr>
      <w:r w:rsidRPr="00B1054A">
        <w:rPr>
          <w:rFonts w:asciiTheme="minorHAnsi" w:hAnsiTheme="minorHAnsi" w:cstheme="minorHAnsi"/>
          <w:bCs/>
        </w:rPr>
        <w:t xml:space="preserve">The PBAC noted the advice from </w:t>
      </w:r>
      <w:r w:rsidR="0069625B" w:rsidRPr="00B1054A">
        <w:rPr>
          <w:rFonts w:asciiTheme="minorHAnsi" w:hAnsiTheme="minorHAnsi" w:cstheme="minorHAnsi"/>
          <w:bCs/>
        </w:rPr>
        <w:t xml:space="preserve">The </w:t>
      </w:r>
      <w:r w:rsidRPr="00B1054A">
        <w:rPr>
          <w:rFonts w:asciiTheme="minorHAnsi" w:hAnsiTheme="minorHAnsi" w:cstheme="minorHAnsi"/>
        </w:rPr>
        <w:t>Eczema Association of Australasia Inc</w:t>
      </w:r>
      <w:r w:rsidRPr="00B1054A">
        <w:rPr>
          <w:rFonts w:asciiTheme="minorHAnsi" w:hAnsiTheme="minorHAnsi" w:cstheme="minorHAnsi"/>
          <w:bCs/>
        </w:rPr>
        <w:t xml:space="preserve"> that the use of dupilumab may provide a much needed treatment option in a therapeutic area that has few treatments available and no new treatments approved for a long time. The Association stated that dupilumab can be used long-term, unlike other treatments which can only be used for short periods because of side effects that require close monitoring. </w:t>
      </w:r>
    </w:p>
    <w:p w:rsidR="00DB012E" w:rsidRPr="00B1054A" w:rsidRDefault="00DB012E" w:rsidP="00DB012E">
      <w:pPr>
        <w:widowControl w:val="0"/>
        <w:numPr>
          <w:ilvl w:val="1"/>
          <w:numId w:val="1"/>
        </w:numPr>
        <w:spacing w:after="120"/>
        <w:rPr>
          <w:rFonts w:asciiTheme="minorHAnsi" w:hAnsiTheme="minorHAnsi" w:cstheme="minorHAnsi"/>
          <w:bCs/>
        </w:rPr>
      </w:pPr>
      <w:r w:rsidRPr="00B1054A">
        <w:rPr>
          <w:rFonts w:asciiTheme="minorHAnsi" w:hAnsiTheme="minorHAnsi" w:cstheme="minorHAnsi"/>
          <w:bCs/>
        </w:rPr>
        <w:t xml:space="preserve">The PBAC noted the advice from </w:t>
      </w:r>
      <w:r w:rsidRPr="00B1054A">
        <w:rPr>
          <w:rFonts w:asciiTheme="minorHAnsi" w:hAnsiTheme="minorHAnsi" w:cstheme="minorHAnsi"/>
        </w:rPr>
        <w:t>Eczema Support Australia</w:t>
      </w:r>
      <w:r w:rsidRPr="00B1054A">
        <w:rPr>
          <w:rFonts w:asciiTheme="minorHAnsi" w:hAnsiTheme="minorHAnsi" w:cstheme="minorHAnsi"/>
          <w:bCs/>
        </w:rPr>
        <w:t xml:space="preserve"> that patients with severe AD can experience “social isolation, sleep deprivation, co-morbidities, pain, infection and intense itch”, which “can result in depression, anxiety and suicidal thoughts in conjunction with the negative impact on schooling, loss of work or career choice and relationship breakdown”. The advice noted a recent systematic review and meta-analysis that found patients with AD are 44% more likely to exhibit suicidal ideation and 36% more likely to attempt suicide compared to patients without AD</w:t>
      </w:r>
      <w:r w:rsidR="00932611" w:rsidRPr="00B1054A">
        <w:rPr>
          <w:rStyle w:val="FootnoteReference"/>
          <w:rFonts w:asciiTheme="minorHAnsi" w:hAnsiTheme="minorHAnsi" w:cstheme="minorHAnsi"/>
          <w:bCs/>
        </w:rPr>
        <w:footnoteReference w:id="3"/>
      </w:r>
      <w:r w:rsidRPr="00B1054A">
        <w:rPr>
          <w:rFonts w:asciiTheme="minorHAnsi" w:hAnsiTheme="minorHAnsi" w:cstheme="minorHAnsi"/>
          <w:bCs/>
        </w:rPr>
        <w:t>. The advice also noted the financial burden associated with AD treatment and the hope that access to dupilumab offers to patients with debilitating AD</w:t>
      </w:r>
      <w:r w:rsidR="00B1054A">
        <w:rPr>
          <w:rFonts w:asciiTheme="minorHAnsi" w:hAnsiTheme="minorHAnsi" w:cstheme="minorHAnsi"/>
          <w:bCs/>
        </w:rPr>
        <w:t xml:space="preserve">. </w:t>
      </w:r>
    </w:p>
    <w:p w:rsidR="00DB012E" w:rsidRPr="00B1054A" w:rsidRDefault="00DB012E" w:rsidP="00DB012E">
      <w:pPr>
        <w:widowControl w:val="0"/>
        <w:numPr>
          <w:ilvl w:val="1"/>
          <w:numId w:val="1"/>
        </w:numPr>
        <w:spacing w:after="120"/>
        <w:rPr>
          <w:rFonts w:asciiTheme="minorHAnsi" w:hAnsiTheme="minorHAnsi" w:cstheme="minorHAnsi"/>
          <w:bCs/>
        </w:rPr>
      </w:pPr>
      <w:r w:rsidRPr="00B1054A">
        <w:rPr>
          <w:rFonts w:asciiTheme="minorHAnsi" w:hAnsiTheme="minorHAnsi" w:cstheme="minorHAnsi"/>
          <w:bCs/>
        </w:rPr>
        <w:t>The PBAC noted the advice provided by the Australasian College of Dermatologists (ACD) in support of the proposed listing. The ACD noted the currently available treatments option</w:t>
      </w:r>
      <w:r w:rsidR="00DC32F9" w:rsidRPr="00B1054A">
        <w:rPr>
          <w:rFonts w:asciiTheme="minorHAnsi" w:hAnsiTheme="minorHAnsi" w:cstheme="minorHAnsi"/>
          <w:bCs/>
        </w:rPr>
        <w:t>s</w:t>
      </w:r>
      <w:r w:rsidRPr="00B1054A">
        <w:rPr>
          <w:rFonts w:asciiTheme="minorHAnsi" w:hAnsiTheme="minorHAnsi" w:cstheme="minorHAnsi"/>
          <w:bCs/>
        </w:rPr>
        <w:t xml:space="preserve"> are limited and often costly or ineffective. The ACD noted that “while dupilumab will not address all needs it will offer a more effective treatment for a proportion of patients, for whom AD can be debilitating”. </w:t>
      </w:r>
    </w:p>
    <w:p w:rsidR="00DB012E" w:rsidRPr="00B1054A" w:rsidRDefault="00DB012E" w:rsidP="00DB012E">
      <w:pPr>
        <w:widowControl w:val="0"/>
        <w:numPr>
          <w:ilvl w:val="1"/>
          <w:numId w:val="1"/>
        </w:numPr>
        <w:spacing w:after="120"/>
        <w:rPr>
          <w:rFonts w:asciiTheme="minorHAnsi" w:hAnsiTheme="minorHAnsi"/>
          <w:bCs/>
        </w:rPr>
      </w:pPr>
      <w:r w:rsidRPr="00B1054A">
        <w:rPr>
          <w:rFonts w:asciiTheme="minorHAnsi" w:hAnsiTheme="minorHAnsi"/>
          <w:bCs/>
        </w:rPr>
        <w:t xml:space="preserve">The PBAC noted advice from the National Allergy Strategy in support of the proposed </w:t>
      </w:r>
      <w:r w:rsidRPr="00B1054A">
        <w:rPr>
          <w:rFonts w:asciiTheme="minorHAnsi" w:hAnsiTheme="minorHAnsi"/>
          <w:bCs/>
        </w:rPr>
        <w:lastRenderedPageBreak/>
        <w:t xml:space="preserve">listing. The advice referred to submissions to the Parliamentary Inquiry for Allergies and Anaphylaxis which mentioned dupilumab and the need for patient access to this treatment for AD.  </w:t>
      </w:r>
    </w:p>
    <w:p w:rsidR="00DB012E" w:rsidRPr="00B1054A" w:rsidRDefault="00DB012E" w:rsidP="00DB012E">
      <w:pPr>
        <w:widowControl w:val="0"/>
        <w:numPr>
          <w:ilvl w:val="1"/>
          <w:numId w:val="1"/>
        </w:numPr>
        <w:spacing w:after="120"/>
        <w:rPr>
          <w:rFonts w:asciiTheme="minorHAnsi" w:hAnsiTheme="minorHAnsi"/>
          <w:bCs/>
        </w:rPr>
      </w:pPr>
      <w:r w:rsidRPr="00B1054A">
        <w:rPr>
          <w:rFonts w:asciiTheme="minorHAnsi" w:hAnsiTheme="minorHAnsi"/>
          <w:bCs/>
        </w:rPr>
        <w:t>The PBAC noted advice from the Royal Melbourne Hospital Department of Dermatology in support of the proposed listing. The advice described the extensive impact on patients’ lives and the frequent hospital admissions due to complications of the disease and current treatments.</w:t>
      </w:r>
    </w:p>
    <w:p w:rsidR="00B60939" w:rsidRPr="00B1054A" w:rsidRDefault="00B60939" w:rsidP="002E4F02">
      <w:pPr>
        <w:pStyle w:val="4-SubsectionHeading"/>
      </w:pPr>
      <w:r w:rsidRPr="00B1054A">
        <w:t>Clinical trials</w:t>
      </w:r>
      <w:bookmarkEnd w:id="15"/>
      <w:bookmarkEnd w:id="16"/>
    </w:p>
    <w:p w:rsidR="007F1017" w:rsidRPr="00B1054A" w:rsidRDefault="00270648" w:rsidP="002E4F02">
      <w:pPr>
        <w:pStyle w:val="3-BodyText"/>
      </w:pPr>
      <w:r w:rsidRPr="00B1054A">
        <w:t>Unchanged from the previous (re)submissions, the resubmission was based on five double-blind, randomised controlled trials [CAFÉ (n=325); CHRONOS (n=740); SOLO 1 (n=671); SOLO 2 (n=318) and Study 1021 (referred to as ‘Phase IIb’ in the July 2018 submission) (n=380)] comparing d</w:t>
      </w:r>
      <w:r w:rsidRPr="00B1054A">
        <w:rPr>
          <w:rFonts w:cs="Calibri"/>
          <w:snapToGrid/>
        </w:rPr>
        <w:t>upilumab 300 mg fortnightly (Q2W) to placebo in patients with moderate</w:t>
      </w:r>
      <w:r w:rsidR="009D758C" w:rsidRPr="00B1054A">
        <w:rPr>
          <w:rFonts w:cs="Calibri"/>
          <w:snapToGrid/>
        </w:rPr>
        <w:t xml:space="preserve"> </w:t>
      </w:r>
      <w:r w:rsidRPr="00B1054A">
        <w:rPr>
          <w:rFonts w:cs="Calibri"/>
          <w:snapToGrid/>
        </w:rPr>
        <w:t>to</w:t>
      </w:r>
      <w:r w:rsidR="009D758C" w:rsidRPr="00B1054A">
        <w:rPr>
          <w:rFonts w:cs="Calibri"/>
          <w:snapToGrid/>
        </w:rPr>
        <w:t xml:space="preserve"> </w:t>
      </w:r>
      <w:r w:rsidRPr="00B1054A">
        <w:rPr>
          <w:rFonts w:cs="Calibri"/>
          <w:snapToGrid/>
        </w:rPr>
        <w:t xml:space="preserve">severe AD (IGA ≥3). </w:t>
      </w:r>
      <w:r w:rsidRPr="00B1054A">
        <w:t>SOLO 1, SOLO 2 and Study 1021 did not allow concomitant TCS/TCI therapy during treatment, whereas CAFÉ and CHRONOS allowed low to medium potency TCS but not TCI.</w:t>
      </w:r>
      <w:r w:rsidR="00BC591F" w:rsidRPr="00B1054A">
        <w:rPr>
          <w:color w:val="0066FF"/>
        </w:rPr>
        <w:t xml:space="preserve"> </w:t>
      </w:r>
      <w:r w:rsidRPr="00B1054A">
        <w:t>The resubmission appropriately considered all five trials as relevant clinical evidence.</w:t>
      </w:r>
      <w:r w:rsidR="00BD1FFA" w:rsidRPr="00B1054A">
        <w:t xml:space="preserve"> The ESC noted longer term (76 week) data was recently published for weekly dosing</w:t>
      </w:r>
      <w:r w:rsidR="00BD1FFA" w:rsidRPr="00B1054A">
        <w:rPr>
          <w:rStyle w:val="FootnoteReference"/>
        </w:rPr>
        <w:footnoteReference w:id="4"/>
      </w:r>
      <w:r w:rsidR="00BD1FFA" w:rsidRPr="00B1054A">
        <w:t>.</w:t>
      </w:r>
    </w:p>
    <w:p w:rsidR="00270648" w:rsidRPr="00B1054A" w:rsidRDefault="00270648" w:rsidP="002E4F02">
      <w:pPr>
        <w:pStyle w:val="3-BodyText"/>
      </w:pPr>
      <w:r w:rsidRPr="00B1054A">
        <w:t>The patient</w:t>
      </w:r>
      <w:r w:rsidR="0065720D" w:rsidRPr="00B1054A">
        <w:t xml:space="preserve"> populations</w:t>
      </w:r>
      <w:r w:rsidRPr="00B1054A">
        <w:t xml:space="preserve"> enrolled in the trials were broader than </w:t>
      </w:r>
      <w:r w:rsidR="0065720D" w:rsidRPr="00B1054A">
        <w:t xml:space="preserve">that </w:t>
      </w:r>
      <w:r w:rsidRPr="00B1054A">
        <w:t>for whom listing is sought, thus the resubmission relied</w:t>
      </w:r>
      <w:r w:rsidR="00282AE7" w:rsidRPr="00B1054A">
        <w:t xml:space="preserve"> on </w:t>
      </w:r>
      <w:r w:rsidRPr="00B1054A">
        <w:t>sub-group analyses of patients defined as having severe AD</w:t>
      </w:r>
      <w:r w:rsidR="00D41813" w:rsidRPr="00B1054A">
        <w:t xml:space="preserve"> (defined as PG</w:t>
      </w:r>
      <w:r w:rsidRPr="00B1054A">
        <w:t xml:space="preserve">A=4 </w:t>
      </w:r>
      <w:r w:rsidR="00D41813" w:rsidRPr="00B1054A">
        <w:t>AND</w:t>
      </w:r>
      <w:r w:rsidRPr="00B1054A">
        <w:t xml:space="preserve"> an EASI score </w:t>
      </w:r>
      <w:r w:rsidRPr="00B1054A">
        <w:rPr>
          <w:rFonts w:cstheme="minorHAnsi"/>
        </w:rPr>
        <w:t>≥</w:t>
      </w:r>
      <w:r w:rsidRPr="00B1054A">
        <w:t>20 at baseline)</w:t>
      </w:r>
      <w:r w:rsidR="00282AE7" w:rsidRPr="00B1054A">
        <w:t>, presenting results for those who were CsA-naive and CsA-experienced separately</w:t>
      </w:r>
      <w:r w:rsidRPr="00B1054A">
        <w:t>.</w:t>
      </w:r>
    </w:p>
    <w:p w:rsidR="00C267E0" w:rsidRPr="00B1054A" w:rsidRDefault="00A73134" w:rsidP="002E4F02">
      <w:pPr>
        <w:pStyle w:val="3-BodyText"/>
        <w:rPr>
          <w:snapToGrid/>
        </w:rPr>
      </w:pPr>
      <w:r w:rsidRPr="00B1054A">
        <w:rPr>
          <w:snapToGrid/>
        </w:rPr>
        <w:t xml:space="preserve">Details of the trials presented in the </w:t>
      </w:r>
      <w:r w:rsidR="00282AE7" w:rsidRPr="00B1054A">
        <w:rPr>
          <w:snapToGrid/>
        </w:rPr>
        <w:t>re</w:t>
      </w:r>
      <w:r w:rsidRPr="00B1054A">
        <w:rPr>
          <w:snapToGrid/>
        </w:rPr>
        <w:t xml:space="preserve">submission are provided in </w:t>
      </w:r>
      <w:r w:rsidR="00282AE7" w:rsidRPr="00B1054A">
        <w:rPr>
          <w:snapToGrid/>
        </w:rPr>
        <w:t>Table 4</w:t>
      </w:r>
      <w:r w:rsidRPr="00B1054A">
        <w:rPr>
          <w:snapToGrid/>
        </w:rPr>
        <w:t>.</w:t>
      </w:r>
      <w:r w:rsidR="00BC591F" w:rsidRPr="00B1054A">
        <w:rPr>
          <w:snapToGrid/>
        </w:rPr>
        <w:t xml:space="preserve"> </w:t>
      </w:r>
    </w:p>
    <w:p w:rsidR="008E0D3C" w:rsidRPr="00B1054A" w:rsidRDefault="00282AE7" w:rsidP="002E4F02">
      <w:pPr>
        <w:pStyle w:val="TableFigureHeading"/>
        <w:rPr>
          <w:rStyle w:val="CommentReference"/>
          <w:b/>
          <w:szCs w:val="24"/>
        </w:rPr>
      </w:pPr>
      <w:bookmarkStart w:id="17" w:name="_Ref27429437"/>
      <w:r w:rsidRPr="00B1054A">
        <w:rPr>
          <w:rStyle w:val="CommentReference"/>
          <w:b/>
          <w:szCs w:val="24"/>
        </w:rPr>
        <w:t xml:space="preserve">Table </w:t>
      </w:r>
      <w:r w:rsidR="00B20399" w:rsidRPr="00B1054A">
        <w:rPr>
          <w:rStyle w:val="CommentReference"/>
          <w:b/>
          <w:szCs w:val="24"/>
        </w:rPr>
        <w:t>4</w:t>
      </w:r>
      <w:bookmarkEnd w:id="17"/>
      <w:r w:rsidRPr="00B1054A">
        <w:rPr>
          <w:rStyle w:val="CommentReference"/>
          <w:b/>
          <w:szCs w:val="24"/>
        </w:rPr>
        <w:t xml:space="preserve">: </w:t>
      </w:r>
      <w:r w:rsidR="008E0D3C" w:rsidRPr="00B1054A">
        <w:rPr>
          <w:rStyle w:val="CommentReference"/>
          <w:b/>
          <w:szCs w:val="24"/>
        </w:rPr>
        <w:t xml:space="preserve">Trials and associated reports presented in the </w:t>
      </w:r>
      <w:r w:rsidRPr="00B1054A">
        <w:rPr>
          <w:rStyle w:val="CommentReference"/>
          <w:b/>
          <w:szCs w:val="24"/>
        </w:rPr>
        <w:t>re</w:t>
      </w:r>
      <w:r w:rsidR="008E0D3C" w:rsidRPr="00B1054A">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0"/>
        <w:gridCol w:w="5221"/>
        <w:gridCol w:w="2076"/>
      </w:tblGrid>
      <w:tr w:rsidR="00282AE7" w:rsidRPr="005331F8" w:rsidTr="00DC3B42">
        <w:trPr>
          <w:tblHeader/>
        </w:trPr>
        <w:tc>
          <w:tcPr>
            <w:tcW w:w="954" w:type="pct"/>
          </w:tcPr>
          <w:p w:rsidR="00282AE7" w:rsidRPr="005331F8" w:rsidRDefault="00282AE7" w:rsidP="00DC3B42">
            <w:pPr>
              <w:pStyle w:val="TableText0"/>
              <w:keepNext w:val="0"/>
              <w:rPr>
                <w:b/>
                <w:szCs w:val="20"/>
              </w:rPr>
            </w:pPr>
            <w:r w:rsidRPr="005331F8">
              <w:rPr>
                <w:b/>
                <w:szCs w:val="20"/>
              </w:rPr>
              <w:t>Trial ID</w:t>
            </w:r>
          </w:p>
        </w:tc>
        <w:tc>
          <w:tcPr>
            <w:tcW w:w="2895" w:type="pct"/>
          </w:tcPr>
          <w:p w:rsidR="00282AE7" w:rsidRPr="005331F8" w:rsidRDefault="00282AE7" w:rsidP="00DC3B42">
            <w:pPr>
              <w:pStyle w:val="TableText0"/>
              <w:keepNext w:val="0"/>
              <w:rPr>
                <w:b/>
                <w:szCs w:val="20"/>
              </w:rPr>
            </w:pPr>
            <w:r w:rsidRPr="005331F8">
              <w:rPr>
                <w:b/>
                <w:szCs w:val="20"/>
              </w:rPr>
              <w:t>Protocol title/ Publication title</w:t>
            </w:r>
          </w:p>
        </w:tc>
        <w:tc>
          <w:tcPr>
            <w:tcW w:w="1151" w:type="pct"/>
          </w:tcPr>
          <w:p w:rsidR="00282AE7" w:rsidRPr="005331F8" w:rsidRDefault="00282AE7" w:rsidP="00DC3B42">
            <w:pPr>
              <w:pStyle w:val="TableText0"/>
              <w:keepNext w:val="0"/>
              <w:rPr>
                <w:b/>
                <w:szCs w:val="20"/>
              </w:rPr>
            </w:pPr>
            <w:r w:rsidRPr="005331F8">
              <w:rPr>
                <w:b/>
                <w:szCs w:val="20"/>
              </w:rPr>
              <w:t>Publication citation</w:t>
            </w:r>
          </w:p>
        </w:tc>
      </w:tr>
      <w:tr w:rsidR="00282AE7" w:rsidRPr="005331F8" w:rsidTr="00DC3B42">
        <w:trPr>
          <w:trHeight w:val="676"/>
        </w:trPr>
        <w:tc>
          <w:tcPr>
            <w:tcW w:w="954" w:type="pct"/>
            <w:tcBorders>
              <w:bottom w:val="nil"/>
            </w:tcBorders>
          </w:tcPr>
          <w:p w:rsidR="00282AE7" w:rsidRPr="005331F8" w:rsidRDefault="00282AE7" w:rsidP="00DC3B42">
            <w:pPr>
              <w:pStyle w:val="TableText0"/>
              <w:keepNext w:val="0"/>
              <w:rPr>
                <w:szCs w:val="20"/>
              </w:rPr>
            </w:pPr>
            <w:r w:rsidRPr="005331F8">
              <w:rPr>
                <w:szCs w:val="20"/>
              </w:rPr>
              <w:t>CAFÉ</w:t>
            </w:r>
          </w:p>
          <w:p w:rsidR="00282AE7" w:rsidRPr="005331F8" w:rsidRDefault="00282AE7" w:rsidP="00DC3B42">
            <w:pPr>
              <w:pStyle w:val="TableText0"/>
              <w:keepNext w:val="0"/>
              <w:rPr>
                <w:szCs w:val="20"/>
              </w:rPr>
            </w:pPr>
            <w:r w:rsidRPr="005331F8">
              <w:rPr>
                <w:szCs w:val="20"/>
              </w:rPr>
              <w:t>R668-AD-1424</w:t>
            </w:r>
          </w:p>
          <w:p w:rsidR="00282AE7" w:rsidRPr="005331F8" w:rsidRDefault="00282AE7" w:rsidP="00DC3B42">
            <w:pPr>
              <w:pStyle w:val="TableText0"/>
              <w:keepNext w:val="0"/>
              <w:rPr>
                <w:szCs w:val="20"/>
              </w:rPr>
            </w:pPr>
            <w:r w:rsidRPr="005331F8">
              <w:rPr>
                <w:szCs w:val="20"/>
              </w:rPr>
              <w:t xml:space="preserve">NCT02755649 </w:t>
            </w:r>
          </w:p>
        </w:tc>
        <w:tc>
          <w:tcPr>
            <w:tcW w:w="2895" w:type="pct"/>
            <w:tcBorders>
              <w:bottom w:val="single" w:sz="4" w:space="0" w:color="auto"/>
            </w:tcBorders>
          </w:tcPr>
          <w:p w:rsidR="00282AE7" w:rsidRPr="005331F8" w:rsidRDefault="00282AE7" w:rsidP="00DC3B42">
            <w:pPr>
              <w:pStyle w:val="TableText0"/>
              <w:keepNext w:val="0"/>
              <w:rPr>
                <w:szCs w:val="20"/>
              </w:rPr>
            </w:pPr>
            <w:r w:rsidRPr="005331F8">
              <w:rPr>
                <w:szCs w:val="20"/>
              </w:rPr>
              <w:t>A phase 3 study investigating the efficacy, safety, and tolerability of dupilumab administered to adult patients with severe atopic dermatitis who are not adequately controlled with or are intolerant to oral cyclosporine A, or when this treatment is not medically advisable.</w:t>
            </w:r>
          </w:p>
        </w:tc>
        <w:tc>
          <w:tcPr>
            <w:tcW w:w="1151" w:type="pct"/>
            <w:tcBorders>
              <w:bottom w:val="single" w:sz="4" w:space="0" w:color="auto"/>
            </w:tcBorders>
          </w:tcPr>
          <w:p w:rsidR="00282AE7" w:rsidRPr="005331F8" w:rsidRDefault="00282AE7" w:rsidP="00DC3B42">
            <w:pPr>
              <w:pStyle w:val="TableText0"/>
              <w:keepNext w:val="0"/>
              <w:rPr>
                <w:szCs w:val="20"/>
              </w:rPr>
            </w:pPr>
            <w:r w:rsidRPr="005331F8">
              <w:rPr>
                <w:szCs w:val="20"/>
              </w:rPr>
              <w:t>08/07/2015</w:t>
            </w:r>
          </w:p>
          <w:p w:rsidR="00282AE7" w:rsidRPr="005331F8" w:rsidRDefault="00282AE7" w:rsidP="00DC3B42">
            <w:pPr>
              <w:pStyle w:val="TableText0"/>
              <w:keepNext w:val="0"/>
              <w:rPr>
                <w:szCs w:val="20"/>
              </w:rPr>
            </w:pPr>
          </w:p>
        </w:tc>
      </w:tr>
      <w:tr w:rsidR="00282AE7" w:rsidRPr="005331F8" w:rsidTr="00DC3B42">
        <w:trPr>
          <w:trHeight w:val="895"/>
        </w:trPr>
        <w:tc>
          <w:tcPr>
            <w:tcW w:w="954" w:type="pct"/>
            <w:vMerge w:val="restart"/>
            <w:tcBorders>
              <w:top w:val="nil"/>
            </w:tcBorders>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rPr>
                <w:szCs w:val="20"/>
              </w:rPr>
            </w:pPr>
            <w:r w:rsidRPr="005331F8">
              <w:rPr>
                <w:szCs w:val="20"/>
              </w:rPr>
              <w:t>de Bruin-Weller M, Gadkari A, Simpson E et al.</w:t>
            </w:r>
            <w:r w:rsidR="007B2FBB" w:rsidRPr="005331F8">
              <w:rPr>
                <w:szCs w:val="20"/>
              </w:rPr>
              <w:t xml:space="preserve"> </w:t>
            </w:r>
            <w:r w:rsidRPr="005331F8">
              <w:rPr>
                <w:szCs w:val="20"/>
              </w:rPr>
              <w:t>Dupilumab improves patient-reported outcomes in atopic dermatitis inadequately controlled, intolerant, or inadvisable for cyclosporine-A. Annals of Allergy, Asthma and Immunology.</w:t>
            </w:r>
          </w:p>
        </w:tc>
        <w:tc>
          <w:tcPr>
            <w:tcW w:w="1151" w:type="pct"/>
            <w:tcBorders>
              <w:top w:val="single" w:sz="4" w:space="0" w:color="auto"/>
            </w:tcBorders>
          </w:tcPr>
          <w:p w:rsidR="00282AE7" w:rsidRPr="005331F8" w:rsidRDefault="00282AE7" w:rsidP="00DC3B42">
            <w:pPr>
              <w:pStyle w:val="TableText0"/>
              <w:keepNext w:val="0"/>
              <w:rPr>
                <w:szCs w:val="20"/>
              </w:rPr>
            </w:pPr>
            <w:r w:rsidRPr="005331F8">
              <w:rPr>
                <w:szCs w:val="20"/>
              </w:rPr>
              <w:t>Annals of Allergy, Asthma and Immunology. 2017; 119(5S1):S94-S95.</w:t>
            </w:r>
          </w:p>
        </w:tc>
      </w:tr>
      <w:tr w:rsidR="00282AE7" w:rsidRPr="005331F8" w:rsidTr="00DC3B42">
        <w:trPr>
          <w:trHeight w:val="1155"/>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rPr>
                <w:szCs w:val="20"/>
              </w:rPr>
            </w:pPr>
            <w:r w:rsidRPr="005331F8">
              <w:rPr>
                <w:szCs w:val="20"/>
              </w:rPr>
              <w:t>de Bruin-Weller M, Thaci D, Smith K et al. Dupilumab with concomitant topical corticosteroid treatment in adults with atopic dermatitis with an inadequate response or intolerance to ciclosporin A or when this treatment is medically inadvisable: a placebo-controlled, randomized phase III clinical trial (LIBERTY AD CAFÉ).</w:t>
            </w:r>
          </w:p>
        </w:tc>
        <w:tc>
          <w:tcPr>
            <w:tcW w:w="1151" w:type="pct"/>
            <w:tcBorders>
              <w:top w:val="single" w:sz="4" w:space="0" w:color="auto"/>
            </w:tcBorders>
          </w:tcPr>
          <w:p w:rsidR="00282AE7" w:rsidRPr="005331F8" w:rsidRDefault="00282AE7" w:rsidP="00DC3B42">
            <w:pPr>
              <w:pStyle w:val="TableText0"/>
              <w:rPr>
                <w:szCs w:val="20"/>
              </w:rPr>
            </w:pPr>
            <w:r w:rsidRPr="005331F8">
              <w:rPr>
                <w:szCs w:val="20"/>
              </w:rPr>
              <w:t>British Journal of Dermatology. 2018; 178:1083-1101.</w:t>
            </w:r>
          </w:p>
        </w:tc>
      </w:tr>
      <w:tr w:rsidR="00282AE7" w:rsidRPr="005331F8" w:rsidTr="00DC3B42">
        <w:trPr>
          <w:trHeight w:val="735"/>
        </w:trPr>
        <w:tc>
          <w:tcPr>
            <w:tcW w:w="954" w:type="pct"/>
            <w:vMerge w:val="restart"/>
          </w:tcPr>
          <w:p w:rsidR="00282AE7" w:rsidRPr="005331F8" w:rsidRDefault="00282AE7" w:rsidP="00DC3B42">
            <w:pPr>
              <w:pStyle w:val="TableText0"/>
              <w:keepNext w:val="0"/>
              <w:rPr>
                <w:szCs w:val="20"/>
              </w:rPr>
            </w:pPr>
            <w:r w:rsidRPr="005331F8">
              <w:rPr>
                <w:szCs w:val="20"/>
              </w:rPr>
              <w:t>CHRONOS</w:t>
            </w:r>
          </w:p>
          <w:p w:rsidR="00282AE7" w:rsidRPr="005331F8" w:rsidRDefault="00282AE7" w:rsidP="00DC3B42">
            <w:pPr>
              <w:pStyle w:val="TableText0"/>
              <w:keepNext w:val="0"/>
              <w:rPr>
                <w:szCs w:val="20"/>
              </w:rPr>
            </w:pPr>
            <w:r w:rsidRPr="005331F8">
              <w:rPr>
                <w:szCs w:val="20"/>
              </w:rPr>
              <w:t>R668-AD-1224</w:t>
            </w:r>
          </w:p>
          <w:p w:rsidR="00282AE7" w:rsidRPr="005331F8" w:rsidRDefault="00282AE7" w:rsidP="00DC3B42">
            <w:pPr>
              <w:pStyle w:val="TableText0"/>
              <w:keepNext w:val="0"/>
              <w:rPr>
                <w:szCs w:val="20"/>
              </w:rPr>
            </w:pPr>
            <w:r w:rsidRPr="005331F8">
              <w:rPr>
                <w:szCs w:val="20"/>
              </w:rPr>
              <w:t>NCT02260986</w:t>
            </w:r>
          </w:p>
        </w:tc>
        <w:tc>
          <w:tcPr>
            <w:tcW w:w="2895" w:type="pct"/>
            <w:tcBorders>
              <w:bottom w:val="single" w:sz="4" w:space="0" w:color="auto"/>
            </w:tcBorders>
          </w:tcPr>
          <w:p w:rsidR="00282AE7" w:rsidRPr="005331F8" w:rsidRDefault="00282AE7" w:rsidP="00DC3B42">
            <w:pPr>
              <w:pStyle w:val="TableText0"/>
              <w:keepNext w:val="0"/>
              <w:rPr>
                <w:szCs w:val="20"/>
              </w:rPr>
            </w:pPr>
            <w:r w:rsidRPr="005331F8">
              <w:rPr>
                <w:szCs w:val="20"/>
              </w:rPr>
              <w:t>A randomised, double-blind, placebo-controlled study to demonstrate the efficacy and long-term safety of dupilumab in adult patients with moderate to severe atopic dermatitis.</w:t>
            </w:r>
          </w:p>
        </w:tc>
        <w:tc>
          <w:tcPr>
            <w:tcW w:w="1151" w:type="pct"/>
            <w:tcBorders>
              <w:bottom w:val="single" w:sz="4" w:space="0" w:color="auto"/>
            </w:tcBorders>
          </w:tcPr>
          <w:p w:rsidR="00282AE7" w:rsidRPr="005331F8" w:rsidRDefault="00282AE7" w:rsidP="00DC3B42">
            <w:pPr>
              <w:pStyle w:val="TableText0"/>
              <w:keepNext w:val="0"/>
              <w:rPr>
                <w:szCs w:val="20"/>
              </w:rPr>
            </w:pPr>
            <w:r w:rsidRPr="005331F8">
              <w:rPr>
                <w:szCs w:val="20"/>
              </w:rPr>
              <w:t>02/10/2015</w:t>
            </w:r>
          </w:p>
        </w:tc>
      </w:tr>
      <w:tr w:rsidR="00282AE7" w:rsidRPr="005331F8" w:rsidTr="00DC3B42">
        <w:trPr>
          <w:trHeight w:val="125"/>
        </w:trPr>
        <w:tc>
          <w:tcPr>
            <w:tcW w:w="954" w:type="pct"/>
            <w:vMerge/>
            <w:tcBorders>
              <w:bottom w:val="nil"/>
            </w:tcBorders>
          </w:tcPr>
          <w:p w:rsidR="00282AE7" w:rsidRPr="005331F8" w:rsidRDefault="00282AE7" w:rsidP="00DC3B42">
            <w:pPr>
              <w:pStyle w:val="TableText0"/>
              <w:keepNext w:val="0"/>
              <w:rPr>
                <w:szCs w:val="20"/>
              </w:rPr>
            </w:pPr>
          </w:p>
        </w:tc>
        <w:tc>
          <w:tcPr>
            <w:tcW w:w="2895"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Blauvelt A, Bruin-Weller M, Gooderham M et al. Long-term management of moderate-to-severe atopic dermatitis with dupilumab and concomitant topical corticosteroids (LIBERTY AD CHRONOS): a 1-year, randomised, double-blinded, placebo-controlled, phase 3 trial.</w:t>
            </w:r>
          </w:p>
        </w:tc>
        <w:tc>
          <w:tcPr>
            <w:tcW w:w="1151"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Lancet. 2017; 389:2287-303.</w:t>
            </w:r>
          </w:p>
          <w:p w:rsidR="00282AE7" w:rsidRPr="005331F8" w:rsidRDefault="00282AE7" w:rsidP="00DC3B42">
            <w:pPr>
              <w:pStyle w:val="TableText0"/>
              <w:keepNext w:val="0"/>
              <w:rPr>
                <w:szCs w:val="20"/>
              </w:rPr>
            </w:pPr>
          </w:p>
        </w:tc>
      </w:tr>
      <w:tr w:rsidR="00282AE7" w:rsidRPr="005331F8" w:rsidTr="00DC3B42">
        <w:trPr>
          <w:trHeight w:val="284"/>
        </w:trPr>
        <w:tc>
          <w:tcPr>
            <w:tcW w:w="954" w:type="pct"/>
            <w:vMerge w:val="restart"/>
            <w:tcBorders>
              <w:top w:val="nil"/>
            </w:tcBorders>
          </w:tcPr>
          <w:p w:rsidR="00282AE7" w:rsidRPr="005331F8" w:rsidRDefault="00282AE7" w:rsidP="00DC3B42">
            <w:pPr>
              <w:pStyle w:val="TableText0"/>
              <w:keepNext w:val="0"/>
              <w:rPr>
                <w:szCs w:val="20"/>
              </w:rPr>
            </w:pPr>
          </w:p>
        </w:tc>
        <w:tc>
          <w:tcPr>
            <w:tcW w:w="2895"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Blauvelt A, Gooderham M, Foley P et al. Efficacy and safety of dupilumab with concomitant topical corticosteroids for up to 1 year in moderate-to-severe atopic dermatitis: a randomized, placebo-controlled phase III trial (CHRONOS).</w:t>
            </w:r>
          </w:p>
        </w:tc>
        <w:tc>
          <w:tcPr>
            <w:tcW w:w="1151"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British Journal of Dermatology. 2017; 177(S1):10.</w:t>
            </w:r>
          </w:p>
          <w:p w:rsidR="00282AE7" w:rsidRPr="005331F8" w:rsidDel="0039239D" w:rsidRDefault="00282AE7" w:rsidP="00DC3B42">
            <w:pPr>
              <w:pStyle w:val="TableText0"/>
              <w:keepNext w:val="0"/>
              <w:rPr>
                <w:szCs w:val="20"/>
              </w:rPr>
            </w:pPr>
          </w:p>
        </w:tc>
      </w:tr>
      <w:tr w:rsidR="00282AE7" w:rsidRPr="005331F8" w:rsidTr="00DC3B42">
        <w:trPr>
          <w:trHeight w:val="70"/>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keepNext w:val="0"/>
              <w:rPr>
                <w:szCs w:val="20"/>
              </w:rPr>
            </w:pPr>
            <w:r w:rsidRPr="005331F8">
              <w:rPr>
                <w:szCs w:val="20"/>
              </w:rPr>
              <w:t>Blauvelt A, Gooderham M, Foley P et al. Dupilumab with concomitant topical corticosteroids in moderate-to-severe atopic dermatitis: a randomised, placebo-controlled phase 3 clinical trial (CHRONOS).</w:t>
            </w:r>
          </w:p>
          <w:p w:rsidR="00282AE7" w:rsidRPr="005331F8" w:rsidDel="0039239D" w:rsidRDefault="00282AE7" w:rsidP="00DC3B42">
            <w:pPr>
              <w:pStyle w:val="TableText0"/>
              <w:keepNext w:val="0"/>
              <w:rPr>
                <w:szCs w:val="20"/>
              </w:rPr>
            </w:pPr>
            <w:r w:rsidRPr="005331F8">
              <w:rPr>
                <w:szCs w:val="20"/>
              </w:rPr>
              <w:t>de Bruin-Weller M, Blauvelt A, Simpson E et al. Analysis of the long-term consistent of clinical response with dupilumab plus concomitant topical corticosteroids.</w:t>
            </w:r>
          </w:p>
        </w:tc>
        <w:tc>
          <w:tcPr>
            <w:tcW w:w="1151" w:type="pct"/>
            <w:tcBorders>
              <w:top w:val="single" w:sz="4" w:space="0" w:color="auto"/>
            </w:tcBorders>
          </w:tcPr>
          <w:p w:rsidR="00282AE7" w:rsidRPr="005331F8" w:rsidRDefault="00282AE7" w:rsidP="00DC3B42">
            <w:pPr>
              <w:pStyle w:val="TableText0"/>
              <w:keepNext w:val="0"/>
              <w:rPr>
                <w:szCs w:val="20"/>
              </w:rPr>
            </w:pPr>
            <w:r w:rsidRPr="005331F8">
              <w:rPr>
                <w:szCs w:val="20"/>
              </w:rPr>
              <w:t>Australasian Journal of Dermatology. 2017; 58:55.</w:t>
            </w:r>
          </w:p>
          <w:p w:rsidR="00282AE7" w:rsidRPr="005331F8" w:rsidRDefault="00282AE7" w:rsidP="00DC3B42">
            <w:pPr>
              <w:pStyle w:val="TableText0"/>
              <w:keepNext w:val="0"/>
              <w:rPr>
                <w:szCs w:val="20"/>
              </w:rPr>
            </w:pPr>
          </w:p>
          <w:p w:rsidR="00282AE7" w:rsidRPr="005331F8" w:rsidRDefault="00282AE7" w:rsidP="00DC3B42">
            <w:pPr>
              <w:pStyle w:val="TableText0"/>
              <w:keepNext w:val="0"/>
              <w:rPr>
                <w:szCs w:val="20"/>
              </w:rPr>
            </w:pPr>
            <w:r w:rsidRPr="005331F8">
              <w:rPr>
                <w:szCs w:val="20"/>
              </w:rPr>
              <w:t>British Journal of Dermatology. 2018; 179: e41-42</w:t>
            </w:r>
          </w:p>
        </w:tc>
      </w:tr>
      <w:tr w:rsidR="00282AE7" w:rsidRPr="005331F8" w:rsidTr="00DC3B42">
        <w:trPr>
          <w:trHeight w:val="70"/>
        </w:trPr>
        <w:tc>
          <w:tcPr>
            <w:tcW w:w="954" w:type="pct"/>
            <w:vMerge w:val="restart"/>
          </w:tcPr>
          <w:p w:rsidR="00282AE7" w:rsidRPr="005331F8" w:rsidRDefault="00282AE7" w:rsidP="00DC3B42">
            <w:pPr>
              <w:pStyle w:val="TableText0"/>
              <w:keepNext w:val="0"/>
              <w:rPr>
                <w:szCs w:val="20"/>
              </w:rPr>
            </w:pPr>
            <w:r w:rsidRPr="005331F8">
              <w:rPr>
                <w:szCs w:val="20"/>
              </w:rPr>
              <w:t>SOLO 1</w:t>
            </w:r>
          </w:p>
          <w:p w:rsidR="00282AE7" w:rsidRPr="005331F8" w:rsidRDefault="00282AE7" w:rsidP="00DC3B42">
            <w:pPr>
              <w:pStyle w:val="TableText0"/>
              <w:keepNext w:val="0"/>
              <w:rPr>
                <w:szCs w:val="20"/>
              </w:rPr>
            </w:pPr>
            <w:r w:rsidRPr="005331F8">
              <w:rPr>
                <w:szCs w:val="20"/>
              </w:rPr>
              <w:t>R668-AD-1334</w:t>
            </w:r>
          </w:p>
          <w:p w:rsidR="00282AE7" w:rsidRPr="005331F8" w:rsidRDefault="00282AE7" w:rsidP="00DC3B42">
            <w:pPr>
              <w:pStyle w:val="TableText0"/>
              <w:keepNext w:val="0"/>
              <w:rPr>
                <w:szCs w:val="20"/>
              </w:rPr>
            </w:pPr>
            <w:r w:rsidRPr="005331F8">
              <w:rPr>
                <w:szCs w:val="20"/>
              </w:rPr>
              <w:t>NCT02277743</w:t>
            </w:r>
          </w:p>
        </w:tc>
        <w:tc>
          <w:tcPr>
            <w:tcW w:w="2895" w:type="pct"/>
            <w:tcBorders>
              <w:bottom w:val="single" w:sz="4" w:space="0" w:color="auto"/>
            </w:tcBorders>
          </w:tcPr>
          <w:p w:rsidR="00282AE7" w:rsidRPr="005331F8" w:rsidRDefault="00282AE7" w:rsidP="00DC3B42">
            <w:pPr>
              <w:pStyle w:val="TableText0"/>
              <w:keepNext w:val="0"/>
              <w:rPr>
                <w:szCs w:val="20"/>
              </w:rPr>
            </w:pPr>
            <w:r w:rsidRPr="005331F8">
              <w:rPr>
                <w:szCs w:val="20"/>
              </w:rPr>
              <w:t>A phase 3 confirmatory study investigating the efficacy and safety of dupilumab monotherapy administered to adult patients with moderate to severe atopic dermatitis.</w:t>
            </w:r>
          </w:p>
        </w:tc>
        <w:tc>
          <w:tcPr>
            <w:tcW w:w="1151" w:type="pct"/>
            <w:tcBorders>
              <w:bottom w:val="single" w:sz="4" w:space="0" w:color="auto"/>
            </w:tcBorders>
          </w:tcPr>
          <w:p w:rsidR="00282AE7" w:rsidRPr="005331F8" w:rsidRDefault="00282AE7" w:rsidP="00DC3B42">
            <w:pPr>
              <w:pStyle w:val="TableText0"/>
              <w:keepNext w:val="0"/>
              <w:rPr>
                <w:szCs w:val="20"/>
              </w:rPr>
            </w:pPr>
            <w:r w:rsidRPr="005331F8">
              <w:rPr>
                <w:szCs w:val="20"/>
              </w:rPr>
              <w:t>05/02/2015</w:t>
            </w:r>
          </w:p>
          <w:p w:rsidR="00282AE7" w:rsidRPr="005331F8" w:rsidRDefault="00282AE7" w:rsidP="00DC3B42">
            <w:pPr>
              <w:pStyle w:val="TableText0"/>
              <w:keepNext w:val="0"/>
              <w:rPr>
                <w:szCs w:val="20"/>
              </w:rPr>
            </w:pPr>
          </w:p>
        </w:tc>
      </w:tr>
      <w:tr w:rsidR="00282AE7" w:rsidRPr="005331F8" w:rsidTr="00DC3B42">
        <w:trPr>
          <w:trHeight w:val="255"/>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keepNext w:val="0"/>
              <w:rPr>
                <w:szCs w:val="20"/>
              </w:rPr>
            </w:pPr>
            <w:r w:rsidRPr="005331F8">
              <w:rPr>
                <w:szCs w:val="20"/>
              </w:rPr>
              <w:t>Simpson EL, Bieber T, Guttman-Yassky E, et al. Two Phase 3 Trials of Dupilumab versus Placebo in Atopic Dermatitis.</w:t>
            </w:r>
          </w:p>
        </w:tc>
        <w:tc>
          <w:tcPr>
            <w:tcW w:w="1151" w:type="pct"/>
            <w:tcBorders>
              <w:top w:val="single" w:sz="4" w:space="0" w:color="auto"/>
            </w:tcBorders>
          </w:tcPr>
          <w:p w:rsidR="00282AE7" w:rsidRPr="005331F8" w:rsidRDefault="00282AE7" w:rsidP="00DC3B42">
            <w:pPr>
              <w:pStyle w:val="TableText0"/>
              <w:keepNext w:val="0"/>
              <w:rPr>
                <w:szCs w:val="20"/>
              </w:rPr>
            </w:pPr>
            <w:r w:rsidRPr="005331F8">
              <w:rPr>
                <w:szCs w:val="20"/>
              </w:rPr>
              <w:t>N Engl J Med. 2016 Dec 15;375(24):2335-2348.</w:t>
            </w:r>
          </w:p>
        </w:tc>
      </w:tr>
      <w:tr w:rsidR="00282AE7" w:rsidRPr="005331F8" w:rsidTr="00DC3B42">
        <w:trPr>
          <w:trHeight w:val="132"/>
        </w:trPr>
        <w:tc>
          <w:tcPr>
            <w:tcW w:w="954" w:type="pct"/>
            <w:vMerge w:val="restart"/>
          </w:tcPr>
          <w:p w:rsidR="00282AE7" w:rsidRPr="005331F8" w:rsidRDefault="00282AE7" w:rsidP="00DC3B42">
            <w:pPr>
              <w:pStyle w:val="TableText0"/>
              <w:keepNext w:val="0"/>
              <w:rPr>
                <w:szCs w:val="20"/>
              </w:rPr>
            </w:pPr>
            <w:r w:rsidRPr="005331F8">
              <w:rPr>
                <w:szCs w:val="20"/>
              </w:rPr>
              <w:t>SOLO 2</w:t>
            </w:r>
          </w:p>
          <w:p w:rsidR="00282AE7" w:rsidRPr="005331F8" w:rsidRDefault="00282AE7" w:rsidP="00DC3B42">
            <w:pPr>
              <w:pStyle w:val="TableText0"/>
              <w:keepNext w:val="0"/>
              <w:rPr>
                <w:szCs w:val="20"/>
              </w:rPr>
            </w:pPr>
            <w:r w:rsidRPr="005331F8">
              <w:rPr>
                <w:szCs w:val="20"/>
              </w:rPr>
              <w:t>R668-AD-1416</w:t>
            </w:r>
          </w:p>
          <w:p w:rsidR="00282AE7" w:rsidRPr="005331F8" w:rsidRDefault="00282AE7" w:rsidP="00DC3B42">
            <w:pPr>
              <w:pStyle w:val="TableText0"/>
              <w:keepNext w:val="0"/>
              <w:rPr>
                <w:szCs w:val="20"/>
              </w:rPr>
            </w:pPr>
            <w:r w:rsidRPr="005331F8">
              <w:rPr>
                <w:szCs w:val="20"/>
              </w:rPr>
              <w:t>NCT02277769</w:t>
            </w:r>
          </w:p>
        </w:tc>
        <w:tc>
          <w:tcPr>
            <w:tcW w:w="2895" w:type="pct"/>
            <w:tcBorders>
              <w:bottom w:val="single" w:sz="4" w:space="0" w:color="auto"/>
            </w:tcBorders>
          </w:tcPr>
          <w:p w:rsidR="00282AE7" w:rsidRPr="005331F8" w:rsidRDefault="00282AE7" w:rsidP="00DC3B42">
            <w:pPr>
              <w:pStyle w:val="TableText0"/>
              <w:keepNext w:val="0"/>
              <w:rPr>
                <w:szCs w:val="20"/>
              </w:rPr>
            </w:pPr>
            <w:r w:rsidRPr="005331F8">
              <w:rPr>
                <w:szCs w:val="20"/>
              </w:rPr>
              <w:t>A phase 3 confirmatory study investigating the efficacy and safety of dupilumab monotherapy administered to adult patients with moderate to severe atopic dermatitis.</w:t>
            </w:r>
          </w:p>
        </w:tc>
        <w:tc>
          <w:tcPr>
            <w:tcW w:w="1151" w:type="pct"/>
            <w:tcBorders>
              <w:bottom w:val="single" w:sz="4" w:space="0" w:color="auto"/>
            </w:tcBorders>
          </w:tcPr>
          <w:p w:rsidR="00282AE7" w:rsidRPr="005331F8" w:rsidRDefault="00282AE7" w:rsidP="00DC3B42">
            <w:pPr>
              <w:pStyle w:val="TableText0"/>
              <w:keepNext w:val="0"/>
              <w:rPr>
                <w:szCs w:val="20"/>
              </w:rPr>
            </w:pPr>
            <w:r w:rsidRPr="005331F8">
              <w:rPr>
                <w:szCs w:val="20"/>
              </w:rPr>
              <w:t>05/02/2015</w:t>
            </w:r>
          </w:p>
          <w:p w:rsidR="00282AE7" w:rsidRPr="005331F8" w:rsidRDefault="00282AE7" w:rsidP="00DC3B42">
            <w:pPr>
              <w:pStyle w:val="TableText0"/>
              <w:keepNext w:val="0"/>
              <w:rPr>
                <w:szCs w:val="20"/>
              </w:rPr>
            </w:pPr>
          </w:p>
        </w:tc>
      </w:tr>
      <w:tr w:rsidR="00282AE7" w:rsidRPr="005331F8" w:rsidTr="00DC3B42">
        <w:trPr>
          <w:trHeight w:val="309"/>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keepNext w:val="0"/>
              <w:rPr>
                <w:szCs w:val="20"/>
              </w:rPr>
            </w:pPr>
            <w:r w:rsidRPr="005331F8">
              <w:rPr>
                <w:szCs w:val="20"/>
              </w:rPr>
              <w:t>Simpson EL, Bieber T, Guttman-Yassky E, et al. Two Phase 3 Trials of Dupilumab versus Placebo in Atopic Dermatitis.</w:t>
            </w:r>
          </w:p>
        </w:tc>
        <w:tc>
          <w:tcPr>
            <w:tcW w:w="1151" w:type="pct"/>
            <w:tcBorders>
              <w:top w:val="single" w:sz="4" w:space="0" w:color="auto"/>
            </w:tcBorders>
          </w:tcPr>
          <w:p w:rsidR="00282AE7" w:rsidRPr="005331F8" w:rsidRDefault="00282AE7" w:rsidP="00DC3B42">
            <w:pPr>
              <w:pStyle w:val="TableText0"/>
              <w:keepNext w:val="0"/>
              <w:rPr>
                <w:szCs w:val="20"/>
              </w:rPr>
            </w:pPr>
            <w:r w:rsidRPr="005331F8">
              <w:rPr>
                <w:szCs w:val="20"/>
              </w:rPr>
              <w:t>N Engl J Med. 2016 Dec 15;375(24):2335-2348.</w:t>
            </w:r>
          </w:p>
        </w:tc>
      </w:tr>
      <w:tr w:rsidR="00282AE7" w:rsidRPr="005331F8" w:rsidTr="00DC3B42">
        <w:trPr>
          <w:trHeight w:val="519"/>
        </w:trPr>
        <w:tc>
          <w:tcPr>
            <w:tcW w:w="954" w:type="pct"/>
            <w:vMerge w:val="restart"/>
          </w:tcPr>
          <w:p w:rsidR="00282AE7" w:rsidRPr="005331F8" w:rsidRDefault="00282AE7" w:rsidP="00DC3B42">
            <w:pPr>
              <w:pStyle w:val="TableText0"/>
              <w:keepNext w:val="0"/>
              <w:rPr>
                <w:szCs w:val="20"/>
              </w:rPr>
            </w:pPr>
            <w:r w:rsidRPr="005331F8">
              <w:rPr>
                <w:szCs w:val="20"/>
              </w:rPr>
              <w:t>Phase IIb</w:t>
            </w:r>
          </w:p>
          <w:p w:rsidR="00282AE7" w:rsidRPr="005331F8" w:rsidRDefault="00282AE7" w:rsidP="00DC3B42">
            <w:pPr>
              <w:pStyle w:val="TableText0"/>
              <w:keepNext w:val="0"/>
              <w:rPr>
                <w:szCs w:val="20"/>
              </w:rPr>
            </w:pPr>
            <w:r w:rsidRPr="005331F8">
              <w:rPr>
                <w:szCs w:val="20"/>
              </w:rPr>
              <w:t>R668-AD-1021</w:t>
            </w:r>
          </w:p>
          <w:p w:rsidR="00282AE7" w:rsidRPr="005331F8" w:rsidRDefault="00282AE7" w:rsidP="00DC3B42">
            <w:pPr>
              <w:pStyle w:val="TableText0"/>
              <w:keepNext w:val="0"/>
              <w:rPr>
                <w:szCs w:val="20"/>
              </w:rPr>
            </w:pPr>
            <w:r w:rsidRPr="005331F8">
              <w:rPr>
                <w:szCs w:val="20"/>
              </w:rPr>
              <w:t>NCT01859988</w:t>
            </w:r>
          </w:p>
        </w:tc>
        <w:tc>
          <w:tcPr>
            <w:tcW w:w="2895" w:type="pct"/>
            <w:tcBorders>
              <w:bottom w:val="single" w:sz="4" w:space="0" w:color="auto"/>
            </w:tcBorders>
          </w:tcPr>
          <w:p w:rsidR="00282AE7" w:rsidRPr="005331F8" w:rsidRDefault="00282AE7" w:rsidP="00DC3B42">
            <w:pPr>
              <w:pStyle w:val="TableText0"/>
              <w:keepNext w:val="0"/>
              <w:rPr>
                <w:szCs w:val="20"/>
              </w:rPr>
            </w:pPr>
            <w:r w:rsidRPr="005331F8">
              <w:rPr>
                <w:szCs w:val="20"/>
              </w:rPr>
              <w:t>A Randomized, Double-Blind, Placebo-Controlled, Parallel-Group, Dose-Ranging Study Investigating the Efficacy, Safety, Pharmacokinetic and Biomarker Profiles of Dupilumab (REGN668) Administered to Adult Patients with Moderate-to-Severe Atopic Dermatitis.</w:t>
            </w:r>
          </w:p>
        </w:tc>
        <w:tc>
          <w:tcPr>
            <w:tcW w:w="1151" w:type="pct"/>
            <w:tcBorders>
              <w:bottom w:val="single" w:sz="4" w:space="0" w:color="auto"/>
            </w:tcBorders>
          </w:tcPr>
          <w:p w:rsidR="00282AE7" w:rsidRPr="005331F8" w:rsidRDefault="00282AE7" w:rsidP="00DC3B42">
            <w:pPr>
              <w:pStyle w:val="TableText0"/>
              <w:keepNext w:val="0"/>
              <w:rPr>
                <w:szCs w:val="20"/>
              </w:rPr>
            </w:pPr>
            <w:r w:rsidRPr="005331F8">
              <w:rPr>
                <w:szCs w:val="20"/>
              </w:rPr>
              <w:t>03/12/2013</w:t>
            </w:r>
          </w:p>
        </w:tc>
      </w:tr>
      <w:tr w:rsidR="00282AE7" w:rsidRPr="005331F8" w:rsidTr="00DC3B42">
        <w:trPr>
          <w:trHeight w:val="267"/>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Thaci D, Simpson EL, Beck LA et al. Efficacy and safety of dupilumab in adults with moderate-to-severe atopic dermatitis inadequately controlled by topical treatments: a randomised, placebo-controlled, dose-ranging phase 2b trial.</w:t>
            </w:r>
          </w:p>
        </w:tc>
        <w:tc>
          <w:tcPr>
            <w:tcW w:w="1151"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Lancet. 2016; 387:40-52</w:t>
            </w:r>
          </w:p>
        </w:tc>
      </w:tr>
      <w:tr w:rsidR="00282AE7" w:rsidRPr="005331F8" w:rsidTr="00DC3B42">
        <w:trPr>
          <w:trHeight w:val="253"/>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Simpson EL, Gadkari A, Worm M et al. Dupilumab therapy provides clinically meaningful improvement in patient-reported outcomes (PROs): A phase IIb, randomized, placebo-controlled, clinical trial in adult patients with moderate to severe atopic dermatitis (AD).</w:t>
            </w:r>
          </w:p>
        </w:tc>
        <w:tc>
          <w:tcPr>
            <w:tcW w:w="1151" w:type="pct"/>
            <w:tcBorders>
              <w:top w:val="single" w:sz="4" w:space="0" w:color="auto"/>
              <w:bottom w:val="single" w:sz="4" w:space="0" w:color="auto"/>
            </w:tcBorders>
          </w:tcPr>
          <w:p w:rsidR="00282AE7" w:rsidRPr="005331F8" w:rsidRDefault="00282AE7" w:rsidP="00DC3B42">
            <w:pPr>
              <w:pStyle w:val="TableText0"/>
              <w:keepNext w:val="0"/>
              <w:rPr>
                <w:szCs w:val="20"/>
              </w:rPr>
            </w:pPr>
            <w:r w:rsidRPr="005331F8">
              <w:rPr>
                <w:szCs w:val="20"/>
              </w:rPr>
              <w:t>J Am Acad Dermatol. 2016; 75(3): 506-15.</w:t>
            </w:r>
          </w:p>
        </w:tc>
      </w:tr>
      <w:tr w:rsidR="00282AE7" w:rsidRPr="005331F8" w:rsidTr="00DC3B42">
        <w:trPr>
          <w:trHeight w:val="75"/>
        </w:trPr>
        <w:tc>
          <w:tcPr>
            <w:tcW w:w="954" w:type="pct"/>
            <w:vMerge/>
          </w:tcPr>
          <w:p w:rsidR="00282AE7" w:rsidRPr="005331F8" w:rsidRDefault="00282AE7" w:rsidP="00DC3B42">
            <w:pPr>
              <w:pStyle w:val="TableText0"/>
              <w:keepNext w:val="0"/>
              <w:rPr>
                <w:szCs w:val="20"/>
              </w:rPr>
            </w:pPr>
          </w:p>
        </w:tc>
        <w:tc>
          <w:tcPr>
            <w:tcW w:w="2895" w:type="pct"/>
            <w:tcBorders>
              <w:top w:val="single" w:sz="4" w:space="0" w:color="auto"/>
            </w:tcBorders>
          </w:tcPr>
          <w:p w:rsidR="00282AE7" w:rsidRPr="005331F8" w:rsidRDefault="00282AE7" w:rsidP="00DC3B42">
            <w:pPr>
              <w:pStyle w:val="TableText0"/>
              <w:keepNext w:val="0"/>
              <w:rPr>
                <w:szCs w:val="20"/>
              </w:rPr>
            </w:pPr>
            <w:r w:rsidRPr="005331F8">
              <w:rPr>
                <w:szCs w:val="20"/>
              </w:rPr>
              <w:t>Simpson EL, Bieber T, Eckert L et al. Patient burden of moderate to severe atopic dermatitis (AD): Insights from a phase 2b clinical trial of dupilumab in adults.</w:t>
            </w:r>
          </w:p>
        </w:tc>
        <w:tc>
          <w:tcPr>
            <w:tcW w:w="1151" w:type="pct"/>
            <w:tcBorders>
              <w:top w:val="single" w:sz="4" w:space="0" w:color="auto"/>
            </w:tcBorders>
          </w:tcPr>
          <w:p w:rsidR="00282AE7" w:rsidRPr="005331F8" w:rsidRDefault="00282AE7" w:rsidP="00DC3B42">
            <w:pPr>
              <w:pStyle w:val="TableText0"/>
              <w:keepNext w:val="0"/>
              <w:rPr>
                <w:szCs w:val="20"/>
              </w:rPr>
            </w:pPr>
            <w:r w:rsidRPr="005331F8">
              <w:rPr>
                <w:szCs w:val="20"/>
              </w:rPr>
              <w:t>J Am Acad Dermatol. 2016; 74(3): 491-98.</w:t>
            </w:r>
          </w:p>
        </w:tc>
      </w:tr>
    </w:tbl>
    <w:p w:rsidR="00282AE7" w:rsidRPr="00B1054A" w:rsidRDefault="00282AE7" w:rsidP="00282AE7">
      <w:pPr>
        <w:pStyle w:val="TableFooter"/>
        <w:spacing w:after="120"/>
      </w:pPr>
      <w:r w:rsidRPr="00B1054A">
        <w:t>Source: Table 2.2.1 (pp54-55 of the resubmission)</w:t>
      </w:r>
    </w:p>
    <w:p w:rsidR="00620C25" w:rsidRPr="00B1054A" w:rsidRDefault="008F120A" w:rsidP="00282AE7">
      <w:pPr>
        <w:pStyle w:val="3-BodyText"/>
      </w:pPr>
      <w:r w:rsidRPr="00B1054A">
        <w:t>The key features of the direct randomised trials</w:t>
      </w:r>
      <w:r w:rsidR="00282AE7" w:rsidRPr="00B1054A">
        <w:t xml:space="preserve"> </w:t>
      </w:r>
      <w:r w:rsidRPr="00B1054A">
        <w:t xml:space="preserve">are summarised in </w:t>
      </w:r>
      <w:r w:rsidR="00D41813" w:rsidRPr="00B1054A">
        <w:t>Table 5</w:t>
      </w:r>
      <w:r w:rsidRPr="00B1054A">
        <w:t>.</w:t>
      </w:r>
      <w:r w:rsidR="00BC591F" w:rsidRPr="00B1054A">
        <w:t xml:space="preserve"> </w:t>
      </w:r>
    </w:p>
    <w:p w:rsidR="00282AE7" w:rsidRPr="00B1054A" w:rsidRDefault="00282AE7" w:rsidP="002E6742">
      <w:pPr>
        <w:pStyle w:val="TableFigureHeading"/>
        <w:rPr>
          <w:rStyle w:val="CommentReference"/>
          <w:b/>
          <w:szCs w:val="24"/>
        </w:rPr>
      </w:pPr>
      <w:bookmarkStart w:id="18" w:name="_Ref27429949"/>
      <w:r w:rsidRPr="00B1054A">
        <w:rPr>
          <w:rStyle w:val="CommentReference"/>
          <w:b/>
          <w:szCs w:val="24"/>
        </w:rPr>
        <w:lastRenderedPageBreak/>
        <w:t xml:space="preserve">Table </w:t>
      </w:r>
      <w:r w:rsidR="00B20399" w:rsidRPr="00B1054A">
        <w:rPr>
          <w:rStyle w:val="CommentReference"/>
          <w:b/>
          <w:szCs w:val="24"/>
        </w:rPr>
        <w:t>5</w:t>
      </w:r>
      <w:bookmarkEnd w:id="18"/>
      <w:r w:rsidRPr="00B1054A">
        <w:rPr>
          <w:rStyle w:val="CommentReference"/>
          <w:b/>
          <w:szCs w:val="24"/>
        </w:rPr>
        <w:t>: Key features of the included evidence, dupilumab vs.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dupilumab vs. placebo"/>
      </w:tblPr>
      <w:tblGrid>
        <w:gridCol w:w="971"/>
        <w:gridCol w:w="555"/>
        <w:gridCol w:w="1803"/>
        <w:gridCol w:w="835"/>
        <w:gridCol w:w="1803"/>
        <w:gridCol w:w="1039"/>
        <w:gridCol w:w="2011"/>
      </w:tblGrid>
      <w:tr w:rsidR="00282AE7" w:rsidRPr="00B1054A" w:rsidTr="00DC3B42">
        <w:tc>
          <w:tcPr>
            <w:tcW w:w="538" w:type="pct"/>
            <w:shd w:val="clear" w:color="auto" w:fill="auto"/>
            <w:vAlign w:val="center"/>
          </w:tcPr>
          <w:p w:rsidR="00282AE7" w:rsidRPr="00B1054A" w:rsidRDefault="00282AE7" w:rsidP="00DC3B42">
            <w:pPr>
              <w:pStyle w:val="TableText0"/>
              <w:rPr>
                <w:b/>
              </w:rPr>
            </w:pPr>
            <w:r w:rsidRPr="00B1054A">
              <w:rPr>
                <w:b/>
              </w:rPr>
              <w:t>Trial</w:t>
            </w:r>
          </w:p>
        </w:tc>
        <w:tc>
          <w:tcPr>
            <w:tcW w:w="308" w:type="pct"/>
            <w:shd w:val="clear" w:color="auto" w:fill="auto"/>
            <w:vAlign w:val="center"/>
          </w:tcPr>
          <w:p w:rsidR="00282AE7" w:rsidRPr="00B1054A" w:rsidRDefault="00282AE7" w:rsidP="00DC3B42">
            <w:pPr>
              <w:pStyle w:val="TableText0"/>
              <w:jc w:val="center"/>
              <w:rPr>
                <w:b/>
              </w:rPr>
            </w:pPr>
            <w:r w:rsidRPr="00B1054A">
              <w:rPr>
                <w:b/>
              </w:rPr>
              <w:t>N</w:t>
            </w:r>
          </w:p>
        </w:tc>
        <w:tc>
          <w:tcPr>
            <w:tcW w:w="1000" w:type="pct"/>
            <w:shd w:val="clear" w:color="auto" w:fill="auto"/>
            <w:vAlign w:val="center"/>
          </w:tcPr>
          <w:p w:rsidR="00282AE7" w:rsidRPr="00B1054A" w:rsidRDefault="00282AE7" w:rsidP="00DC3B42">
            <w:pPr>
              <w:pStyle w:val="TableText0"/>
              <w:jc w:val="center"/>
              <w:rPr>
                <w:b/>
              </w:rPr>
            </w:pPr>
            <w:r w:rsidRPr="00B1054A">
              <w:rPr>
                <w:b/>
              </w:rPr>
              <w:t>Design/ duration of follow-up</w:t>
            </w:r>
          </w:p>
        </w:tc>
        <w:tc>
          <w:tcPr>
            <w:tcW w:w="463" w:type="pct"/>
            <w:shd w:val="clear" w:color="auto" w:fill="auto"/>
            <w:vAlign w:val="center"/>
          </w:tcPr>
          <w:p w:rsidR="00282AE7" w:rsidRPr="00B1054A" w:rsidRDefault="00282AE7" w:rsidP="00DC3B42">
            <w:pPr>
              <w:pStyle w:val="TableText0"/>
              <w:jc w:val="center"/>
              <w:rPr>
                <w:b/>
              </w:rPr>
            </w:pPr>
            <w:r w:rsidRPr="00B1054A">
              <w:rPr>
                <w:b/>
              </w:rPr>
              <w:t>Risk of bias</w:t>
            </w:r>
          </w:p>
        </w:tc>
        <w:tc>
          <w:tcPr>
            <w:tcW w:w="1000" w:type="pct"/>
            <w:shd w:val="clear" w:color="auto" w:fill="auto"/>
            <w:vAlign w:val="center"/>
          </w:tcPr>
          <w:p w:rsidR="00282AE7" w:rsidRPr="00B1054A" w:rsidRDefault="00282AE7" w:rsidP="00DC3B42">
            <w:pPr>
              <w:pStyle w:val="TableText0"/>
              <w:jc w:val="center"/>
              <w:rPr>
                <w:b/>
              </w:rPr>
            </w:pPr>
            <w:r w:rsidRPr="00B1054A">
              <w:rPr>
                <w:b/>
              </w:rPr>
              <w:t>Patient population</w:t>
            </w:r>
          </w:p>
        </w:tc>
        <w:tc>
          <w:tcPr>
            <w:tcW w:w="576" w:type="pct"/>
            <w:shd w:val="clear" w:color="auto" w:fill="auto"/>
            <w:vAlign w:val="center"/>
          </w:tcPr>
          <w:p w:rsidR="00282AE7" w:rsidRPr="00B1054A" w:rsidRDefault="00282AE7" w:rsidP="00DC3B42">
            <w:pPr>
              <w:pStyle w:val="TableText0"/>
              <w:jc w:val="center"/>
              <w:rPr>
                <w:b/>
              </w:rPr>
            </w:pPr>
            <w:r w:rsidRPr="00B1054A">
              <w:rPr>
                <w:b/>
              </w:rPr>
              <w:t>Outcome(s)</w:t>
            </w:r>
          </w:p>
        </w:tc>
        <w:tc>
          <w:tcPr>
            <w:tcW w:w="1115" w:type="pct"/>
            <w:shd w:val="clear" w:color="auto" w:fill="auto"/>
          </w:tcPr>
          <w:p w:rsidR="00282AE7" w:rsidRPr="00B1054A" w:rsidRDefault="00282AE7" w:rsidP="00DC3B42">
            <w:pPr>
              <w:pStyle w:val="TableText0"/>
              <w:jc w:val="center"/>
              <w:rPr>
                <w:b/>
              </w:rPr>
            </w:pPr>
            <w:r w:rsidRPr="00B1054A">
              <w:rPr>
                <w:b/>
              </w:rPr>
              <w:t>Use in modelled evaluation</w:t>
            </w:r>
          </w:p>
        </w:tc>
      </w:tr>
      <w:tr w:rsidR="002E6742" w:rsidRPr="00B1054A" w:rsidTr="00DC3B42">
        <w:tc>
          <w:tcPr>
            <w:tcW w:w="538" w:type="pct"/>
            <w:shd w:val="clear" w:color="auto" w:fill="auto"/>
            <w:vAlign w:val="center"/>
          </w:tcPr>
          <w:p w:rsidR="002E6742" w:rsidRPr="00B1054A" w:rsidRDefault="002E6742" w:rsidP="00DC3B42">
            <w:pPr>
              <w:pStyle w:val="TableText0"/>
            </w:pPr>
            <w:r w:rsidRPr="00B1054A">
              <w:t xml:space="preserve">CAFÉ </w:t>
            </w:r>
          </w:p>
        </w:tc>
        <w:tc>
          <w:tcPr>
            <w:tcW w:w="308" w:type="pct"/>
            <w:shd w:val="clear" w:color="auto" w:fill="auto"/>
            <w:vAlign w:val="center"/>
          </w:tcPr>
          <w:p w:rsidR="002E6742" w:rsidRPr="00B1054A" w:rsidRDefault="002E6742" w:rsidP="00DC3B42">
            <w:pPr>
              <w:pStyle w:val="TableText0"/>
              <w:jc w:val="center"/>
            </w:pPr>
            <w:r w:rsidRPr="00B1054A">
              <w:t>325</w:t>
            </w:r>
          </w:p>
        </w:tc>
        <w:tc>
          <w:tcPr>
            <w:tcW w:w="1000" w:type="pct"/>
            <w:shd w:val="clear" w:color="auto" w:fill="auto"/>
            <w:vAlign w:val="center"/>
          </w:tcPr>
          <w:p w:rsidR="002E6742" w:rsidRPr="00B1054A" w:rsidRDefault="002E6742" w:rsidP="00DC3B42">
            <w:pPr>
              <w:pStyle w:val="TableText0"/>
              <w:jc w:val="center"/>
            </w:pPr>
            <w:r w:rsidRPr="00B1054A">
              <w:t>DB, R, MC; 28 weeks</w:t>
            </w:r>
          </w:p>
        </w:tc>
        <w:tc>
          <w:tcPr>
            <w:tcW w:w="463" w:type="pct"/>
            <w:shd w:val="clear" w:color="auto" w:fill="auto"/>
            <w:vAlign w:val="center"/>
          </w:tcPr>
          <w:p w:rsidR="002E6742" w:rsidRPr="00B1054A" w:rsidRDefault="002E6742" w:rsidP="00DC3B42">
            <w:pPr>
              <w:pStyle w:val="TableText0"/>
              <w:jc w:val="center"/>
            </w:pPr>
            <w:r w:rsidRPr="00B1054A">
              <w:t>Low</w:t>
            </w:r>
          </w:p>
        </w:tc>
        <w:tc>
          <w:tcPr>
            <w:tcW w:w="1000" w:type="pct"/>
            <w:shd w:val="clear" w:color="auto" w:fill="auto"/>
          </w:tcPr>
          <w:p w:rsidR="002E6742" w:rsidRPr="00B1054A" w:rsidRDefault="002E6742" w:rsidP="00DC3B42">
            <w:pPr>
              <w:pStyle w:val="TableText0"/>
              <w:jc w:val="center"/>
            </w:pPr>
            <w:r w:rsidRPr="00B1054A">
              <w:t>Moderate to severe AD; previous intolerance, lack of efficacy or contra-indication to CsA</w:t>
            </w:r>
          </w:p>
        </w:tc>
        <w:tc>
          <w:tcPr>
            <w:tcW w:w="576" w:type="pct"/>
            <w:vMerge w:val="restart"/>
            <w:shd w:val="clear" w:color="auto" w:fill="auto"/>
            <w:vAlign w:val="center"/>
          </w:tcPr>
          <w:p w:rsidR="002E6742" w:rsidRPr="00B1054A" w:rsidRDefault="002E6742" w:rsidP="00DC3B42">
            <w:pPr>
              <w:pStyle w:val="TableText0"/>
              <w:jc w:val="center"/>
              <w:rPr>
                <w:vertAlign w:val="superscript"/>
              </w:rPr>
            </w:pPr>
            <w:r w:rsidRPr="00B1054A">
              <w:t>EASI-75</w:t>
            </w:r>
            <w:r w:rsidRPr="00B1054A">
              <w:rPr>
                <w:vertAlign w:val="superscript"/>
              </w:rPr>
              <w:t>a</w:t>
            </w:r>
          </w:p>
          <w:p w:rsidR="002E6742" w:rsidRPr="00B1054A" w:rsidRDefault="002E6742" w:rsidP="00DC3B42">
            <w:pPr>
              <w:pStyle w:val="TableText0"/>
              <w:jc w:val="center"/>
              <w:rPr>
                <w:vertAlign w:val="superscript"/>
              </w:rPr>
            </w:pPr>
            <w:r w:rsidRPr="00B1054A">
              <w:t>IGA 0 or 1</w:t>
            </w:r>
            <w:r w:rsidRPr="00B1054A">
              <w:rPr>
                <w:vertAlign w:val="superscript"/>
              </w:rPr>
              <w:t>b</w:t>
            </w:r>
          </w:p>
        </w:tc>
        <w:tc>
          <w:tcPr>
            <w:tcW w:w="1115" w:type="pct"/>
            <w:vMerge w:val="restart"/>
            <w:shd w:val="clear" w:color="auto" w:fill="auto"/>
            <w:vAlign w:val="center"/>
          </w:tcPr>
          <w:p w:rsidR="002E6742" w:rsidRPr="00B1054A" w:rsidRDefault="002E6742" w:rsidP="002E6742">
            <w:pPr>
              <w:pStyle w:val="TableText0"/>
              <w:jc w:val="center"/>
            </w:pPr>
            <w:r w:rsidRPr="00B1054A">
              <w:rPr>
                <w:i/>
              </w:rPr>
              <w:t xml:space="preserve">Post-hoc </w:t>
            </w:r>
            <w:r w:rsidR="00D41813" w:rsidRPr="00B1054A">
              <w:t xml:space="preserve">analysis </w:t>
            </w:r>
            <w:r w:rsidRPr="00B1054A">
              <w:t>of EASI-50</w:t>
            </w:r>
            <w:r w:rsidRPr="00B1054A">
              <w:rPr>
                <w:vertAlign w:val="superscript"/>
              </w:rPr>
              <w:t>c</w:t>
            </w:r>
            <w:r w:rsidRPr="00B1054A">
              <w:t xml:space="preserve"> AND DLQI 4</w:t>
            </w:r>
            <w:r w:rsidRPr="00B1054A">
              <w:rPr>
                <w:vertAlign w:val="superscript"/>
              </w:rPr>
              <w:t>d</w:t>
            </w:r>
            <w:r w:rsidRPr="00B1054A">
              <w:t xml:space="preserve">  at Week 16 (all trials) and Week 44 (CHRONOS)</w:t>
            </w:r>
            <w:r w:rsidRPr="00B1054A">
              <w:br/>
              <w:t>(PGA=4</w:t>
            </w:r>
            <w:r w:rsidR="00D41813" w:rsidRPr="00B1054A">
              <w:t xml:space="preserve"> AND</w:t>
            </w:r>
            <w:r w:rsidRPr="00B1054A">
              <w:t xml:space="preserve"> EASI ≥20 subgroup)</w:t>
            </w:r>
          </w:p>
        </w:tc>
      </w:tr>
      <w:tr w:rsidR="002E6742" w:rsidRPr="00B1054A" w:rsidTr="00DC3B42">
        <w:tc>
          <w:tcPr>
            <w:tcW w:w="538" w:type="pct"/>
            <w:shd w:val="clear" w:color="auto" w:fill="auto"/>
            <w:vAlign w:val="center"/>
          </w:tcPr>
          <w:p w:rsidR="002E6742" w:rsidRPr="00B1054A" w:rsidRDefault="002E6742" w:rsidP="00DC3B42">
            <w:pPr>
              <w:pStyle w:val="TableText0"/>
            </w:pPr>
            <w:r w:rsidRPr="00B1054A">
              <w:t>CHRONOS</w:t>
            </w:r>
          </w:p>
        </w:tc>
        <w:tc>
          <w:tcPr>
            <w:tcW w:w="308" w:type="pct"/>
            <w:shd w:val="clear" w:color="auto" w:fill="auto"/>
            <w:vAlign w:val="center"/>
          </w:tcPr>
          <w:p w:rsidR="002E6742" w:rsidRPr="00B1054A" w:rsidRDefault="002E6742" w:rsidP="00DC3B42">
            <w:pPr>
              <w:pStyle w:val="TableText0"/>
              <w:jc w:val="center"/>
            </w:pPr>
            <w:r w:rsidRPr="00B1054A">
              <w:t>740</w:t>
            </w:r>
          </w:p>
        </w:tc>
        <w:tc>
          <w:tcPr>
            <w:tcW w:w="1000" w:type="pct"/>
            <w:shd w:val="clear" w:color="auto" w:fill="auto"/>
            <w:vAlign w:val="center"/>
          </w:tcPr>
          <w:p w:rsidR="002E6742" w:rsidRPr="00B1054A" w:rsidRDefault="002E6742" w:rsidP="00DC3B42">
            <w:pPr>
              <w:pStyle w:val="TableText0"/>
              <w:jc w:val="center"/>
            </w:pPr>
            <w:r w:rsidRPr="00B1054A">
              <w:t>DB, R, MC; 64 weeks</w:t>
            </w:r>
          </w:p>
        </w:tc>
        <w:tc>
          <w:tcPr>
            <w:tcW w:w="463" w:type="pct"/>
            <w:shd w:val="clear" w:color="auto" w:fill="auto"/>
            <w:vAlign w:val="center"/>
          </w:tcPr>
          <w:p w:rsidR="002E6742" w:rsidRPr="00B1054A" w:rsidRDefault="002E6742" w:rsidP="00DC3B42">
            <w:pPr>
              <w:pStyle w:val="TableText0"/>
              <w:jc w:val="center"/>
            </w:pPr>
            <w:r w:rsidRPr="00B1054A">
              <w:t>Low</w:t>
            </w:r>
          </w:p>
        </w:tc>
        <w:tc>
          <w:tcPr>
            <w:tcW w:w="1000" w:type="pct"/>
            <w:shd w:val="clear" w:color="auto" w:fill="auto"/>
            <w:vAlign w:val="center"/>
          </w:tcPr>
          <w:p w:rsidR="002E6742" w:rsidRPr="00B1054A" w:rsidRDefault="002E6742" w:rsidP="00DC3B42">
            <w:pPr>
              <w:pStyle w:val="TableText0"/>
              <w:jc w:val="center"/>
            </w:pPr>
            <w:r w:rsidRPr="00B1054A">
              <w:t>Moderate to severe AD</w:t>
            </w:r>
          </w:p>
        </w:tc>
        <w:tc>
          <w:tcPr>
            <w:tcW w:w="576" w:type="pct"/>
            <w:vMerge/>
            <w:shd w:val="clear" w:color="auto" w:fill="auto"/>
            <w:vAlign w:val="center"/>
          </w:tcPr>
          <w:p w:rsidR="002E6742" w:rsidRPr="00B1054A" w:rsidRDefault="002E6742" w:rsidP="00DC3B42">
            <w:pPr>
              <w:pStyle w:val="TableText0"/>
              <w:jc w:val="center"/>
            </w:pPr>
          </w:p>
        </w:tc>
        <w:tc>
          <w:tcPr>
            <w:tcW w:w="1115" w:type="pct"/>
            <w:vMerge/>
            <w:shd w:val="clear" w:color="auto" w:fill="auto"/>
          </w:tcPr>
          <w:p w:rsidR="002E6742" w:rsidRPr="00B1054A" w:rsidRDefault="002E6742" w:rsidP="00DC3B42">
            <w:pPr>
              <w:pStyle w:val="TableText0"/>
              <w:jc w:val="center"/>
            </w:pPr>
          </w:p>
        </w:tc>
      </w:tr>
      <w:tr w:rsidR="002E6742" w:rsidRPr="00B1054A" w:rsidTr="00DC3B42">
        <w:tc>
          <w:tcPr>
            <w:tcW w:w="538" w:type="pct"/>
            <w:shd w:val="clear" w:color="auto" w:fill="auto"/>
            <w:vAlign w:val="center"/>
          </w:tcPr>
          <w:p w:rsidR="002E6742" w:rsidRPr="00B1054A" w:rsidRDefault="002E6742" w:rsidP="00DC3B42">
            <w:pPr>
              <w:pStyle w:val="TableText0"/>
            </w:pPr>
            <w:r w:rsidRPr="00B1054A">
              <w:t xml:space="preserve">SOLO </w:t>
            </w:r>
            <w:r w:rsidR="00AC0703" w:rsidRPr="00B1054A">
              <w:t>1</w:t>
            </w:r>
          </w:p>
        </w:tc>
        <w:tc>
          <w:tcPr>
            <w:tcW w:w="308" w:type="pct"/>
            <w:shd w:val="clear" w:color="auto" w:fill="auto"/>
            <w:vAlign w:val="center"/>
          </w:tcPr>
          <w:p w:rsidR="002E6742" w:rsidRPr="00B1054A" w:rsidRDefault="002E6742" w:rsidP="00DC3B42">
            <w:pPr>
              <w:pStyle w:val="TableText0"/>
              <w:jc w:val="center"/>
            </w:pPr>
            <w:r w:rsidRPr="00B1054A">
              <w:t>671</w:t>
            </w:r>
          </w:p>
        </w:tc>
        <w:tc>
          <w:tcPr>
            <w:tcW w:w="1000" w:type="pct"/>
            <w:shd w:val="clear" w:color="auto" w:fill="auto"/>
          </w:tcPr>
          <w:p w:rsidR="002E6742" w:rsidRPr="00B1054A" w:rsidRDefault="002E6742" w:rsidP="00DC3B42">
            <w:pPr>
              <w:pStyle w:val="TableText0"/>
              <w:jc w:val="center"/>
            </w:pPr>
            <w:r w:rsidRPr="00B1054A">
              <w:t>DB, R, MC; 28 weeks</w:t>
            </w:r>
          </w:p>
        </w:tc>
        <w:tc>
          <w:tcPr>
            <w:tcW w:w="463" w:type="pct"/>
            <w:shd w:val="clear" w:color="auto" w:fill="auto"/>
          </w:tcPr>
          <w:p w:rsidR="002E6742" w:rsidRPr="00B1054A" w:rsidRDefault="002E6742" w:rsidP="00DC3B42">
            <w:pPr>
              <w:pStyle w:val="TableText0"/>
              <w:jc w:val="center"/>
            </w:pPr>
            <w:r w:rsidRPr="00B1054A">
              <w:t>Low</w:t>
            </w:r>
          </w:p>
        </w:tc>
        <w:tc>
          <w:tcPr>
            <w:tcW w:w="1000" w:type="pct"/>
            <w:shd w:val="clear" w:color="auto" w:fill="auto"/>
          </w:tcPr>
          <w:p w:rsidR="002E6742" w:rsidRPr="00B1054A" w:rsidRDefault="002E6742" w:rsidP="00DC3B42">
            <w:pPr>
              <w:pStyle w:val="TableText0"/>
              <w:jc w:val="center"/>
            </w:pPr>
            <w:r w:rsidRPr="00B1054A">
              <w:t>Moderate to severe AD</w:t>
            </w:r>
          </w:p>
        </w:tc>
        <w:tc>
          <w:tcPr>
            <w:tcW w:w="576" w:type="pct"/>
            <w:vMerge/>
            <w:shd w:val="clear" w:color="auto" w:fill="auto"/>
            <w:vAlign w:val="center"/>
          </w:tcPr>
          <w:p w:rsidR="002E6742" w:rsidRPr="00B1054A" w:rsidRDefault="002E6742" w:rsidP="00DC3B42">
            <w:pPr>
              <w:pStyle w:val="TableText0"/>
              <w:jc w:val="center"/>
            </w:pPr>
          </w:p>
        </w:tc>
        <w:tc>
          <w:tcPr>
            <w:tcW w:w="1115" w:type="pct"/>
            <w:vMerge/>
            <w:shd w:val="clear" w:color="auto" w:fill="auto"/>
          </w:tcPr>
          <w:p w:rsidR="002E6742" w:rsidRPr="00B1054A" w:rsidRDefault="002E6742" w:rsidP="00DC3B42">
            <w:pPr>
              <w:pStyle w:val="TableText0"/>
              <w:jc w:val="center"/>
            </w:pPr>
          </w:p>
        </w:tc>
      </w:tr>
      <w:tr w:rsidR="002E6742" w:rsidRPr="00B1054A" w:rsidTr="00DC3B42">
        <w:tc>
          <w:tcPr>
            <w:tcW w:w="538" w:type="pct"/>
            <w:shd w:val="clear" w:color="auto" w:fill="auto"/>
            <w:vAlign w:val="center"/>
          </w:tcPr>
          <w:p w:rsidR="002E6742" w:rsidRPr="00B1054A" w:rsidRDefault="002E6742" w:rsidP="00DC3B42">
            <w:pPr>
              <w:pStyle w:val="TableText0"/>
            </w:pPr>
            <w:r w:rsidRPr="00B1054A">
              <w:t>SOLO 2</w:t>
            </w:r>
          </w:p>
        </w:tc>
        <w:tc>
          <w:tcPr>
            <w:tcW w:w="308" w:type="pct"/>
            <w:shd w:val="clear" w:color="auto" w:fill="auto"/>
            <w:vAlign w:val="center"/>
          </w:tcPr>
          <w:p w:rsidR="002E6742" w:rsidRPr="00B1054A" w:rsidRDefault="002E6742" w:rsidP="00DC3B42">
            <w:pPr>
              <w:pStyle w:val="TableText0"/>
              <w:jc w:val="center"/>
            </w:pPr>
            <w:r w:rsidRPr="00B1054A">
              <w:t>708</w:t>
            </w:r>
          </w:p>
        </w:tc>
        <w:tc>
          <w:tcPr>
            <w:tcW w:w="1000" w:type="pct"/>
            <w:shd w:val="clear" w:color="auto" w:fill="auto"/>
          </w:tcPr>
          <w:p w:rsidR="002E6742" w:rsidRPr="00B1054A" w:rsidRDefault="002E6742" w:rsidP="00DC3B42">
            <w:pPr>
              <w:pStyle w:val="TableText0"/>
              <w:jc w:val="center"/>
            </w:pPr>
            <w:r w:rsidRPr="00B1054A">
              <w:t>DB, R, MC; 28 weeks</w:t>
            </w:r>
          </w:p>
        </w:tc>
        <w:tc>
          <w:tcPr>
            <w:tcW w:w="463" w:type="pct"/>
            <w:shd w:val="clear" w:color="auto" w:fill="auto"/>
          </w:tcPr>
          <w:p w:rsidR="002E6742" w:rsidRPr="00B1054A" w:rsidRDefault="002E6742" w:rsidP="00DC3B42">
            <w:pPr>
              <w:pStyle w:val="TableText0"/>
              <w:jc w:val="center"/>
            </w:pPr>
            <w:r w:rsidRPr="00B1054A">
              <w:t>Low</w:t>
            </w:r>
          </w:p>
        </w:tc>
        <w:tc>
          <w:tcPr>
            <w:tcW w:w="1000" w:type="pct"/>
            <w:shd w:val="clear" w:color="auto" w:fill="auto"/>
          </w:tcPr>
          <w:p w:rsidR="002E6742" w:rsidRPr="00B1054A" w:rsidRDefault="002E6742" w:rsidP="00DC3B42">
            <w:pPr>
              <w:pStyle w:val="TableText0"/>
              <w:jc w:val="center"/>
            </w:pPr>
            <w:r w:rsidRPr="00B1054A">
              <w:t>Moderate to severe AD</w:t>
            </w:r>
          </w:p>
        </w:tc>
        <w:tc>
          <w:tcPr>
            <w:tcW w:w="576" w:type="pct"/>
            <w:vMerge/>
            <w:shd w:val="clear" w:color="auto" w:fill="auto"/>
            <w:vAlign w:val="center"/>
          </w:tcPr>
          <w:p w:rsidR="002E6742" w:rsidRPr="00B1054A" w:rsidRDefault="002E6742" w:rsidP="00DC3B42">
            <w:pPr>
              <w:pStyle w:val="TableText0"/>
              <w:jc w:val="center"/>
            </w:pPr>
          </w:p>
        </w:tc>
        <w:tc>
          <w:tcPr>
            <w:tcW w:w="1115" w:type="pct"/>
            <w:vMerge/>
            <w:shd w:val="clear" w:color="auto" w:fill="auto"/>
          </w:tcPr>
          <w:p w:rsidR="002E6742" w:rsidRPr="00B1054A" w:rsidRDefault="002E6742" w:rsidP="00DC3B42">
            <w:pPr>
              <w:pStyle w:val="TableText0"/>
              <w:jc w:val="center"/>
            </w:pPr>
          </w:p>
        </w:tc>
      </w:tr>
      <w:tr w:rsidR="002E6742" w:rsidRPr="00B1054A" w:rsidTr="00DC3B42">
        <w:tc>
          <w:tcPr>
            <w:tcW w:w="538" w:type="pct"/>
            <w:shd w:val="clear" w:color="auto" w:fill="auto"/>
            <w:vAlign w:val="center"/>
          </w:tcPr>
          <w:p w:rsidR="002E6742" w:rsidRPr="00B1054A" w:rsidRDefault="00BD5539" w:rsidP="00BD5539">
            <w:pPr>
              <w:pStyle w:val="TableText0"/>
            </w:pPr>
            <w:r w:rsidRPr="00B1054A">
              <w:t>Study 1021</w:t>
            </w:r>
          </w:p>
        </w:tc>
        <w:tc>
          <w:tcPr>
            <w:tcW w:w="308" w:type="pct"/>
            <w:shd w:val="clear" w:color="auto" w:fill="auto"/>
            <w:vAlign w:val="center"/>
          </w:tcPr>
          <w:p w:rsidR="002E6742" w:rsidRPr="00B1054A" w:rsidRDefault="002E6742" w:rsidP="00DC3B42">
            <w:pPr>
              <w:pStyle w:val="TableText0"/>
              <w:jc w:val="center"/>
            </w:pPr>
            <w:r w:rsidRPr="00B1054A">
              <w:t>318</w:t>
            </w:r>
          </w:p>
        </w:tc>
        <w:tc>
          <w:tcPr>
            <w:tcW w:w="1000" w:type="pct"/>
            <w:shd w:val="clear" w:color="auto" w:fill="auto"/>
          </w:tcPr>
          <w:p w:rsidR="002E6742" w:rsidRPr="00B1054A" w:rsidRDefault="002E6742" w:rsidP="00DC3B42">
            <w:pPr>
              <w:pStyle w:val="TableText0"/>
              <w:jc w:val="center"/>
            </w:pPr>
            <w:r w:rsidRPr="00B1054A">
              <w:t>DB, R, MC; 28 weeks</w:t>
            </w:r>
          </w:p>
        </w:tc>
        <w:tc>
          <w:tcPr>
            <w:tcW w:w="463" w:type="pct"/>
            <w:shd w:val="clear" w:color="auto" w:fill="auto"/>
          </w:tcPr>
          <w:p w:rsidR="002E6742" w:rsidRPr="00B1054A" w:rsidRDefault="002E6742" w:rsidP="00DC3B42">
            <w:pPr>
              <w:pStyle w:val="TableText0"/>
              <w:jc w:val="center"/>
            </w:pPr>
            <w:r w:rsidRPr="00B1054A">
              <w:t>Low</w:t>
            </w:r>
          </w:p>
        </w:tc>
        <w:tc>
          <w:tcPr>
            <w:tcW w:w="1000" w:type="pct"/>
            <w:shd w:val="clear" w:color="auto" w:fill="auto"/>
          </w:tcPr>
          <w:p w:rsidR="002E6742" w:rsidRPr="00B1054A" w:rsidRDefault="002E6742" w:rsidP="00DC3B42">
            <w:pPr>
              <w:pStyle w:val="TableText0"/>
              <w:jc w:val="center"/>
            </w:pPr>
            <w:r w:rsidRPr="00B1054A">
              <w:t>Moderate to severe AD</w:t>
            </w:r>
          </w:p>
        </w:tc>
        <w:tc>
          <w:tcPr>
            <w:tcW w:w="576" w:type="pct"/>
            <w:vMerge/>
            <w:shd w:val="clear" w:color="auto" w:fill="auto"/>
            <w:vAlign w:val="center"/>
          </w:tcPr>
          <w:p w:rsidR="002E6742" w:rsidRPr="00B1054A" w:rsidRDefault="002E6742" w:rsidP="00DC3B42">
            <w:pPr>
              <w:pStyle w:val="TableText0"/>
              <w:jc w:val="center"/>
            </w:pPr>
          </w:p>
        </w:tc>
        <w:tc>
          <w:tcPr>
            <w:tcW w:w="1115" w:type="pct"/>
            <w:vMerge/>
            <w:shd w:val="clear" w:color="auto" w:fill="auto"/>
          </w:tcPr>
          <w:p w:rsidR="002E6742" w:rsidRPr="00B1054A" w:rsidRDefault="002E6742" w:rsidP="00DC3B42">
            <w:pPr>
              <w:pStyle w:val="TableText0"/>
              <w:jc w:val="center"/>
            </w:pPr>
          </w:p>
        </w:tc>
      </w:tr>
    </w:tbl>
    <w:p w:rsidR="00282AE7" w:rsidRPr="00B1054A" w:rsidRDefault="00282AE7" w:rsidP="002E6742">
      <w:pPr>
        <w:pStyle w:val="TableFooter"/>
      </w:pPr>
      <w:r w:rsidRPr="00B1054A">
        <w:t>DB=double blind; MC=multi-centre; R=randomised; AD = atopic dermatitis; CsA = cyclosporin A</w:t>
      </w:r>
    </w:p>
    <w:p w:rsidR="00282AE7" w:rsidRPr="00B1054A" w:rsidRDefault="00282AE7" w:rsidP="002E6742">
      <w:pPr>
        <w:pStyle w:val="TableFooter"/>
      </w:pPr>
      <w:r w:rsidRPr="00B1054A">
        <w:t>Source: compiled during the evaluation</w:t>
      </w:r>
    </w:p>
    <w:p w:rsidR="00282AE7" w:rsidRPr="00B1054A" w:rsidRDefault="00282AE7" w:rsidP="002E6742">
      <w:pPr>
        <w:pStyle w:val="TableFooter"/>
        <w:tabs>
          <w:tab w:val="left" w:pos="284"/>
        </w:tabs>
        <w:ind w:left="284" w:hanging="284"/>
      </w:pPr>
      <w:r w:rsidRPr="00B1054A">
        <w:rPr>
          <w:vertAlign w:val="superscript"/>
        </w:rPr>
        <w:t>a</w:t>
      </w:r>
      <w:r w:rsidR="002E6742" w:rsidRPr="00B1054A">
        <w:tab/>
      </w:r>
      <w:r w:rsidRPr="00B1054A">
        <w:t>75% improvement/reduction in the EASI score from baseline</w:t>
      </w:r>
    </w:p>
    <w:p w:rsidR="002E6742" w:rsidRPr="00B1054A" w:rsidRDefault="00282AE7" w:rsidP="002E6742">
      <w:pPr>
        <w:pStyle w:val="TableFooter"/>
        <w:tabs>
          <w:tab w:val="left" w:pos="284"/>
        </w:tabs>
        <w:ind w:left="284" w:hanging="284"/>
      </w:pPr>
      <w:r w:rsidRPr="00B1054A">
        <w:rPr>
          <w:vertAlign w:val="superscript"/>
        </w:rPr>
        <w:t>b</w:t>
      </w:r>
      <w:r w:rsidR="002E6742" w:rsidRPr="00B1054A">
        <w:tab/>
      </w:r>
      <w:r w:rsidRPr="00B1054A">
        <w:t xml:space="preserve">achievement of a score of 0 or 1 from a baseline of 3 or 4 on the 5 point IGA </w:t>
      </w:r>
      <w:r w:rsidR="002E6742" w:rsidRPr="00B1054A">
        <w:t>scale</w:t>
      </w:r>
    </w:p>
    <w:p w:rsidR="00282AE7" w:rsidRPr="00B1054A" w:rsidRDefault="002E6742" w:rsidP="002E6742">
      <w:pPr>
        <w:pStyle w:val="TableFooter"/>
        <w:tabs>
          <w:tab w:val="left" w:pos="284"/>
        </w:tabs>
        <w:ind w:left="284" w:hanging="284"/>
      </w:pPr>
      <w:r w:rsidRPr="00B1054A">
        <w:rPr>
          <w:vertAlign w:val="superscript"/>
        </w:rPr>
        <w:t>c</w:t>
      </w:r>
      <w:r w:rsidRPr="00B1054A">
        <w:tab/>
        <w:t>50% improvement/reduction in the EASI score from baseline</w:t>
      </w:r>
    </w:p>
    <w:p w:rsidR="002E6742" w:rsidRPr="00B1054A" w:rsidRDefault="002E6742" w:rsidP="002E6742">
      <w:pPr>
        <w:pStyle w:val="TableFooter"/>
        <w:tabs>
          <w:tab w:val="left" w:pos="284"/>
        </w:tabs>
        <w:spacing w:after="120"/>
        <w:ind w:left="284" w:hanging="284"/>
      </w:pPr>
      <w:r w:rsidRPr="00B1054A">
        <w:rPr>
          <w:vertAlign w:val="superscript"/>
        </w:rPr>
        <w:t>d</w:t>
      </w:r>
      <w:r w:rsidRPr="00B1054A">
        <w:rPr>
          <w:vertAlign w:val="superscript"/>
        </w:rPr>
        <w:tab/>
      </w:r>
      <w:r w:rsidRPr="00B1054A">
        <w:t>at least 4 point improvement in DLQI</w:t>
      </w:r>
    </w:p>
    <w:p w:rsidR="00B60939" w:rsidRPr="00B1054A" w:rsidRDefault="00B60939" w:rsidP="00EC5836">
      <w:pPr>
        <w:pStyle w:val="4-SubsectionHeading"/>
      </w:pPr>
      <w:bookmarkStart w:id="19" w:name="_Toc22897641"/>
      <w:bookmarkStart w:id="20" w:name="_Toc30592996"/>
      <w:r w:rsidRPr="00B1054A">
        <w:t>Comparative effectiveness</w:t>
      </w:r>
      <w:bookmarkEnd w:id="19"/>
      <w:bookmarkEnd w:id="20"/>
    </w:p>
    <w:p w:rsidR="002C2775" w:rsidRPr="00B1054A" w:rsidRDefault="00DC3B42" w:rsidP="00DC3B42">
      <w:pPr>
        <w:pStyle w:val="3-BodyText"/>
      </w:pPr>
      <w:r w:rsidRPr="00B1054A">
        <w:rPr>
          <w:rFonts w:cs="Calibri"/>
          <w:snapToGrid/>
        </w:rPr>
        <w:t>Table 6 pre</w:t>
      </w:r>
      <w:r w:rsidRPr="00B1054A">
        <w:t xml:space="preserve">sents the results of EASI-75 response in the trials. The EASI was developed for use in AD by modifying the Psoriasis Area Severity Index (PASI), as such, the EASI and the PASI are similar in construct. The individual trial results remain unchanged from the previous </w:t>
      </w:r>
      <w:r w:rsidR="00561EA1" w:rsidRPr="00B1054A">
        <w:t>(re)</w:t>
      </w:r>
      <w:r w:rsidRPr="00B1054A">
        <w:t>submission</w:t>
      </w:r>
      <w:r w:rsidR="00561EA1" w:rsidRPr="00B1054A">
        <w:t>s</w:t>
      </w:r>
      <w:r w:rsidRPr="00B1054A">
        <w:t>;</w:t>
      </w:r>
      <w:r w:rsidRPr="00B1054A">
        <w:rPr>
          <w:rFonts w:cs="Calibri"/>
          <w:snapToGrid/>
        </w:rPr>
        <w:t xml:space="preserve"> all trials show a statistically significantly higher response in favour of dupilumab (TGA-approved fortnightly (Q2W) administration). </w:t>
      </w:r>
      <w:r w:rsidRPr="00B1054A">
        <w:t>The PBAC previously considered that “EASI-75 appears to be a valid clinical marker correlating with outcomes such as QoL” (</w:t>
      </w:r>
      <w:r w:rsidR="003E533B" w:rsidRPr="00B1054A">
        <w:t>paragraph 7.5, d</w:t>
      </w:r>
      <w:r w:rsidRPr="00B1054A">
        <w:t>upilumab PSD, July 2018,).</w:t>
      </w:r>
    </w:p>
    <w:p w:rsidR="00DC3B42" w:rsidRPr="00B1054A" w:rsidRDefault="00DC3B42" w:rsidP="005331F8">
      <w:pPr>
        <w:pStyle w:val="TableFigureHeading"/>
        <w:keepLines/>
        <w:widowControl w:val="0"/>
        <w:rPr>
          <w:rStyle w:val="CommentReference"/>
          <w:b/>
          <w:szCs w:val="24"/>
        </w:rPr>
      </w:pPr>
      <w:bookmarkStart w:id="21" w:name="_Ref27430328"/>
      <w:r w:rsidRPr="00B1054A">
        <w:rPr>
          <w:rStyle w:val="CommentReference"/>
          <w:b/>
          <w:szCs w:val="24"/>
        </w:rPr>
        <w:lastRenderedPageBreak/>
        <w:t xml:space="preserve">Table </w:t>
      </w:r>
      <w:r w:rsidR="00B20399" w:rsidRPr="00B1054A">
        <w:rPr>
          <w:rStyle w:val="CommentReference"/>
          <w:b/>
          <w:szCs w:val="24"/>
        </w:rPr>
        <w:t>6</w:t>
      </w:r>
      <w:bookmarkEnd w:id="21"/>
      <w:r w:rsidRPr="00B1054A">
        <w:rPr>
          <w:rStyle w:val="CommentReference"/>
          <w:b/>
          <w:szCs w:val="24"/>
        </w:rPr>
        <w:t>: The proportion of patients achieving the EASI-75 at week 16 (and week 52 in CHRONOS) across trials</w:t>
      </w:r>
    </w:p>
    <w:tbl>
      <w:tblPr>
        <w:tblStyle w:val="TableGrid1"/>
        <w:tblW w:w="4919" w:type="pct"/>
        <w:tblInd w:w="-5" w:type="dxa"/>
        <w:tblCellMar>
          <w:left w:w="28" w:type="dxa"/>
          <w:right w:w="28" w:type="dxa"/>
        </w:tblCellMar>
        <w:tblLook w:val="04A0" w:firstRow="1" w:lastRow="0" w:firstColumn="1" w:lastColumn="0" w:noHBand="0" w:noVBand="1"/>
        <w:tblCaption w:val="Table 6: The proportion of patients achieving the EASI-75 at week 16 (and week 52 in CHRONOS) across trials"/>
      </w:tblPr>
      <w:tblGrid>
        <w:gridCol w:w="2040"/>
        <w:gridCol w:w="933"/>
        <w:gridCol w:w="2269"/>
        <w:gridCol w:w="1984"/>
        <w:gridCol w:w="1645"/>
      </w:tblGrid>
      <w:tr w:rsidR="00DC3B42" w:rsidRPr="005331F8" w:rsidTr="00DC3B42">
        <w:trPr>
          <w:trHeight w:val="84"/>
          <w:tblHeader/>
        </w:trPr>
        <w:tc>
          <w:tcPr>
            <w:tcW w:w="1150" w:type="pct"/>
            <w:vAlign w:val="center"/>
          </w:tcPr>
          <w:p w:rsidR="00DC3B42" w:rsidRPr="005331F8" w:rsidRDefault="00DC3B42" w:rsidP="005331F8">
            <w:pPr>
              <w:keepNext/>
              <w:keepLines/>
              <w:widowControl w:val="0"/>
              <w:rPr>
                <w:rFonts w:ascii="Arial Narrow" w:hAnsi="Arial Narrow"/>
                <w:sz w:val="20"/>
                <w:szCs w:val="20"/>
              </w:rPr>
            </w:pPr>
          </w:p>
        </w:tc>
        <w:tc>
          <w:tcPr>
            <w:tcW w:w="526"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b/>
                <w:sz w:val="20"/>
                <w:szCs w:val="20"/>
              </w:rPr>
              <w:t>N</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b/>
                <w:sz w:val="20"/>
                <w:szCs w:val="20"/>
              </w:rPr>
              <w:t>Patients achieving EASI-75</w:t>
            </w:r>
            <w:r w:rsidRPr="005331F8">
              <w:rPr>
                <w:rFonts w:ascii="Arial Narrow" w:hAnsi="Arial Narrow"/>
                <w:b/>
                <w:sz w:val="20"/>
                <w:szCs w:val="20"/>
              </w:rPr>
              <w:br/>
              <w:t>n (%)</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b/>
                <w:sz w:val="20"/>
                <w:szCs w:val="20"/>
              </w:rPr>
              <w:t>Difference vs placebo</w:t>
            </w:r>
            <w:r w:rsidRPr="005331F8">
              <w:rPr>
                <w:rFonts w:ascii="Arial Narrow" w:hAnsi="Arial Narrow"/>
                <w:b/>
                <w:sz w:val="20"/>
                <w:szCs w:val="20"/>
              </w:rPr>
              <w:br/>
              <w:t>% (95% CI)</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b/>
                <w:sz w:val="20"/>
                <w:szCs w:val="20"/>
              </w:rPr>
              <w:t>P-value vs placebo</w:t>
            </w:r>
          </w:p>
        </w:tc>
      </w:tr>
      <w:tr w:rsidR="00DC3B42" w:rsidRPr="005331F8" w:rsidTr="00DC3B42">
        <w:trPr>
          <w:trHeight w:val="84"/>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 xml:space="preserve">CAFÉ </w:t>
            </w:r>
          </w:p>
        </w:tc>
      </w:tr>
      <w:tr w:rsidR="00DC3B42" w:rsidRPr="005331F8" w:rsidTr="00DC3B42">
        <w:trPr>
          <w:trHeight w:val="84"/>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107</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67 (62.6)</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33.0 (20.41, 45.47)</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&lt;0.001</w:t>
            </w:r>
          </w:p>
        </w:tc>
      </w:tr>
      <w:tr w:rsidR="00DC3B42" w:rsidRPr="005331F8" w:rsidTr="00DC3B42">
        <w:trPr>
          <w:trHeight w:val="84"/>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108</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32 (29.6)</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143"/>
        </w:trPr>
        <w:tc>
          <w:tcPr>
            <w:tcW w:w="5000" w:type="pct"/>
            <w:gridSpan w:val="5"/>
            <w:tcBorders>
              <w:right w:val="single" w:sz="4" w:space="0" w:color="auto"/>
            </w:tcBorders>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CHRONOS</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106</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73 (68.9)</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45.7 (35.72, 55.66)</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315</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73 (23.2)</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SOLO 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224</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115 (51.3)</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36.6 (28.58, 44.63)</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224</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33 (14.7)</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SOLO 2</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233</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116 (49.8)</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34.1 (26.19, 42.03)</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236</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37 (15.7)</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Study 1021</w:t>
            </w:r>
            <w:r w:rsidRPr="005331F8">
              <w:rPr>
                <w:rFonts w:ascii="Arial Narrow" w:hAnsi="Arial Narrow"/>
                <w:b/>
                <w:sz w:val="20"/>
                <w:szCs w:val="20"/>
                <w:vertAlign w:val="superscript"/>
              </w:rPr>
              <w:t>a</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64</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34 (53.1)</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41.6 (27.04, 56.26)</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61</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7 (11.5)</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vAlign w:val="center"/>
          </w:tcPr>
          <w:p w:rsidR="00DC3B42" w:rsidRPr="005331F8" w:rsidRDefault="00DC3B42" w:rsidP="005331F8">
            <w:pPr>
              <w:keepNext/>
              <w:keepLines/>
              <w:widowControl w:val="0"/>
              <w:jc w:val="left"/>
              <w:rPr>
                <w:rFonts w:ascii="Arial Narrow" w:hAnsi="Arial Narrow"/>
                <w:b/>
                <w:sz w:val="20"/>
                <w:szCs w:val="20"/>
              </w:rPr>
            </w:pPr>
            <w:r w:rsidRPr="005331F8">
              <w:rPr>
                <w:rFonts w:ascii="Arial Narrow" w:hAnsi="Arial Narrow"/>
                <w:b/>
                <w:sz w:val="20"/>
                <w:szCs w:val="20"/>
              </w:rPr>
              <w:t>CHRONOS (Week 52)</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106</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66 (62.3)</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40.4 (30.06, 50.66)</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50"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526" w:type="pct"/>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315</w:t>
            </w:r>
          </w:p>
        </w:tc>
        <w:tc>
          <w:tcPr>
            <w:tcW w:w="1279"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69 (21.9)</w:t>
            </w:r>
          </w:p>
        </w:tc>
        <w:tc>
          <w:tcPr>
            <w:tcW w:w="111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927"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bl>
    <w:p w:rsidR="00DC3B42" w:rsidRPr="00B1054A" w:rsidRDefault="00DC3B42" w:rsidP="005331F8">
      <w:pPr>
        <w:keepNext/>
        <w:keepLines/>
        <w:widowControl w:val="0"/>
        <w:rPr>
          <w:szCs w:val="18"/>
        </w:rPr>
      </w:pPr>
      <w:r w:rsidRPr="00B1054A">
        <w:rPr>
          <w:rFonts w:ascii="Arial Narrow" w:hAnsi="Arial Narrow"/>
          <w:sz w:val="18"/>
          <w:szCs w:val="18"/>
        </w:rPr>
        <w:t>Table 2.5.1 (p71 of the resubmission) &amp; Table 2.5.5 (p75 of the resubmission)</w:t>
      </w:r>
    </w:p>
    <w:p w:rsidR="00DC3B42" w:rsidRPr="00B1054A" w:rsidRDefault="00DC3B42" w:rsidP="005331F8">
      <w:pPr>
        <w:keepNext/>
        <w:keepLines/>
        <w:widowControl w:val="0"/>
        <w:rPr>
          <w:szCs w:val="18"/>
        </w:rPr>
      </w:pPr>
      <w:r w:rsidRPr="00B1054A">
        <w:rPr>
          <w:rFonts w:ascii="Arial Narrow" w:hAnsi="Arial Narrow"/>
          <w:sz w:val="18"/>
          <w:szCs w:val="18"/>
        </w:rPr>
        <w:t>Abbreviations: CI = confidence interval; EASI = eczema area and severity index; FAS = full analysis set; QW = weekly; Q2W = fortnightly</w:t>
      </w:r>
    </w:p>
    <w:p w:rsidR="00DC3B42" w:rsidRPr="00B1054A" w:rsidRDefault="00DC3B42" w:rsidP="005331F8">
      <w:pPr>
        <w:keepNext/>
        <w:keepLines/>
        <w:widowControl w:val="0"/>
        <w:rPr>
          <w:szCs w:val="18"/>
        </w:rPr>
      </w:pPr>
      <w:r w:rsidRPr="00B1054A">
        <w:rPr>
          <w:rFonts w:ascii="Arial Narrow" w:hAnsi="Arial Narrow"/>
          <w:sz w:val="18"/>
          <w:szCs w:val="18"/>
        </w:rPr>
        <w:t>Note: Values after initiation of rescue treatment were set to missing (censored). Patients with missing EASI score at week 16 were considered non-responders.</w:t>
      </w:r>
    </w:p>
    <w:p w:rsidR="00DC3B42" w:rsidRPr="00B1054A" w:rsidRDefault="00DC3B42" w:rsidP="005331F8">
      <w:pPr>
        <w:keepNext/>
        <w:keepLines/>
        <w:widowControl w:val="0"/>
        <w:tabs>
          <w:tab w:val="left" w:pos="284"/>
        </w:tabs>
        <w:spacing w:after="120"/>
        <w:rPr>
          <w:rFonts w:ascii="Arial Narrow" w:hAnsi="Arial Narrow"/>
          <w:sz w:val="18"/>
          <w:szCs w:val="18"/>
        </w:rPr>
      </w:pPr>
      <w:r w:rsidRPr="00B1054A">
        <w:rPr>
          <w:rFonts w:ascii="Arial Narrow" w:hAnsi="Arial Narrow"/>
          <w:sz w:val="18"/>
          <w:szCs w:val="18"/>
          <w:vertAlign w:val="superscript"/>
        </w:rPr>
        <w:t>a</w:t>
      </w:r>
      <w:r w:rsidRPr="00B1054A">
        <w:rPr>
          <w:rFonts w:ascii="Arial Narrow" w:hAnsi="Arial Narrow"/>
          <w:sz w:val="18"/>
          <w:szCs w:val="18"/>
        </w:rPr>
        <w:tab/>
        <w:t xml:space="preserve">Secondary endpoint. </w:t>
      </w:r>
    </w:p>
    <w:p w:rsidR="00DA3167" w:rsidRPr="00B1054A" w:rsidRDefault="00DC3B42" w:rsidP="00EC5836">
      <w:pPr>
        <w:pStyle w:val="3-BodyText"/>
      </w:pPr>
      <w:r w:rsidRPr="00B1054A">
        <w:t xml:space="preserve">Table 7 presents the results of the proportion </w:t>
      </w:r>
      <w:r w:rsidRPr="00B1054A">
        <w:rPr>
          <w:rFonts w:cs="Calibri"/>
          <w:snapToGrid/>
        </w:rPr>
        <w:t>of patients achieving an IGA score reduction (improvement) of ≥2 from baseline. The IGA used in the trials was a 5 point scale where 0 = clear, 1 = almost clear, 2 = mild, 3 = moderate, 4 = severe. The proportion of patients achieving at least a 2 point improvement in IGA was statistically significantly higher in dupilumab (TGA-approved fortnightly (Q2W) administration) compared with placebo across all trials.</w:t>
      </w:r>
    </w:p>
    <w:p w:rsidR="00DC3B42" w:rsidRPr="00B1054A" w:rsidRDefault="00DC3B42" w:rsidP="005331F8">
      <w:pPr>
        <w:pStyle w:val="TableFigureHeading"/>
        <w:keepLines/>
        <w:widowControl w:val="0"/>
        <w:rPr>
          <w:rStyle w:val="CommentReference"/>
          <w:b/>
          <w:szCs w:val="24"/>
        </w:rPr>
      </w:pPr>
      <w:bookmarkStart w:id="22" w:name="_Ref27430603"/>
      <w:r w:rsidRPr="00B1054A">
        <w:rPr>
          <w:rStyle w:val="CommentReference"/>
          <w:b/>
          <w:szCs w:val="24"/>
        </w:rPr>
        <w:lastRenderedPageBreak/>
        <w:t xml:space="preserve">Table </w:t>
      </w:r>
      <w:r w:rsidR="00B20399" w:rsidRPr="00B1054A">
        <w:rPr>
          <w:rStyle w:val="CommentReference"/>
          <w:b/>
          <w:szCs w:val="24"/>
        </w:rPr>
        <w:t>7</w:t>
      </w:r>
      <w:bookmarkEnd w:id="22"/>
      <w:r w:rsidRPr="00B1054A">
        <w:rPr>
          <w:rStyle w:val="CommentReference"/>
          <w:b/>
          <w:szCs w:val="24"/>
        </w:rPr>
        <w:t>: The proportion of patients achieving an IGA score reduction of ≥2 at week 16 across trials</w:t>
      </w:r>
    </w:p>
    <w:tbl>
      <w:tblPr>
        <w:tblStyle w:val="TableGrid1"/>
        <w:tblW w:w="5000" w:type="pct"/>
        <w:tblCellMar>
          <w:left w:w="28" w:type="dxa"/>
          <w:right w:w="28" w:type="dxa"/>
        </w:tblCellMar>
        <w:tblLook w:val="04A0" w:firstRow="1" w:lastRow="0" w:firstColumn="1" w:lastColumn="0" w:noHBand="0" w:noVBand="1"/>
        <w:tblCaption w:val="Table 7: The proportion of patients achieving an IGA score reduction of ≥2 at week 16 across trials"/>
      </w:tblPr>
      <w:tblGrid>
        <w:gridCol w:w="1995"/>
        <w:gridCol w:w="689"/>
        <w:gridCol w:w="2714"/>
        <w:gridCol w:w="2070"/>
        <w:gridCol w:w="1549"/>
      </w:tblGrid>
      <w:tr w:rsidR="00DC3B42" w:rsidRPr="005331F8" w:rsidTr="000B0527">
        <w:trPr>
          <w:trHeight w:val="416"/>
          <w:tblHeader/>
        </w:trPr>
        <w:tc>
          <w:tcPr>
            <w:tcW w:w="1106" w:type="pct"/>
            <w:vAlign w:val="center"/>
          </w:tcPr>
          <w:p w:rsidR="00DC3B42" w:rsidRPr="005331F8" w:rsidRDefault="00DC3B42" w:rsidP="005331F8">
            <w:pPr>
              <w:keepNext/>
              <w:keepLines/>
              <w:widowControl w:val="0"/>
              <w:rPr>
                <w:rFonts w:ascii="Arial Narrow" w:hAnsi="Arial Narrow"/>
                <w:b/>
                <w:sz w:val="20"/>
                <w:szCs w:val="20"/>
              </w:rPr>
            </w:pPr>
          </w:p>
        </w:tc>
        <w:tc>
          <w:tcPr>
            <w:tcW w:w="382" w:type="pct"/>
            <w:vAlign w:val="center"/>
          </w:tcPr>
          <w:p w:rsidR="00DC3B42" w:rsidRPr="005331F8" w:rsidRDefault="00DC3B42" w:rsidP="005331F8">
            <w:pPr>
              <w:keepNext/>
              <w:keepLines/>
              <w:widowControl w:val="0"/>
              <w:jc w:val="center"/>
              <w:rPr>
                <w:rFonts w:ascii="Arial Narrow" w:hAnsi="Arial Narrow"/>
                <w:b/>
                <w:sz w:val="20"/>
                <w:szCs w:val="20"/>
              </w:rPr>
            </w:pPr>
            <w:r w:rsidRPr="005331F8">
              <w:rPr>
                <w:rFonts w:ascii="Arial Narrow" w:hAnsi="Arial Narrow"/>
                <w:b/>
                <w:sz w:val="20"/>
                <w:szCs w:val="20"/>
              </w:rPr>
              <w:t>N</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b/>
                <w:sz w:val="20"/>
                <w:szCs w:val="20"/>
              </w:rPr>
            </w:pPr>
            <w:r w:rsidRPr="005331F8">
              <w:rPr>
                <w:rFonts w:ascii="Arial Narrow" w:hAnsi="Arial Narrow"/>
                <w:b/>
                <w:sz w:val="20"/>
                <w:szCs w:val="20"/>
              </w:rPr>
              <w:t>Patients achieving IGA endpoint</w:t>
            </w:r>
            <w:r w:rsidRPr="005331F8">
              <w:rPr>
                <w:rFonts w:ascii="Arial Narrow" w:hAnsi="Arial Narrow"/>
                <w:b/>
                <w:sz w:val="20"/>
                <w:szCs w:val="20"/>
              </w:rPr>
              <w:br/>
              <w:t>n (%)</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b/>
                <w:sz w:val="20"/>
                <w:szCs w:val="20"/>
              </w:rPr>
            </w:pPr>
            <w:r w:rsidRPr="005331F8">
              <w:rPr>
                <w:rFonts w:ascii="Arial Narrow" w:hAnsi="Arial Narrow"/>
                <w:b/>
                <w:sz w:val="20"/>
                <w:szCs w:val="20"/>
              </w:rPr>
              <w:t>Difference vs placebo</w:t>
            </w:r>
            <w:r w:rsidRPr="005331F8">
              <w:rPr>
                <w:rFonts w:ascii="Arial Narrow" w:hAnsi="Arial Narrow"/>
                <w:b/>
                <w:sz w:val="20"/>
                <w:szCs w:val="20"/>
              </w:rPr>
              <w:br/>
              <w:t>% (95% CI)</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b/>
                <w:sz w:val="20"/>
                <w:szCs w:val="20"/>
              </w:rPr>
            </w:pPr>
            <w:r w:rsidRPr="005331F8">
              <w:rPr>
                <w:rFonts w:ascii="Arial Narrow" w:hAnsi="Arial Narrow"/>
                <w:b/>
                <w:sz w:val="20"/>
                <w:szCs w:val="20"/>
              </w:rPr>
              <w:t>P-value vs placebo</w:t>
            </w:r>
          </w:p>
        </w:tc>
      </w:tr>
      <w:tr w:rsidR="00DC3B42" w:rsidRPr="005331F8" w:rsidTr="00DC3B42">
        <w:trPr>
          <w:trHeight w:val="143"/>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vertAlign w:val="superscript"/>
              </w:rPr>
            </w:pPr>
            <w:r w:rsidRPr="005331F8">
              <w:rPr>
                <w:rFonts w:ascii="Arial Narrow" w:hAnsi="Arial Narrow"/>
                <w:b/>
                <w:sz w:val="20"/>
                <w:szCs w:val="20"/>
              </w:rPr>
              <w:t>CAFE</w:t>
            </w:r>
            <w:r w:rsidRPr="005331F8">
              <w:rPr>
                <w:rFonts w:ascii="Arial Narrow" w:hAnsi="Arial Narrow"/>
                <w:b/>
                <w:sz w:val="20"/>
                <w:szCs w:val="20"/>
                <w:vertAlign w:val="superscript"/>
              </w:rPr>
              <w:t>a</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107</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43 (40.2)</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26.3 (14.95, 37.65)</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108</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15 (13.9)</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rPr>
            </w:pPr>
            <w:r w:rsidRPr="005331F8">
              <w:rPr>
                <w:rFonts w:ascii="Arial Narrow" w:hAnsi="Arial Narrow"/>
                <w:b/>
                <w:sz w:val="20"/>
                <w:szCs w:val="20"/>
              </w:rPr>
              <w:t>CHRONOS</w:t>
            </w:r>
            <w:r w:rsidRPr="005331F8">
              <w:rPr>
                <w:rFonts w:ascii="Arial Narrow" w:hAnsi="Arial Narrow"/>
                <w:b/>
                <w:sz w:val="20"/>
                <w:szCs w:val="20"/>
                <w:vertAlign w:val="superscript"/>
              </w:rPr>
              <w:t>b</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106</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41 (38.7)</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26.3 (16.34, 36.26)</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315</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39 (12.4)</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vertAlign w:val="superscript"/>
              </w:rPr>
            </w:pPr>
            <w:r w:rsidRPr="005331F8">
              <w:rPr>
                <w:rFonts w:ascii="Arial Narrow" w:hAnsi="Arial Narrow"/>
                <w:b/>
                <w:sz w:val="20"/>
                <w:szCs w:val="20"/>
              </w:rPr>
              <w:t>SOLO 1</w:t>
            </w:r>
            <w:r w:rsidRPr="005331F8">
              <w:rPr>
                <w:rFonts w:ascii="Arial Narrow" w:hAnsi="Arial Narrow"/>
                <w:b/>
                <w:sz w:val="20"/>
                <w:szCs w:val="20"/>
                <w:vertAlign w:val="superscript"/>
              </w:rPr>
              <w:t>b</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224</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85 (37.9)</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27.7 (20.18, 35.17)</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224</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23 (10.3)</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vertAlign w:val="superscript"/>
              </w:rPr>
            </w:pPr>
            <w:r w:rsidRPr="005331F8">
              <w:rPr>
                <w:rFonts w:ascii="Arial Narrow" w:hAnsi="Arial Narrow"/>
                <w:b/>
                <w:sz w:val="20"/>
                <w:szCs w:val="20"/>
              </w:rPr>
              <w:t>SOLO 2</w:t>
            </w:r>
            <w:r w:rsidRPr="005331F8">
              <w:rPr>
                <w:rFonts w:ascii="Arial Narrow" w:hAnsi="Arial Narrow"/>
                <w:b/>
                <w:sz w:val="20"/>
                <w:szCs w:val="20"/>
                <w:vertAlign w:val="superscript"/>
              </w:rPr>
              <w:t>b</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 mg Q2W</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233</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84 (36.1)</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27.6 (20.46, 34.69)</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236</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20 (8.5)</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r>
      <w:tr w:rsidR="00DC3B42" w:rsidRPr="005331F8" w:rsidTr="00DC3B42">
        <w:trPr>
          <w:trHeight w:val="58"/>
        </w:trPr>
        <w:tc>
          <w:tcPr>
            <w:tcW w:w="5000" w:type="pct"/>
            <w:gridSpan w:val="5"/>
            <w:tcBorders>
              <w:right w:val="single" w:sz="4" w:space="0" w:color="auto"/>
            </w:tcBorders>
            <w:vAlign w:val="center"/>
          </w:tcPr>
          <w:p w:rsidR="00DC3B42" w:rsidRPr="005331F8" w:rsidRDefault="00DC3B42" w:rsidP="005331F8">
            <w:pPr>
              <w:keepNext/>
              <w:keepLines/>
              <w:widowControl w:val="0"/>
              <w:rPr>
                <w:rFonts w:ascii="Arial Narrow" w:hAnsi="Arial Narrow"/>
                <w:b/>
                <w:sz w:val="20"/>
                <w:szCs w:val="20"/>
                <w:vertAlign w:val="superscript"/>
              </w:rPr>
            </w:pPr>
            <w:r w:rsidRPr="005331F8">
              <w:rPr>
                <w:rFonts w:ascii="Arial Narrow" w:hAnsi="Arial Narrow"/>
                <w:b/>
                <w:sz w:val="20"/>
                <w:szCs w:val="20"/>
              </w:rPr>
              <w:t>Study 1021</w:t>
            </w:r>
            <w:r w:rsidRPr="005331F8">
              <w:rPr>
                <w:rFonts w:ascii="Arial Narrow" w:hAnsi="Arial Narrow"/>
                <w:b/>
                <w:sz w:val="20"/>
                <w:szCs w:val="20"/>
                <w:vertAlign w:val="superscript"/>
              </w:rPr>
              <w:t>c</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Dupilumab 300mg Q2W</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63</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21 (33.3)</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31.7 (19.63, 43.76)</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&lt;0.0001</w:t>
            </w:r>
          </w:p>
        </w:tc>
      </w:tr>
      <w:tr w:rsidR="00DC3B42" w:rsidRPr="005331F8" w:rsidTr="00DC3B42">
        <w:trPr>
          <w:trHeight w:val="58"/>
        </w:trPr>
        <w:tc>
          <w:tcPr>
            <w:tcW w:w="1106" w:type="pct"/>
            <w:vAlign w:val="center"/>
          </w:tcPr>
          <w:p w:rsidR="00DC3B42" w:rsidRPr="005331F8" w:rsidRDefault="00DC3B42" w:rsidP="005331F8">
            <w:pPr>
              <w:keepNext/>
              <w:keepLines/>
              <w:widowControl w:val="0"/>
              <w:rPr>
                <w:rFonts w:ascii="Arial Narrow" w:hAnsi="Arial Narrow"/>
                <w:sz w:val="20"/>
                <w:szCs w:val="20"/>
              </w:rPr>
            </w:pPr>
            <w:r w:rsidRPr="005331F8">
              <w:rPr>
                <w:rFonts w:ascii="Arial Narrow" w:hAnsi="Arial Narrow"/>
                <w:sz w:val="20"/>
                <w:szCs w:val="20"/>
              </w:rPr>
              <w:t>Placebo</w:t>
            </w:r>
          </w:p>
        </w:tc>
        <w:tc>
          <w:tcPr>
            <w:tcW w:w="382" w:type="pct"/>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61</w:t>
            </w:r>
          </w:p>
        </w:tc>
        <w:tc>
          <w:tcPr>
            <w:tcW w:w="1505" w:type="pct"/>
            <w:tcBorders>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1 (1.6)</w:t>
            </w:r>
          </w:p>
        </w:tc>
        <w:tc>
          <w:tcPr>
            <w:tcW w:w="1148"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r w:rsidRPr="005331F8">
              <w:rPr>
                <w:rFonts w:ascii="Arial Narrow" w:hAnsi="Arial Narrow"/>
                <w:sz w:val="20"/>
                <w:szCs w:val="20"/>
              </w:rPr>
              <w:t>-</w:t>
            </w:r>
          </w:p>
        </w:tc>
        <w:tc>
          <w:tcPr>
            <w:tcW w:w="859" w:type="pct"/>
            <w:tcBorders>
              <w:left w:val="single" w:sz="4" w:space="0" w:color="auto"/>
              <w:right w:val="single" w:sz="4" w:space="0" w:color="auto"/>
            </w:tcBorders>
            <w:vAlign w:val="center"/>
          </w:tcPr>
          <w:p w:rsidR="00DC3B42" w:rsidRPr="005331F8" w:rsidRDefault="00DC3B42" w:rsidP="005331F8">
            <w:pPr>
              <w:keepNext/>
              <w:keepLines/>
              <w:widowControl w:val="0"/>
              <w:jc w:val="center"/>
              <w:rPr>
                <w:rFonts w:ascii="Arial Narrow" w:hAnsi="Arial Narrow"/>
                <w:sz w:val="20"/>
                <w:szCs w:val="20"/>
              </w:rPr>
            </w:pPr>
          </w:p>
        </w:tc>
      </w:tr>
    </w:tbl>
    <w:p w:rsidR="00DC3B42" w:rsidRPr="00B1054A" w:rsidRDefault="00DC3B42" w:rsidP="005331F8">
      <w:pPr>
        <w:keepNext/>
        <w:keepLines/>
        <w:widowControl w:val="0"/>
        <w:rPr>
          <w:szCs w:val="18"/>
          <w:lang w:eastAsia="en-US"/>
        </w:rPr>
      </w:pPr>
      <w:r w:rsidRPr="00B1054A">
        <w:rPr>
          <w:rFonts w:ascii="Arial Narrow" w:hAnsi="Arial Narrow"/>
          <w:sz w:val="18"/>
          <w:szCs w:val="18"/>
        </w:rPr>
        <w:t>Source: Tables 2.5.2 &amp; 2.5.5 (p72 &amp; 75 of the resubmission)</w:t>
      </w:r>
    </w:p>
    <w:p w:rsidR="00DC3B42" w:rsidRPr="00B1054A" w:rsidRDefault="00DC3B42" w:rsidP="005331F8">
      <w:pPr>
        <w:keepNext/>
        <w:keepLines/>
        <w:widowControl w:val="0"/>
        <w:rPr>
          <w:szCs w:val="18"/>
        </w:rPr>
      </w:pPr>
      <w:r w:rsidRPr="00B1054A">
        <w:rPr>
          <w:rFonts w:ascii="Arial Narrow" w:hAnsi="Arial Narrow"/>
          <w:sz w:val="18"/>
          <w:szCs w:val="18"/>
        </w:rPr>
        <w:t>Abbreviations: CI = confidence interval; FAS = full analysis set; IGA = investigator’s global assessment; PBO = placebo; QW = weekly; Q2W = fortnightly</w:t>
      </w:r>
    </w:p>
    <w:p w:rsidR="00DC3B42" w:rsidRPr="00B1054A" w:rsidRDefault="00DC3B42" w:rsidP="005331F8">
      <w:pPr>
        <w:keepNext/>
        <w:keepLines/>
        <w:widowControl w:val="0"/>
        <w:tabs>
          <w:tab w:val="left" w:pos="284"/>
          <w:tab w:val="left" w:pos="851"/>
        </w:tabs>
        <w:ind w:left="284" w:hanging="284"/>
        <w:rPr>
          <w:szCs w:val="18"/>
        </w:rPr>
      </w:pPr>
      <w:r w:rsidRPr="00B1054A">
        <w:rPr>
          <w:rFonts w:ascii="Arial Narrow" w:hAnsi="Arial Narrow"/>
          <w:sz w:val="18"/>
          <w:szCs w:val="18"/>
          <w:vertAlign w:val="superscript"/>
        </w:rPr>
        <w:t>a</w:t>
      </w:r>
      <w:r w:rsidRPr="00B1054A">
        <w:rPr>
          <w:rFonts w:ascii="Arial Narrow" w:hAnsi="Arial Narrow"/>
          <w:sz w:val="18"/>
          <w:szCs w:val="18"/>
          <w:vertAlign w:val="superscript"/>
        </w:rPr>
        <w:tab/>
      </w:r>
      <w:r w:rsidRPr="00B1054A">
        <w:rPr>
          <w:rFonts w:ascii="Arial Narrow" w:hAnsi="Arial Narrow"/>
          <w:sz w:val="18"/>
          <w:szCs w:val="18"/>
        </w:rPr>
        <w:t>Values after first rescue treatment used were set to missing (censoring) and these patients were considered non-responders. Difference is dupilumab minus placebo. CI calculated using normal approximation. P-values were derived by Cochran-Mantel-Haenszel test stratified by disease severity [IGA 3 vs IGA 4] and prior CsA use [Yes, No].</w:t>
      </w:r>
    </w:p>
    <w:p w:rsidR="00DC3B42" w:rsidRPr="00B1054A" w:rsidRDefault="00DC3B42" w:rsidP="005331F8">
      <w:pPr>
        <w:keepNext/>
        <w:keepLines/>
        <w:widowControl w:val="0"/>
        <w:tabs>
          <w:tab w:val="left" w:pos="284"/>
          <w:tab w:val="left" w:pos="851"/>
        </w:tabs>
        <w:spacing w:after="120"/>
        <w:ind w:left="284" w:hanging="284"/>
        <w:rPr>
          <w:szCs w:val="18"/>
        </w:rPr>
      </w:pPr>
      <w:r w:rsidRPr="00B1054A">
        <w:rPr>
          <w:rFonts w:ascii="Arial Narrow" w:hAnsi="Arial Narrow"/>
          <w:sz w:val="18"/>
          <w:szCs w:val="18"/>
          <w:vertAlign w:val="superscript"/>
        </w:rPr>
        <w:t>b</w:t>
      </w:r>
      <w:r w:rsidRPr="00B1054A">
        <w:rPr>
          <w:rFonts w:ascii="Arial Narrow" w:hAnsi="Arial Narrow"/>
          <w:sz w:val="18"/>
          <w:szCs w:val="18"/>
          <w:vertAlign w:val="superscript"/>
        </w:rPr>
        <w:tab/>
      </w:r>
      <w:r w:rsidRPr="00B1054A">
        <w:rPr>
          <w:rFonts w:ascii="Arial Narrow" w:hAnsi="Arial Narrow"/>
          <w:sz w:val="18"/>
          <w:szCs w:val="18"/>
        </w:rPr>
        <w:t>Values after initiation of rescue treatment were set to missing (censored). Patients with missing IGA score at week 16 were considered non-responders.</w:t>
      </w:r>
    </w:p>
    <w:p w:rsidR="00247925" w:rsidRPr="00B1054A" w:rsidRDefault="00DC3B42" w:rsidP="00EC5836">
      <w:pPr>
        <w:pStyle w:val="3-BodyText"/>
      </w:pPr>
      <w:r w:rsidRPr="00B1054A">
        <w:t>Meta-analys</w:t>
      </w:r>
      <w:r w:rsidR="00D97D6E" w:rsidRPr="00B1054A">
        <w:t>e</w:t>
      </w:r>
      <w:r w:rsidRPr="00B1054A">
        <w:t xml:space="preserve">s </w:t>
      </w:r>
      <w:r w:rsidR="00D97D6E" w:rsidRPr="00B1054A">
        <w:t>of</w:t>
      </w:r>
      <w:r w:rsidRPr="00B1054A">
        <w:t xml:space="preserve"> CAFÉ, CHRONOS, SOLO1/2 and Study 1021 presented in the resubmission remained unchanged from the previous </w:t>
      </w:r>
      <w:r w:rsidR="00E035D4" w:rsidRPr="00B1054A">
        <w:t>(re)</w:t>
      </w:r>
      <w:r w:rsidRPr="00B1054A">
        <w:t>submission</w:t>
      </w:r>
      <w:r w:rsidR="00E035D4" w:rsidRPr="00B1054A">
        <w:t>s</w:t>
      </w:r>
      <w:r w:rsidRPr="00B1054A">
        <w:t xml:space="preserve"> and showed a statistically significant difference in favour of dupilumab for the outcomes of EASI-75 at Week 16 (55% vs 19%, p&lt;0.001) and the proportion of patients achieving an IGA score reduction of ≥2 at Week 16 (37.3% vs 10.6%, p&lt;0.001).</w:t>
      </w:r>
    </w:p>
    <w:p w:rsidR="00760C4E" w:rsidRPr="00B1054A" w:rsidRDefault="00E035D4" w:rsidP="00EC5836">
      <w:pPr>
        <w:pStyle w:val="3-BodyText"/>
      </w:pPr>
      <w:r w:rsidRPr="00B1054A">
        <w:t xml:space="preserve">The mean DLQI change from baseline to Week 16 or Week 52 are relevant to the resubmission because improvement in DLQI of </w:t>
      </w:r>
      <w:r w:rsidRPr="00B1054A">
        <w:rPr>
          <w:rFonts w:cs="Calibri"/>
        </w:rPr>
        <w:t>≥</w:t>
      </w:r>
      <w:r w:rsidRPr="00B1054A">
        <w:t>4 points was added as a continuation criterion in the proposed restriction. The DLQI is a series of 10 questions, nine of which are rated and scored as follows: ‘not at all’ or ‘not relevant’ = 0, ‘a little’ = 1, ‘a lot’ = 2 and ‘very much = 3’; with the remaining question being ‘yes’ = 3 and ‘no’ = 0. The maximum possible score is 30 points, with higher scores indicating greater impact on a patient’s life (0-1 = no effect at all; 2-5 small effect; 6-10 = moderate effect; 11-20 = very large effect; 21-30 = extremely large effect). The mean change in DLQI in each of the trials showed statistically significant differences in favour of dupilumab</w:t>
      </w:r>
      <w:r w:rsidRPr="00B1054A">
        <w:rPr>
          <w:rFonts w:cs="Calibri"/>
          <w:snapToGrid/>
        </w:rPr>
        <w:t xml:space="preserve"> (</w:t>
      </w:r>
      <w:r w:rsidRPr="00B1054A">
        <w:t>Table 8).</w:t>
      </w:r>
    </w:p>
    <w:p w:rsidR="00E035D4" w:rsidRPr="00B1054A" w:rsidRDefault="00E035D4" w:rsidP="00E035D4">
      <w:pPr>
        <w:pStyle w:val="TableFigureHeading"/>
        <w:rPr>
          <w:rStyle w:val="CommentReference"/>
          <w:b/>
          <w:szCs w:val="24"/>
        </w:rPr>
      </w:pPr>
      <w:bookmarkStart w:id="23" w:name="_Ref27430889"/>
      <w:r w:rsidRPr="00B1054A">
        <w:rPr>
          <w:rStyle w:val="CommentReference"/>
          <w:b/>
          <w:szCs w:val="24"/>
        </w:rPr>
        <w:lastRenderedPageBreak/>
        <w:t xml:space="preserve">Table </w:t>
      </w:r>
      <w:r w:rsidR="00B20399" w:rsidRPr="00B1054A">
        <w:rPr>
          <w:rStyle w:val="CommentReference"/>
          <w:b/>
          <w:szCs w:val="24"/>
        </w:rPr>
        <w:t>8</w:t>
      </w:r>
      <w:bookmarkEnd w:id="23"/>
      <w:r w:rsidRPr="00B1054A">
        <w:rPr>
          <w:rStyle w:val="CommentReference"/>
          <w:b/>
          <w:szCs w:val="24"/>
        </w:rPr>
        <w:t>: The mean change in DLQI score (reduction in score indicates improvement) - FAS</w:t>
      </w:r>
    </w:p>
    <w:tbl>
      <w:tblPr>
        <w:tblStyle w:val="TableGrid1"/>
        <w:tblW w:w="5000" w:type="pct"/>
        <w:tblCellMar>
          <w:left w:w="28" w:type="dxa"/>
          <w:right w:w="28" w:type="dxa"/>
        </w:tblCellMar>
        <w:tblLook w:val="04A0" w:firstRow="1" w:lastRow="0" w:firstColumn="1" w:lastColumn="0" w:noHBand="0" w:noVBand="1"/>
        <w:tblCaption w:val="Table 8: The mean change in DLQI score (reduction in score indicates improvement) - FAS"/>
      </w:tblPr>
      <w:tblGrid>
        <w:gridCol w:w="1561"/>
        <w:gridCol w:w="491"/>
        <w:gridCol w:w="1244"/>
        <w:gridCol w:w="1243"/>
        <w:gridCol w:w="1522"/>
        <w:gridCol w:w="1937"/>
        <w:gridCol w:w="1019"/>
      </w:tblGrid>
      <w:tr w:rsidR="00E035D4" w:rsidRPr="005331F8" w:rsidTr="00AB09C1">
        <w:trPr>
          <w:trHeight w:val="416"/>
          <w:tblHeader/>
        </w:trPr>
        <w:tc>
          <w:tcPr>
            <w:tcW w:w="866" w:type="pct"/>
            <w:tcBorders>
              <w:bottom w:val="single" w:sz="4" w:space="0" w:color="auto"/>
            </w:tcBorders>
          </w:tcPr>
          <w:p w:rsidR="00E035D4" w:rsidRPr="005331F8" w:rsidRDefault="00E035D4" w:rsidP="00AB09C1">
            <w:pPr>
              <w:pStyle w:val="TableText1"/>
              <w:keepLines/>
              <w:spacing w:before="0" w:after="0"/>
              <w:rPr>
                <w:rFonts w:ascii="Arial Narrow" w:hAnsi="Arial Narrow" w:cstheme="minorHAnsi"/>
                <w:color w:val="auto"/>
                <w:sz w:val="20"/>
                <w:szCs w:val="20"/>
              </w:rPr>
            </w:pPr>
          </w:p>
        </w:tc>
        <w:tc>
          <w:tcPr>
            <w:tcW w:w="272"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N</w:t>
            </w:r>
          </w:p>
        </w:tc>
        <w:tc>
          <w:tcPr>
            <w:tcW w:w="690" w:type="pct"/>
            <w:tcBorders>
              <w:bottom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Baseline mean (SD)</w:t>
            </w:r>
          </w:p>
        </w:tc>
        <w:tc>
          <w:tcPr>
            <w:tcW w:w="689" w:type="pct"/>
            <w:tcBorders>
              <w:bottom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Mean change (SD)</w:t>
            </w:r>
          </w:p>
        </w:tc>
        <w:tc>
          <w:tcPr>
            <w:tcW w:w="844" w:type="pct"/>
            <w:tcBorders>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LS mean change (SE)</w:t>
            </w:r>
          </w:p>
        </w:tc>
        <w:tc>
          <w:tcPr>
            <w:tcW w:w="1074" w:type="pct"/>
            <w:tcBorders>
              <w:left w:val="single" w:sz="4" w:space="0" w:color="auto"/>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LS mean difference vs PBO (95% CI)</w:t>
            </w:r>
          </w:p>
        </w:tc>
        <w:tc>
          <w:tcPr>
            <w:tcW w:w="565" w:type="pct"/>
            <w:tcBorders>
              <w:left w:val="single" w:sz="4" w:space="0" w:color="auto"/>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b/>
                <w:color w:val="auto"/>
                <w:sz w:val="20"/>
                <w:szCs w:val="20"/>
              </w:rPr>
            </w:pPr>
            <w:r w:rsidRPr="005331F8">
              <w:rPr>
                <w:rFonts w:ascii="Arial Narrow" w:hAnsi="Arial Narrow" w:cstheme="minorHAnsi"/>
                <w:b/>
                <w:color w:val="auto"/>
                <w:sz w:val="20"/>
                <w:szCs w:val="20"/>
              </w:rPr>
              <w:t>P-value</w:t>
            </w:r>
          </w:p>
        </w:tc>
      </w:tr>
      <w:tr w:rsidR="00E035D4" w:rsidRPr="005331F8" w:rsidTr="00AB09C1">
        <w:trPr>
          <w:trHeight w:val="84"/>
        </w:trPr>
        <w:tc>
          <w:tcPr>
            <w:tcW w:w="866" w:type="pct"/>
            <w:tcBorders>
              <w:right w:val="nil"/>
            </w:tcBorders>
            <w:shd w:val="clear" w:color="auto" w:fill="BFBFBF" w:themeFill="background1" w:themeFillShade="BF"/>
            <w:vAlign w:val="center"/>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Week 16</w:t>
            </w:r>
          </w:p>
        </w:tc>
        <w:tc>
          <w:tcPr>
            <w:tcW w:w="272"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shd w:val="clear" w:color="auto" w:fill="BFBFBF" w:themeFill="background1" w:themeFillShade="BF"/>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shd w:val="clear" w:color="auto" w:fill="BFBFBF" w:themeFill="background1" w:themeFillShade="BF"/>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shd w:val="clear" w:color="auto" w:fill="BFBFBF" w:themeFill="background1" w:themeFillShade="BF"/>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shd w:val="clear" w:color="auto" w:fill="BFBFBF" w:themeFill="background1" w:themeFillShade="BF"/>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right w:val="single" w:sz="4" w:space="0" w:color="auto"/>
            </w:tcBorders>
            <w:shd w:val="clear" w:color="auto" w:fill="BFBFBF" w:themeFill="background1" w:themeFillShade="BF"/>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Borders>
              <w:right w:val="nil"/>
            </w:tcBorders>
            <w:vAlign w:val="center"/>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CAFÉ</w:t>
            </w:r>
          </w:p>
        </w:tc>
        <w:tc>
          <w:tcPr>
            <w:tcW w:w="272"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vAlign w:val="center"/>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107</w:t>
            </w:r>
          </w:p>
        </w:tc>
        <w:tc>
          <w:tcPr>
            <w:tcW w:w="690" w:type="pct"/>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14.5 (7.63)</w:t>
            </w:r>
          </w:p>
        </w:tc>
        <w:tc>
          <w:tcPr>
            <w:tcW w:w="689" w:type="pct"/>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-9.8 (6.52)</w:t>
            </w:r>
          </w:p>
        </w:tc>
        <w:tc>
          <w:tcPr>
            <w:tcW w:w="844" w:type="pct"/>
            <w:tcBorders>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-9.5 (0.46)</w:t>
            </w:r>
          </w:p>
        </w:tc>
        <w:tc>
          <w:tcPr>
            <w:tcW w:w="1074" w:type="pct"/>
            <w:tcBorders>
              <w:left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-5.0 (-6.31, -3.74)</w:t>
            </w:r>
          </w:p>
        </w:tc>
        <w:tc>
          <w:tcPr>
            <w:tcW w:w="565" w:type="pct"/>
            <w:tcBorders>
              <w:left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Borders>
              <w:bottom w:val="single" w:sz="4" w:space="0" w:color="auto"/>
            </w:tcBorders>
            <w:vAlign w:val="center"/>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108</w:t>
            </w:r>
          </w:p>
        </w:tc>
        <w:tc>
          <w:tcPr>
            <w:tcW w:w="690" w:type="pct"/>
            <w:tcBorders>
              <w:bottom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13.2 (7.60)</w:t>
            </w:r>
          </w:p>
        </w:tc>
        <w:tc>
          <w:tcPr>
            <w:tcW w:w="689" w:type="pct"/>
            <w:tcBorders>
              <w:bottom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-4.1 (5.60)</w:t>
            </w:r>
          </w:p>
        </w:tc>
        <w:tc>
          <w:tcPr>
            <w:tcW w:w="844" w:type="pct"/>
            <w:tcBorders>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-4.5 (0.49)</w:t>
            </w:r>
          </w:p>
        </w:tc>
        <w:tc>
          <w:tcPr>
            <w:tcW w:w="1074" w:type="pct"/>
            <w:tcBorders>
              <w:left w:val="single" w:sz="4" w:space="0" w:color="auto"/>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Borders>
              <w:left w:val="single" w:sz="4" w:space="0" w:color="auto"/>
              <w:bottom w:val="single" w:sz="4" w:space="0" w:color="auto"/>
              <w:right w:val="single" w:sz="4" w:space="0" w:color="auto"/>
            </w:tcBorders>
            <w:vAlign w:val="center"/>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r w:rsidR="00E035D4" w:rsidRPr="005331F8" w:rsidTr="00AB09C1">
        <w:trPr>
          <w:trHeight w:val="84"/>
        </w:trPr>
        <w:tc>
          <w:tcPr>
            <w:tcW w:w="866" w:type="pct"/>
            <w:tcBorders>
              <w:right w:val="nil"/>
            </w:tcBorders>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CHRONOS</w:t>
            </w:r>
          </w:p>
        </w:tc>
        <w:tc>
          <w:tcPr>
            <w:tcW w:w="272"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106</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14.5 (7.31)</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-10.0 (7.33)</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-10.0 (0.50)</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-4.2 (-5.31, -3.02)</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Borders>
              <w:bottom w:val="single" w:sz="4" w:space="0" w:color="auto"/>
            </w:tcBorders>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315</w:t>
            </w:r>
          </w:p>
        </w:tc>
        <w:tc>
          <w:tcPr>
            <w:tcW w:w="690"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14.7 (7.37)</w:t>
            </w:r>
          </w:p>
        </w:tc>
        <w:tc>
          <w:tcPr>
            <w:tcW w:w="689"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-6.0 (6.33)</w:t>
            </w:r>
          </w:p>
        </w:tc>
        <w:tc>
          <w:tcPr>
            <w:tcW w:w="84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-5.8 (0.34)</w:t>
            </w:r>
          </w:p>
        </w:tc>
        <w:tc>
          <w:tcPr>
            <w:tcW w:w="107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r w:rsidR="00E035D4" w:rsidRPr="005331F8" w:rsidTr="00AB09C1">
        <w:trPr>
          <w:trHeight w:val="84"/>
        </w:trPr>
        <w:tc>
          <w:tcPr>
            <w:tcW w:w="866" w:type="pct"/>
            <w:tcBorders>
              <w:right w:val="nil"/>
            </w:tcBorders>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SOLO 1</w:t>
            </w:r>
          </w:p>
        </w:tc>
        <w:tc>
          <w:tcPr>
            <w:tcW w:w="272"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224</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13.9 (7.37)</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-9.0 (6.61)</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-9.3 (0.40)</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-4.0 (-5.16, -2.80)</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Borders>
              <w:bottom w:val="single" w:sz="4" w:space="0" w:color="auto"/>
            </w:tcBorders>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224</w:t>
            </w:r>
          </w:p>
        </w:tc>
        <w:tc>
          <w:tcPr>
            <w:tcW w:w="690"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14.8 (7.21)</w:t>
            </w:r>
          </w:p>
        </w:tc>
        <w:tc>
          <w:tcPr>
            <w:tcW w:w="689"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-5.6 (5.86)</w:t>
            </w:r>
          </w:p>
        </w:tc>
        <w:tc>
          <w:tcPr>
            <w:tcW w:w="84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-5.3 (0.50)</w:t>
            </w:r>
          </w:p>
        </w:tc>
        <w:tc>
          <w:tcPr>
            <w:tcW w:w="107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r w:rsidR="00E035D4" w:rsidRPr="005331F8" w:rsidTr="00AB09C1">
        <w:trPr>
          <w:trHeight w:val="84"/>
        </w:trPr>
        <w:tc>
          <w:tcPr>
            <w:tcW w:w="866" w:type="pct"/>
            <w:tcBorders>
              <w:right w:val="nil"/>
            </w:tcBorders>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SOLO 2</w:t>
            </w:r>
          </w:p>
        </w:tc>
        <w:tc>
          <w:tcPr>
            <w:tcW w:w="272"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233</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15.4 (7.07)</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-9.7 (6.20)</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-9.3 (0.38)</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-5.7 (-6.86, -4.47)</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Borders>
              <w:bottom w:val="single" w:sz="4" w:space="0" w:color="auto"/>
            </w:tcBorders>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236</w:t>
            </w:r>
          </w:p>
        </w:tc>
        <w:tc>
          <w:tcPr>
            <w:tcW w:w="690"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15.4 (7.69)</w:t>
            </w:r>
          </w:p>
        </w:tc>
        <w:tc>
          <w:tcPr>
            <w:tcW w:w="689"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-4.0 (5.75)</w:t>
            </w:r>
          </w:p>
        </w:tc>
        <w:tc>
          <w:tcPr>
            <w:tcW w:w="84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-3.6 (0.50)</w:t>
            </w:r>
          </w:p>
        </w:tc>
        <w:tc>
          <w:tcPr>
            <w:tcW w:w="1074"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Borders>
              <w:bottom w:val="single" w:sz="4" w:space="0" w:color="auto"/>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1021</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64</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14.5 (7.20)</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-8.5 (6.90)</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-7.7 (0.81)</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-5.0 (-7.2, -2.8)</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61</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12.8 (6.20)</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-2.5 (6.10)</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-2.7 (0.90)</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r w:rsidR="00E035D4" w:rsidRPr="005331F8" w:rsidTr="00AB09C1">
        <w:trPr>
          <w:trHeight w:val="84"/>
        </w:trPr>
        <w:tc>
          <w:tcPr>
            <w:tcW w:w="866" w:type="pct"/>
            <w:tcBorders>
              <w:right w:val="nil"/>
            </w:tcBorders>
            <w:shd w:val="clear" w:color="auto" w:fill="BFBFBF" w:themeFill="background1" w:themeFillShade="BF"/>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Week 52</w:t>
            </w:r>
          </w:p>
        </w:tc>
        <w:tc>
          <w:tcPr>
            <w:tcW w:w="272"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tcBorders>
            <w:shd w:val="clear" w:color="auto" w:fill="BFBFBF" w:themeFill="background1" w:themeFillShade="BF"/>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Borders>
              <w:right w:val="nil"/>
            </w:tcBorders>
          </w:tcPr>
          <w:p w:rsidR="00E035D4" w:rsidRPr="005331F8" w:rsidRDefault="00E035D4" w:rsidP="00AB09C1">
            <w:pPr>
              <w:pStyle w:val="TableText1"/>
              <w:keepLines/>
              <w:spacing w:before="0" w:after="0"/>
              <w:rPr>
                <w:rFonts w:ascii="Arial Narrow" w:hAnsi="Arial Narrow" w:cstheme="minorHAnsi"/>
                <w:b/>
                <w:color w:val="auto"/>
                <w:sz w:val="20"/>
                <w:szCs w:val="20"/>
              </w:rPr>
            </w:pPr>
            <w:r w:rsidRPr="005331F8">
              <w:rPr>
                <w:rFonts w:ascii="Arial Narrow" w:hAnsi="Arial Narrow" w:cstheme="minorHAnsi"/>
                <w:b/>
                <w:color w:val="auto"/>
                <w:sz w:val="20"/>
                <w:szCs w:val="20"/>
              </w:rPr>
              <w:t>CHRONOS</w:t>
            </w:r>
          </w:p>
        </w:tc>
        <w:tc>
          <w:tcPr>
            <w:tcW w:w="272"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Dupi 300 mg Q2W</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89</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15.0 (7.32)</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-11.5 (7.07)</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-11.4 (0.57)</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-4.2 (-5.54, -2.94)</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&lt;0.0001</w:t>
            </w:r>
          </w:p>
        </w:tc>
      </w:tr>
      <w:tr w:rsidR="00E035D4" w:rsidRPr="005331F8" w:rsidTr="00AB09C1">
        <w:trPr>
          <w:trHeight w:val="84"/>
        </w:trPr>
        <w:tc>
          <w:tcPr>
            <w:tcW w:w="866" w:type="pct"/>
          </w:tcPr>
          <w:p w:rsidR="00E035D4" w:rsidRPr="005331F8" w:rsidRDefault="00E035D4" w:rsidP="00AB09C1">
            <w:pPr>
              <w:pStyle w:val="TableText1"/>
              <w:keepLines/>
              <w:spacing w:before="0" w:after="0"/>
              <w:rPr>
                <w:rFonts w:ascii="Arial Narrow" w:hAnsi="Arial Narrow" w:cstheme="minorHAnsi"/>
                <w:color w:val="auto"/>
                <w:sz w:val="20"/>
                <w:szCs w:val="20"/>
              </w:rPr>
            </w:pPr>
            <w:r w:rsidRPr="005331F8">
              <w:rPr>
                <w:rFonts w:ascii="Arial Narrow" w:hAnsi="Arial Narrow" w:cstheme="minorHAnsi"/>
                <w:color w:val="auto"/>
                <w:sz w:val="20"/>
                <w:szCs w:val="20"/>
              </w:rPr>
              <w:t>Placebo</w:t>
            </w:r>
          </w:p>
        </w:tc>
        <w:tc>
          <w:tcPr>
            <w:tcW w:w="272"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264</w:t>
            </w:r>
          </w:p>
        </w:tc>
        <w:tc>
          <w:tcPr>
            <w:tcW w:w="690"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15.2 (7.35)</w:t>
            </w:r>
          </w:p>
        </w:tc>
        <w:tc>
          <w:tcPr>
            <w:tcW w:w="689"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-7.4 (6.23)</w:t>
            </w:r>
          </w:p>
        </w:tc>
        <w:tc>
          <w:tcPr>
            <w:tcW w:w="84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-7.2 (0.40)</w:t>
            </w:r>
          </w:p>
        </w:tc>
        <w:tc>
          <w:tcPr>
            <w:tcW w:w="1074"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c>
          <w:tcPr>
            <w:tcW w:w="565" w:type="pct"/>
          </w:tcPr>
          <w:p w:rsidR="00E035D4" w:rsidRPr="005331F8" w:rsidRDefault="00E035D4" w:rsidP="00AB09C1">
            <w:pPr>
              <w:pStyle w:val="TableText1"/>
              <w:keepLines/>
              <w:spacing w:before="0" w:after="0"/>
              <w:jc w:val="center"/>
              <w:rPr>
                <w:rFonts w:ascii="Arial Narrow" w:hAnsi="Arial Narrow" w:cstheme="minorHAnsi"/>
                <w:color w:val="auto"/>
                <w:sz w:val="20"/>
                <w:szCs w:val="20"/>
              </w:rPr>
            </w:pPr>
            <w:r w:rsidRPr="005331F8">
              <w:rPr>
                <w:rFonts w:ascii="Arial Narrow" w:hAnsi="Arial Narrow" w:cstheme="minorHAnsi"/>
                <w:color w:val="auto"/>
                <w:sz w:val="20"/>
                <w:szCs w:val="20"/>
              </w:rPr>
              <w:t>-</w:t>
            </w:r>
          </w:p>
        </w:tc>
      </w:tr>
    </w:tbl>
    <w:p w:rsidR="00E035D4" w:rsidRPr="00B1054A" w:rsidRDefault="00E035D4" w:rsidP="00E035D4">
      <w:pPr>
        <w:rPr>
          <w:rFonts w:ascii="Arial Narrow" w:hAnsi="Arial Narrow"/>
          <w:sz w:val="18"/>
          <w:szCs w:val="18"/>
          <w:lang w:eastAsia="en-US"/>
        </w:rPr>
      </w:pPr>
      <w:r w:rsidRPr="00B1054A">
        <w:rPr>
          <w:rFonts w:ascii="Arial Narrow" w:hAnsi="Arial Narrow"/>
          <w:sz w:val="18"/>
          <w:szCs w:val="18"/>
        </w:rPr>
        <w:t>Source: Table 2.5.3 (p73) of the resubmission &amp; Table 2.5.15 (p.101) of the July 2019 resubmission</w:t>
      </w:r>
    </w:p>
    <w:p w:rsidR="00E035D4" w:rsidRPr="00B1054A" w:rsidRDefault="00E035D4" w:rsidP="00D97D6E">
      <w:pPr>
        <w:keepNext/>
        <w:keepLines/>
        <w:spacing w:after="120"/>
        <w:rPr>
          <w:rFonts w:ascii="Arial Narrow" w:hAnsi="Arial Narrow"/>
          <w:sz w:val="18"/>
          <w:szCs w:val="18"/>
        </w:rPr>
      </w:pPr>
      <w:r w:rsidRPr="00B1054A">
        <w:rPr>
          <w:rFonts w:ascii="Arial Narrow" w:hAnsi="Arial Narrow"/>
          <w:sz w:val="18"/>
          <w:szCs w:val="18"/>
        </w:rPr>
        <w:t>Abbreviations: CI = confidence interval; DLQI = dermatology life quality index; FAS = full analysis set; QW = weekly; Q2W = fortnightly</w:t>
      </w:r>
    </w:p>
    <w:p w:rsidR="00B34FE2" w:rsidRPr="00B1054A" w:rsidRDefault="00CF333B" w:rsidP="00EC5836">
      <w:pPr>
        <w:pStyle w:val="3-BodyText"/>
      </w:pPr>
      <w:r w:rsidRPr="00B1054A">
        <w:t xml:space="preserve">The resubmission </w:t>
      </w:r>
      <w:r w:rsidR="00BD74EE" w:rsidRPr="00B1054A">
        <w:t xml:space="preserve">requested listing for a severe AD population (defined as PGA=4 AND EASI </w:t>
      </w:r>
      <w:r w:rsidR="00BD74EE" w:rsidRPr="00B1054A">
        <w:rPr>
          <w:rFonts w:cstheme="minorHAnsi"/>
        </w:rPr>
        <w:t>≥</w:t>
      </w:r>
      <w:r w:rsidR="00BD74EE" w:rsidRPr="00B1054A">
        <w:t xml:space="preserve">20) and </w:t>
      </w:r>
      <w:r w:rsidRPr="00B1054A">
        <w:t>proposed that the criteria for continuation of dupilumab use on the PBS be based on response defined as a 50% in EASI score (EASI-50) AND a 4 point improvement in DLQI</w:t>
      </w:r>
      <w:r w:rsidR="00F0598C" w:rsidRPr="00B1054A">
        <w:t xml:space="preserve"> (DLQI 4)</w:t>
      </w:r>
      <w:r w:rsidRPr="00B1054A">
        <w:t xml:space="preserve">, although this composite outcome did not form the basis of the clinical claim. The results </w:t>
      </w:r>
      <w:r w:rsidR="00BD74EE" w:rsidRPr="00B1054A">
        <w:t xml:space="preserve">for this composite outcome in the sub-group of interest </w:t>
      </w:r>
      <w:r w:rsidRPr="00B1054A">
        <w:t>are presented in Table 9, along with results for the outcomes indiv</w:t>
      </w:r>
      <w:r w:rsidR="00BD74EE" w:rsidRPr="00B1054A">
        <w:t>i</w:t>
      </w:r>
      <w:r w:rsidRPr="00B1054A">
        <w:t xml:space="preserve">dually. These results are based on </w:t>
      </w:r>
      <w:r w:rsidRPr="00B1054A">
        <w:rPr>
          <w:i/>
        </w:rPr>
        <w:t>post hoc</w:t>
      </w:r>
      <w:r w:rsidRPr="00B1054A">
        <w:t xml:space="preserve"> analyses and patient numbers could not be verified in the clinical study reports (CSRs).</w:t>
      </w:r>
    </w:p>
    <w:p w:rsidR="00F34B5B" w:rsidRPr="00B1054A" w:rsidRDefault="00F34B5B" w:rsidP="00EC5836">
      <w:pPr>
        <w:pStyle w:val="3-BodyText"/>
      </w:pPr>
      <w:r w:rsidRPr="00B1054A">
        <w:t xml:space="preserve">The change in utility among patients with baseline PGA=4 AND EASI </w:t>
      </w:r>
      <w:r w:rsidRPr="00B1054A">
        <w:rPr>
          <w:rFonts w:cstheme="minorHAnsi"/>
        </w:rPr>
        <w:t>≥</w:t>
      </w:r>
      <w:r w:rsidRPr="00B1054A">
        <w:t xml:space="preserve">20, according to EASI-50 and/or DLQ 4 response are presented in </w:t>
      </w:r>
      <w:r w:rsidR="00F0598C" w:rsidRPr="00B1054A">
        <w:t>Table 10.</w:t>
      </w:r>
    </w:p>
    <w:p w:rsidR="00F34B5B" w:rsidRPr="00B1054A" w:rsidRDefault="00F34B5B" w:rsidP="00EC5836">
      <w:pPr>
        <w:pStyle w:val="3-BodyText"/>
      </w:pPr>
      <w:r w:rsidRPr="00B1054A">
        <w:t>These results consistently show statistically significant differences in favour of dupilumab at both Week 16 and Week 44 for all definitions of response in both CsA-naïve and CsA-experienced sub-groups. The utility results at Week 16 consistently show higher utility improvements in dupilumab patients compared to placebo patients in responders and non-responders across all definitions of response. However, these utility results are not replicated at Week 44</w:t>
      </w:r>
      <w:r w:rsidR="0093391B" w:rsidRPr="00B1054A">
        <w:t xml:space="preserve"> (in CHRONOS)</w:t>
      </w:r>
      <w:r w:rsidRPr="00B1054A">
        <w:t>, with placebo responders and non-responders showing higher utility improvements than dupilumab responders and non-responders (respectively) for many definitions of response.</w:t>
      </w:r>
    </w:p>
    <w:p w:rsidR="00BD74EE" w:rsidRPr="00B1054A" w:rsidRDefault="00BD74EE" w:rsidP="00BD74EE">
      <w:pPr>
        <w:pStyle w:val="TableFigureHeading"/>
        <w:rPr>
          <w:rStyle w:val="CommentReference"/>
          <w:b/>
          <w:szCs w:val="24"/>
        </w:rPr>
      </w:pPr>
      <w:r w:rsidRPr="00B1054A">
        <w:rPr>
          <w:rStyle w:val="CommentReference"/>
          <w:b/>
          <w:szCs w:val="24"/>
        </w:rPr>
        <w:lastRenderedPageBreak/>
        <w:t xml:space="preserve">Table </w:t>
      </w:r>
      <w:r w:rsidR="00B20399" w:rsidRPr="00B1054A">
        <w:rPr>
          <w:rStyle w:val="CommentReference"/>
          <w:b/>
          <w:szCs w:val="24"/>
        </w:rPr>
        <w:t>9</w:t>
      </w:r>
      <w:r w:rsidRPr="00B1054A">
        <w:rPr>
          <w:rStyle w:val="CommentReference"/>
          <w:b/>
          <w:szCs w:val="24"/>
        </w:rPr>
        <w:t xml:space="preserve">: Response rates at Week 16 </w:t>
      </w:r>
      <w:r w:rsidR="009A523E" w:rsidRPr="00B1054A">
        <w:rPr>
          <w:rStyle w:val="CommentReference"/>
          <w:b/>
          <w:szCs w:val="24"/>
        </w:rPr>
        <w:t xml:space="preserve">(pooled 1021, SOLO 1, SOLO 2, CHRONOS) </w:t>
      </w:r>
      <w:r w:rsidRPr="00B1054A">
        <w:rPr>
          <w:rStyle w:val="CommentReference"/>
          <w:b/>
          <w:szCs w:val="24"/>
        </w:rPr>
        <w:t xml:space="preserve">and maintenance of response rates at Week 44 </w:t>
      </w:r>
      <w:r w:rsidR="009A523E" w:rsidRPr="00B1054A">
        <w:rPr>
          <w:rStyle w:val="CommentReference"/>
          <w:b/>
          <w:szCs w:val="24"/>
        </w:rPr>
        <w:t xml:space="preserve">(CHRONOS) </w:t>
      </w:r>
      <w:r w:rsidRPr="00B1054A">
        <w:rPr>
          <w:rStyle w:val="CommentReference"/>
          <w:b/>
          <w:szCs w:val="24"/>
        </w:rPr>
        <w:t>– Baseline IGA=4 AND EASI ≥20, CsA-naïve and CsA-experienced</w:t>
      </w:r>
      <w:r w:rsidR="009A523E" w:rsidRPr="00B1054A">
        <w:rPr>
          <w:rStyle w:val="CommentReference"/>
          <w:b/>
          <w:szCs w:val="24"/>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134"/>
        <w:gridCol w:w="1134"/>
        <w:gridCol w:w="1276"/>
        <w:gridCol w:w="1282"/>
        <w:gridCol w:w="1104"/>
        <w:gridCol w:w="1449"/>
      </w:tblGrid>
      <w:tr w:rsidR="00BD74EE" w:rsidRPr="00A26F93" w:rsidTr="009A523E">
        <w:trPr>
          <w:trHeight w:val="288"/>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left"/>
              <w:rPr>
                <w:rFonts w:ascii="Arial Narrow" w:hAnsi="Arial Narrow" w:cs="Times New Roman"/>
                <w:b/>
                <w:sz w:val="20"/>
                <w:szCs w:val="20"/>
              </w:rPr>
            </w:pPr>
            <w:r w:rsidRPr="00A26F93">
              <w:rPr>
                <w:rFonts w:ascii="Arial Narrow" w:hAnsi="Arial Narrow" w:cs="Calibri"/>
                <w:b/>
                <w:sz w:val="20"/>
                <w:szCs w:val="20"/>
              </w:rPr>
              <w:t>Analysis</w:t>
            </w:r>
          </w:p>
        </w:tc>
        <w:tc>
          <w:tcPr>
            <w:tcW w:w="3544" w:type="dxa"/>
            <w:gridSpan w:val="3"/>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Week 16</w:t>
            </w:r>
          </w:p>
        </w:tc>
        <w:tc>
          <w:tcPr>
            <w:tcW w:w="3835" w:type="dxa"/>
            <w:gridSpan w:val="3"/>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Week 44</w:t>
            </w:r>
          </w:p>
        </w:tc>
      </w:tr>
      <w:tr w:rsidR="00BD74EE" w:rsidRPr="00A26F93" w:rsidTr="009A523E">
        <w:trPr>
          <w:trHeight w:val="288"/>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BD74EE" w:rsidRPr="00A26F93" w:rsidRDefault="00BD74EE" w:rsidP="00BD74EE">
            <w:pPr>
              <w:keepNext/>
              <w:jc w:val="left"/>
              <w:rPr>
                <w:rFonts w:ascii="Arial Narrow" w:hAnsi="Arial Narrow" w:cs="Times New Roman"/>
                <w:b/>
                <w:sz w:val="20"/>
                <w:szCs w:val="20"/>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b/>
                <w:sz w:val="20"/>
                <w:szCs w:val="20"/>
              </w:rPr>
            </w:pPr>
            <w:r w:rsidRPr="00A26F93">
              <w:rPr>
                <w:rFonts w:ascii="Arial Narrow" w:hAnsi="Arial Narrow" w:cs="Calibri"/>
                <w:b/>
                <w:sz w:val="20"/>
                <w:szCs w:val="20"/>
              </w:rPr>
              <w:t>n/N (</w:t>
            </w:r>
            <w:r w:rsidR="00BD74EE" w:rsidRPr="00A26F93">
              <w:rPr>
                <w:rFonts w:ascii="Arial Narrow" w:hAnsi="Arial Narrow" w:cs="Calibri"/>
                <w:b/>
                <w:sz w:val="20"/>
                <w:szCs w:val="20"/>
              </w:rPr>
              <w:t>%</w:t>
            </w:r>
            <w:r w:rsidRPr="00A26F93">
              <w:rPr>
                <w:rFonts w:ascii="Arial Narrow" w:hAnsi="Arial Narrow" w:cs="Calibri"/>
                <w:b/>
                <w:sz w:val="20"/>
                <w:szCs w:val="20"/>
              </w:rPr>
              <w:t>)</w:t>
            </w:r>
            <w:r w:rsidR="00BD74EE" w:rsidRPr="00A26F93">
              <w:rPr>
                <w:rFonts w:ascii="Arial Narrow" w:hAnsi="Arial Narrow" w:cs="Calibri"/>
                <w:b/>
                <w:sz w:val="20"/>
                <w:szCs w:val="20"/>
              </w:rPr>
              <w:t xml:space="preserve"> responders</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RD (95%CI)</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p-value</w:t>
            </w:r>
          </w:p>
        </w:tc>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AF210D" w:rsidP="00BD74EE">
            <w:pPr>
              <w:keepNext/>
              <w:jc w:val="center"/>
              <w:rPr>
                <w:rFonts w:ascii="Arial Narrow" w:hAnsi="Arial Narrow" w:cs="Times New Roman"/>
                <w:b/>
                <w:sz w:val="20"/>
                <w:szCs w:val="20"/>
                <w:vertAlign w:val="superscript"/>
              </w:rPr>
            </w:pPr>
            <w:r w:rsidRPr="00A26F93">
              <w:rPr>
                <w:rFonts w:ascii="Arial Narrow" w:hAnsi="Arial Narrow" w:cs="Calibri"/>
                <w:b/>
                <w:sz w:val="20"/>
                <w:szCs w:val="20"/>
              </w:rPr>
              <w:t>n/N (</w:t>
            </w:r>
            <w:r w:rsidR="00BD74EE" w:rsidRPr="00A26F93">
              <w:rPr>
                <w:rFonts w:ascii="Arial Narrow" w:hAnsi="Arial Narrow" w:cs="Calibri"/>
                <w:b/>
                <w:sz w:val="20"/>
                <w:szCs w:val="20"/>
              </w:rPr>
              <w:t>%</w:t>
            </w:r>
            <w:r w:rsidRPr="00A26F93">
              <w:rPr>
                <w:rFonts w:ascii="Arial Narrow" w:hAnsi="Arial Narrow" w:cs="Calibri"/>
                <w:b/>
                <w:sz w:val="20"/>
                <w:szCs w:val="20"/>
              </w:rPr>
              <w:t>)</w:t>
            </w:r>
            <w:r w:rsidR="00BD74EE" w:rsidRPr="00A26F93">
              <w:rPr>
                <w:rFonts w:ascii="Arial Narrow" w:hAnsi="Arial Narrow" w:cs="Calibri"/>
                <w:b/>
                <w:sz w:val="20"/>
                <w:szCs w:val="20"/>
              </w:rPr>
              <w:t xml:space="preserve"> responders</w:t>
            </w:r>
            <w:r w:rsidR="00BD74EE" w:rsidRPr="00A26F93">
              <w:rPr>
                <w:rFonts w:ascii="Arial Narrow" w:hAnsi="Arial Narrow" w:cs="Calibri"/>
                <w:b/>
                <w:sz w:val="20"/>
                <w:szCs w:val="20"/>
                <w:vertAlign w:val="superscript"/>
              </w:rPr>
              <w:t>a</w:t>
            </w:r>
          </w:p>
        </w:tc>
        <w:tc>
          <w:tcPr>
            <w:tcW w:w="1449" w:type="dxa"/>
            <w:vMerge w:val="restart"/>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 xml:space="preserve">RD (95%CI) </w:t>
            </w:r>
          </w:p>
          <w:p w:rsidR="00BD74EE" w:rsidRPr="00A26F93" w:rsidRDefault="00BD74EE" w:rsidP="00BD74EE">
            <w:pPr>
              <w:keepNext/>
              <w:jc w:val="center"/>
              <w:rPr>
                <w:rFonts w:ascii="Arial Narrow" w:hAnsi="Arial Narrow" w:cs="Times New Roman"/>
                <w:b/>
                <w:sz w:val="20"/>
                <w:szCs w:val="20"/>
              </w:rPr>
            </w:pPr>
            <w:r w:rsidRPr="00A26F93">
              <w:rPr>
                <w:rFonts w:ascii="Arial Narrow" w:hAnsi="Arial Narrow" w:cs="Calibri"/>
                <w:b/>
                <w:sz w:val="20"/>
                <w:szCs w:val="20"/>
              </w:rPr>
              <w:t>p-value</w:t>
            </w:r>
          </w:p>
        </w:tc>
      </w:tr>
      <w:tr w:rsidR="00BD74EE" w:rsidRPr="00A26F93" w:rsidTr="009A523E">
        <w:trPr>
          <w:trHeight w:val="288"/>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BD74EE" w:rsidRPr="00A26F93" w:rsidRDefault="00BD74EE" w:rsidP="00BD74EE">
            <w:pPr>
              <w:keepNext/>
              <w:jc w:val="left"/>
              <w:rPr>
                <w:rFonts w:ascii="Arial Narrow" w:hAnsi="Arial Narrow"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Placebo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Dupilumab</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Q2W</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74EE" w:rsidRPr="00A26F93" w:rsidRDefault="00BD74EE" w:rsidP="00BD74EE">
            <w:pPr>
              <w:keepNext/>
              <w:rPr>
                <w:rFonts w:ascii="Arial Narrow" w:hAnsi="Arial Narrow" w:cs="Calibri"/>
                <w:b/>
                <w:sz w:val="20"/>
                <w:szCs w:val="20"/>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Placebo</w:t>
            </w:r>
          </w:p>
        </w:tc>
        <w:tc>
          <w:tcPr>
            <w:tcW w:w="110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Dupilumab</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Q2W</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BD74EE" w:rsidRPr="00A26F93" w:rsidRDefault="00BD74EE" w:rsidP="00BD74EE">
            <w:pPr>
              <w:keepNext/>
              <w:rPr>
                <w:rFonts w:ascii="Arial Narrow" w:hAnsi="Arial Narrow" w:cs="Times New Roman"/>
                <w:b/>
                <w:sz w:val="20"/>
                <w:szCs w:val="20"/>
              </w:rPr>
            </w:pPr>
          </w:p>
        </w:tc>
      </w:tr>
      <w:tr w:rsidR="00BD74EE" w:rsidRPr="00A26F93" w:rsidTr="00BD74EE">
        <w:trPr>
          <w:trHeight w:val="70"/>
        </w:trPr>
        <w:tc>
          <w:tcPr>
            <w:tcW w:w="9075" w:type="dxa"/>
            <w:gridSpan w:val="7"/>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left"/>
              <w:rPr>
                <w:rFonts w:ascii="Arial Narrow" w:hAnsi="Arial Narrow" w:cs="Calibri"/>
                <w:b/>
                <w:sz w:val="20"/>
                <w:szCs w:val="20"/>
              </w:rPr>
            </w:pPr>
            <w:r w:rsidRPr="00A26F93">
              <w:rPr>
                <w:rFonts w:ascii="Arial Narrow" w:hAnsi="Arial Narrow" w:cs="Calibri"/>
                <w:b/>
                <w:sz w:val="20"/>
                <w:szCs w:val="20"/>
              </w:rPr>
              <w:t>CsA-</w:t>
            </w:r>
            <w:r w:rsidR="004F79C7" w:rsidRPr="00A26F93">
              <w:rPr>
                <w:rFonts w:ascii="Arial Narrow" w:hAnsi="Arial Narrow" w:cs="Calibri"/>
                <w:b/>
                <w:sz w:val="20"/>
                <w:szCs w:val="20"/>
              </w:rPr>
              <w:t>naïve</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EASI-50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59/246 (</w:t>
            </w:r>
            <w:r w:rsidR="00BD74EE" w:rsidRPr="00A26F93">
              <w:rPr>
                <w:rFonts w:ascii="Arial Narrow" w:hAnsi="Arial Narrow" w:cs="Calibri"/>
                <w:sz w:val="20"/>
                <w:szCs w:val="20"/>
              </w:rPr>
              <w:t>24.0</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111/166 (</w:t>
            </w:r>
            <w:r w:rsidR="00BD74EE" w:rsidRPr="00A26F93">
              <w:rPr>
                <w:rFonts w:ascii="Arial Narrow" w:hAnsi="Arial Narrow" w:cs="Calibri"/>
                <w:sz w:val="20"/>
                <w:szCs w:val="20"/>
              </w:rPr>
              <w:t>66.9</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42.9 (34.0, 51.8) p&lt;0.0001</w:t>
            </w: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23/91 (</w:t>
            </w:r>
            <w:r w:rsidR="00BD74EE" w:rsidRPr="00A26F93">
              <w:rPr>
                <w:rFonts w:ascii="Arial Narrow" w:hAnsi="Arial Narrow" w:cs="Calibri"/>
                <w:sz w:val="20"/>
                <w:szCs w:val="20"/>
              </w:rPr>
              <w:t>25.3</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22/28 (</w:t>
            </w:r>
            <w:r w:rsidR="00BD74EE" w:rsidRPr="00A26F93">
              <w:rPr>
                <w:rFonts w:ascii="Arial Narrow" w:hAnsi="Arial Narrow" w:cs="Calibri"/>
                <w:sz w:val="20"/>
                <w:szCs w:val="20"/>
              </w:rPr>
              <w:t>78.6</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53.3 (35.7, 70.9) p&lt;0.0001</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DLQI 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78/246 (</w:t>
            </w:r>
            <w:r w:rsidR="00BD74EE" w:rsidRPr="00A26F93">
              <w:rPr>
                <w:rFonts w:ascii="Arial Narrow" w:hAnsi="Arial Narrow" w:cs="Calibri"/>
                <w:sz w:val="20"/>
                <w:szCs w:val="20"/>
              </w:rPr>
              <w:t>31.7</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114/166 (</w:t>
            </w:r>
            <w:r w:rsidR="00BD74EE" w:rsidRPr="00A26F93">
              <w:rPr>
                <w:rFonts w:ascii="Arial Narrow" w:hAnsi="Arial Narrow" w:cs="Calibri"/>
                <w:sz w:val="20"/>
                <w:szCs w:val="20"/>
              </w:rPr>
              <w:t>68.7</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37.0 (27.8, 46.1) &lt;0.0001</w:t>
            </w: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20/91 (</w:t>
            </w:r>
            <w:r w:rsidR="00BD74EE" w:rsidRPr="00A26F93">
              <w:rPr>
                <w:rFonts w:ascii="Arial Narrow" w:hAnsi="Arial Narrow" w:cs="Calibri"/>
                <w:sz w:val="20"/>
                <w:szCs w:val="20"/>
              </w:rPr>
              <w:t>22.0</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24/28 (</w:t>
            </w:r>
            <w:r w:rsidR="00BD74EE" w:rsidRPr="00A26F93">
              <w:rPr>
                <w:rFonts w:ascii="Arial Narrow" w:hAnsi="Arial Narrow" w:cs="Calibri"/>
                <w:sz w:val="20"/>
                <w:szCs w:val="20"/>
              </w:rPr>
              <w:t>85.7</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63.7 (48.2, 79.2) p&lt;0.0001</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DLQI 4 and EASI-50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49/246 (</w:t>
            </w:r>
            <w:r w:rsidR="00BD74EE" w:rsidRPr="00A26F93">
              <w:rPr>
                <w:rFonts w:ascii="Arial Narrow" w:hAnsi="Arial Narrow" w:cs="Calibri"/>
                <w:sz w:val="20"/>
                <w:szCs w:val="20"/>
              </w:rPr>
              <w:t>19.9</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99/166 (</w:t>
            </w:r>
            <w:r w:rsidR="00BD74EE" w:rsidRPr="00A26F93">
              <w:rPr>
                <w:rFonts w:ascii="Arial Narrow" w:hAnsi="Arial Narrow" w:cs="Calibri"/>
                <w:sz w:val="20"/>
                <w:szCs w:val="20"/>
              </w:rPr>
              <w:t>59.6</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39.7 (30.7, 48.7) p&lt;0.0001</w:t>
            </w: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16/91 (</w:t>
            </w:r>
            <w:r w:rsidR="00BD74EE" w:rsidRPr="00A26F93">
              <w:rPr>
                <w:rFonts w:ascii="Arial Narrow" w:hAnsi="Arial Narrow" w:cs="Calibri"/>
                <w:sz w:val="20"/>
                <w:szCs w:val="20"/>
              </w:rPr>
              <w:t>17.6</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22/28 (</w:t>
            </w:r>
            <w:r w:rsidR="00BD74EE" w:rsidRPr="00A26F93">
              <w:rPr>
                <w:rFonts w:ascii="Arial Narrow" w:hAnsi="Arial Narrow" w:cs="Calibri"/>
                <w:sz w:val="20"/>
                <w:szCs w:val="20"/>
              </w:rPr>
              <w:t>78.6</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hideMark/>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61.0 (43.9, 78.1) p&lt;0.0001</w:t>
            </w:r>
          </w:p>
        </w:tc>
      </w:tr>
      <w:tr w:rsidR="00BD74EE" w:rsidRPr="00A26F93" w:rsidTr="00BD74EE">
        <w:trPr>
          <w:trHeight w:val="70"/>
        </w:trPr>
        <w:tc>
          <w:tcPr>
            <w:tcW w:w="9075" w:type="dxa"/>
            <w:gridSpan w:val="7"/>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left"/>
              <w:rPr>
                <w:rFonts w:ascii="Arial Narrow" w:hAnsi="Arial Narrow" w:cs="Calibri"/>
                <w:b/>
                <w:sz w:val="20"/>
                <w:szCs w:val="20"/>
              </w:rPr>
            </w:pPr>
            <w:r w:rsidRPr="00A26F93">
              <w:rPr>
                <w:rFonts w:ascii="Arial Narrow" w:hAnsi="Arial Narrow" w:cs="Calibri"/>
                <w:b/>
                <w:sz w:val="20"/>
                <w:szCs w:val="20"/>
              </w:rPr>
              <w:t>CsA-experienced</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 xml:space="preserve">EASI-50 </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36/178 (</w:t>
            </w:r>
            <w:r w:rsidR="00BD74EE" w:rsidRPr="00A26F93">
              <w:rPr>
                <w:rFonts w:ascii="Arial Narrow" w:hAnsi="Arial Narrow" w:cs="Calibri"/>
                <w:sz w:val="20"/>
                <w:szCs w:val="20"/>
              </w:rPr>
              <w:t>20.2</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102/152 (</w:t>
            </w:r>
            <w:r w:rsidR="00BD74EE" w:rsidRPr="00A26F93">
              <w:rPr>
                <w:rFonts w:ascii="Arial Narrow" w:hAnsi="Arial Narrow" w:cs="Calibri"/>
                <w:sz w:val="20"/>
                <w:szCs w:val="20"/>
              </w:rPr>
              <w:t>67.1</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46.9 (37.4, 56.4)</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c>
          <w:tcPr>
            <w:tcW w:w="1282"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9/53 (</w:t>
            </w:r>
            <w:r w:rsidR="00BD74EE" w:rsidRPr="00A26F93">
              <w:rPr>
                <w:rFonts w:ascii="Arial Narrow" w:hAnsi="Arial Narrow" w:cs="Calibri"/>
                <w:sz w:val="20"/>
                <w:szCs w:val="20"/>
              </w:rPr>
              <w:t>17.0</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18/23 (</w:t>
            </w:r>
            <w:r w:rsidR="00BD74EE" w:rsidRPr="00A26F93">
              <w:rPr>
                <w:rFonts w:ascii="Arial Narrow" w:hAnsi="Arial Narrow" w:cs="Calibri"/>
                <w:sz w:val="20"/>
                <w:szCs w:val="20"/>
              </w:rPr>
              <w:t>78.3</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61.3 (41.6, 80.9)</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 xml:space="preserve">DLQI 4 </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49/178 (</w:t>
            </w:r>
            <w:r w:rsidR="00BD74EE" w:rsidRPr="00A26F93">
              <w:rPr>
                <w:rFonts w:ascii="Arial Narrow" w:hAnsi="Arial Narrow" w:cs="Calibri"/>
                <w:sz w:val="20"/>
                <w:szCs w:val="20"/>
              </w:rPr>
              <w:t>27.5</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105/152 (</w:t>
            </w:r>
            <w:r w:rsidR="00BD74EE" w:rsidRPr="00A26F93">
              <w:rPr>
                <w:rFonts w:ascii="Arial Narrow" w:hAnsi="Arial Narrow" w:cs="Calibri"/>
                <w:sz w:val="20"/>
                <w:szCs w:val="20"/>
              </w:rPr>
              <w:t>69.1</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41.6 (31.7, 51.4)</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c>
          <w:tcPr>
            <w:tcW w:w="1282"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12/53 (</w:t>
            </w:r>
            <w:r w:rsidR="00BD74EE" w:rsidRPr="00A26F93">
              <w:rPr>
                <w:rFonts w:ascii="Arial Narrow" w:hAnsi="Arial Narrow" w:cs="Calibri"/>
                <w:sz w:val="20"/>
                <w:szCs w:val="20"/>
              </w:rPr>
              <w:t>22.6</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17/23 (</w:t>
            </w:r>
            <w:r w:rsidR="00BD74EE" w:rsidRPr="00A26F93">
              <w:rPr>
                <w:rFonts w:ascii="Arial Narrow" w:hAnsi="Arial Narrow" w:cs="Calibri"/>
                <w:sz w:val="20"/>
                <w:szCs w:val="20"/>
              </w:rPr>
              <w:t>73.9</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51.3 (30.1, 72.5)</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r>
      <w:tr w:rsidR="00BD74EE" w:rsidRPr="00A26F93" w:rsidTr="009A523E">
        <w:trPr>
          <w:trHeight w:val="288"/>
        </w:trPr>
        <w:tc>
          <w:tcPr>
            <w:tcW w:w="169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pStyle w:val="BodyText1"/>
              <w:spacing w:before="0" w:after="0" w:line="240" w:lineRule="auto"/>
              <w:jc w:val="left"/>
              <w:rPr>
                <w:rFonts w:ascii="Arial Narrow" w:hAnsi="Arial Narrow"/>
                <w:sz w:val="20"/>
                <w:szCs w:val="20"/>
              </w:rPr>
            </w:pPr>
            <w:r w:rsidRPr="00A26F93">
              <w:rPr>
                <w:rFonts w:ascii="Arial Narrow" w:hAnsi="Arial Narrow"/>
                <w:sz w:val="20"/>
                <w:szCs w:val="20"/>
              </w:rPr>
              <w:t xml:space="preserve">DLQI 4 and EASI-50 </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25/178 (</w:t>
            </w:r>
            <w:r w:rsidR="00BD74EE" w:rsidRPr="00A26F93">
              <w:rPr>
                <w:rFonts w:ascii="Arial Narrow" w:hAnsi="Arial Narrow" w:cs="Calibri"/>
                <w:sz w:val="20"/>
                <w:szCs w:val="20"/>
              </w:rPr>
              <w:t>14.0</w:t>
            </w:r>
            <w:r w:rsidRPr="00A26F93">
              <w:rPr>
                <w:rFonts w:ascii="Arial Narrow" w:hAnsi="Arial Narrow" w:cs="Calibr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91/152 (</w:t>
            </w:r>
            <w:r w:rsidR="00BD74EE" w:rsidRPr="00A26F93">
              <w:rPr>
                <w:rFonts w:ascii="Arial Narrow" w:hAnsi="Arial Narrow" w:cs="Calibri"/>
                <w:sz w:val="20"/>
                <w:szCs w:val="20"/>
              </w:rPr>
              <w:t>59.9</w:t>
            </w:r>
            <w:r w:rsidRPr="00A26F93">
              <w:rPr>
                <w:rFonts w:ascii="Arial Narrow" w:hAnsi="Arial Narrow" w:cs="Calibr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45.8 (36.5, 55.1)</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c>
          <w:tcPr>
            <w:tcW w:w="1282"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8/53 (</w:t>
            </w:r>
            <w:r w:rsidR="00BD74EE" w:rsidRPr="00A26F93">
              <w:rPr>
                <w:rFonts w:ascii="Arial Narrow" w:hAnsi="Arial Narrow" w:cs="Calibri"/>
                <w:sz w:val="20"/>
                <w:szCs w:val="20"/>
              </w:rPr>
              <w:t>15.1</w:t>
            </w:r>
            <w:r w:rsidRPr="00A26F93">
              <w:rPr>
                <w:rFonts w:ascii="Arial Narrow" w:hAnsi="Arial Narrow" w:cs="Calibri"/>
                <w:sz w:val="20"/>
                <w:szCs w:val="20"/>
              </w:rPr>
              <w:t>)</w:t>
            </w:r>
          </w:p>
        </w:tc>
        <w:tc>
          <w:tcPr>
            <w:tcW w:w="1104"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9A523E" w:rsidP="00BD74EE">
            <w:pPr>
              <w:keepNext/>
              <w:jc w:val="center"/>
              <w:rPr>
                <w:rFonts w:ascii="Arial Narrow" w:hAnsi="Arial Narrow" w:cs="Calibri"/>
                <w:sz w:val="20"/>
                <w:szCs w:val="20"/>
              </w:rPr>
            </w:pPr>
            <w:r w:rsidRPr="00A26F93">
              <w:rPr>
                <w:rFonts w:ascii="Arial Narrow" w:hAnsi="Arial Narrow" w:cs="Calibri"/>
                <w:sz w:val="20"/>
                <w:szCs w:val="20"/>
              </w:rPr>
              <w:t>17/23 (</w:t>
            </w:r>
            <w:r w:rsidR="00BD74EE" w:rsidRPr="00A26F93">
              <w:rPr>
                <w:rFonts w:ascii="Arial Narrow" w:hAnsi="Arial Narrow" w:cs="Calibri"/>
                <w:sz w:val="20"/>
                <w:szCs w:val="20"/>
              </w:rPr>
              <w:t>73.9</w:t>
            </w:r>
            <w:r w:rsidRPr="00A26F93">
              <w:rPr>
                <w:rFonts w:ascii="Arial Narrow" w:hAnsi="Arial Narrow" w:cs="Calibri"/>
                <w:sz w:val="20"/>
                <w:szCs w:val="20"/>
              </w:rPr>
              <w:t>)</w:t>
            </w:r>
          </w:p>
        </w:tc>
        <w:tc>
          <w:tcPr>
            <w:tcW w:w="1449" w:type="dxa"/>
            <w:tcBorders>
              <w:top w:val="single" w:sz="4" w:space="0" w:color="auto"/>
              <w:left w:val="single" w:sz="4" w:space="0" w:color="auto"/>
              <w:bottom w:val="single" w:sz="4" w:space="0" w:color="auto"/>
              <w:right w:val="single" w:sz="4" w:space="0" w:color="auto"/>
            </w:tcBorders>
            <w:noWrap/>
            <w:vAlign w:val="center"/>
          </w:tcPr>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58.8 (38.4, 79.2)</w:t>
            </w:r>
          </w:p>
          <w:p w:rsidR="00BD74EE" w:rsidRPr="00A26F93" w:rsidRDefault="00BD74EE" w:rsidP="00BD74EE">
            <w:pPr>
              <w:keepNext/>
              <w:jc w:val="center"/>
              <w:rPr>
                <w:rFonts w:ascii="Arial Narrow" w:hAnsi="Arial Narrow" w:cs="Calibri"/>
                <w:b/>
                <w:sz w:val="20"/>
                <w:szCs w:val="20"/>
              </w:rPr>
            </w:pPr>
            <w:r w:rsidRPr="00A26F93">
              <w:rPr>
                <w:rFonts w:ascii="Arial Narrow" w:hAnsi="Arial Narrow" w:cs="Calibri"/>
                <w:b/>
                <w:sz w:val="20"/>
                <w:szCs w:val="20"/>
              </w:rPr>
              <w:t>P&lt;0.0001</w:t>
            </w:r>
          </w:p>
        </w:tc>
      </w:tr>
    </w:tbl>
    <w:p w:rsidR="00BD74EE" w:rsidRPr="00B1054A" w:rsidRDefault="00BD74EE" w:rsidP="00BD74EE">
      <w:pPr>
        <w:keepNext/>
        <w:keepLines/>
        <w:rPr>
          <w:rFonts w:ascii="Arial Narrow" w:hAnsi="Arial Narrow"/>
          <w:sz w:val="18"/>
          <w:szCs w:val="18"/>
        </w:rPr>
      </w:pPr>
      <w:r w:rsidRPr="00B1054A">
        <w:rPr>
          <w:rFonts w:ascii="Arial Narrow" w:hAnsi="Arial Narrow"/>
          <w:sz w:val="18"/>
          <w:szCs w:val="18"/>
        </w:rPr>
        <w:t>Source: Table 2.6.3 (p81 of the resubmission)</w:t>
      </w:r>
      <w:r w:rsidR="00F34B5B" w:rsidRPr="00B1054A">
        <w:rPr>
          <w:rFonts w:ascii="Arial Narrow" w:hAnsi="Arial Narrow"/>
          <w:sz w:val="18"/>
          <w:szCs w:val="18"/>
        </w:rPr>
        <w:t xml:space="preserve"> and Table 2.6.4 (p82 of the resubmission)</w:t>
      </w:r>
    </w:p>
    <w:p w:rsidR="00BD74EE" w:rsidRPr="00B1054A" w:rsidRDefault="00BD74EE" w:rsidP="00BD74EE">
      <w:pPr>
        <w:keepNext/>
        <w:keepLines/>
        <w:rPr>
          <w:rFonts w:ascii="Arial Narrow" w:hAnsi="Arial Narrow"/>
          <w:sz w:val="18"/>
          <w:szCs w:val="18"/>
        </w:rPr>
      </w:pPr>
      <w:r w:rsidRPr="00B1054A">
        <w:rPr>
          <w:rFonts w:ascii="Arial Narrow" w:hAnsi="Arial Narrow"/>
          <w:sz w:val="18"/>
          <w:szCs w:val="18"/>
        </w:rPr>
        <w:t>Bold typography indicates statistically significant differences</w:t>
      </w:r>
    </w:p>
    <w:p w:rsidR="00044700" w:rsidRDefault="00BD74EE" w:rsidP="00A26F93">
      <w:pPr>
        <w:keepNext/>
        <w:keepLines/>
        <w:tabs>
          <w:tab w:val="left" w:pos="284"/>
        </w:tabs>
        <w:spacing w:after="120"/>
        <w:rPr>
          <w:rFonts w:ascii="Arial Narrow" w:hAnsi="Arial Narrow"/>
          <w:sz w:val="18"/>
          <w:szCs w:val="18"/>
        </w:rPr>
      </w:pPr>
      <w:r w:rsidRPr="00B1054A">
        <w:rPr>
          <w:rFonts w:ascii="Arial Narrow" w:hAnsi="Arial Narrow"/>
          <w:sz w:val="18"/>
          <w:szCs w:val="18"/>
          <w:vertAlign w:val="superscript"/>
        </w:rPr>
        <w:t>a</w:t>
      </w:r>
      <w:r w:rsidRPr="00B1054A">
        <w:rPr>
          <w:rFonts w:ascii="Arial Narrow" w:hAnsi="Arial Narrow"/>
          <w:sz w:val="18"/>
          <w:szCs w:val="18"/>
        </w:rPr>
        <w:tab/>
        <w:t xml:space="preserve">Responders at Week 16 AND Week 44 </w:t>
      </w:r>
    </w:p>
    <w:p w:rsidR="00044700" w:rsidRPr="00044700" w:rsidRDefault="00044700" w:rsidP="00A26F93">
      <w:pPr>
        <w:keepNext/>
        <w:keepLines/>
        <w:tabs>
          <w:tab w:val="left" w:pos="284"/>
        </w:tabs>
        <w:spacing w:after="120"/>
        <w:rPr>
          <w:rStyle w:val="CommentReference"/>
          <w:b w:val="0"/>
          <w:sz w:val="18"/>
          <w:szCs w:val="18"/>
        </w:rPr>
      </w:pPr>
      <w:r w:rsidRPr="00044700">
        <w:rPr>
          <w:rStyle w:val="CommentReference"/>
          <w:b w:val="0"/>
          <w:i/>
          <w:sz w:val="18"/>
          <w:szCs w:val="18"/>
        </w:rPr>
        <w:t>* Note that the results presented in Table</w:t>
      </w:r>
      <w:r>
        <w:rPr>
          <w:rStyle w:val="CommentReference"/>
          <w:b w:val="0"/>
          <w:i/>
          <w:sz w:val="18"/>
          <w:szCs w:val="18"/>
        </w:rPr>
        <w:t xml:space="preserve"> 9</w:t>
      </w:r>
      <w:r w:rsidRPr="00044700">
        <w:rPr>
          <w:rStyle w:val="CommentReference"/>
          <w:b w:val="0"/>
          <w:i/>
          <w:sz w:val="18"/>
          <w:szCs w:val="18"/>
        </w:rPr>
        <w:t xml:space="preserve"> are derived from post-hoc analyses conducted by the applican</w:t>
      </w:r>
      <w:r>
        <w:rPr>
          <w:rStyle w:val="CommentReference"/>
          <w:b w:val="0"/>
          <w:i/>
          <w:sz w:val="18"/>
          <w:szCs w:val="18"/>
        </w:rPr>
        <w:t>t</w:t>
      </w:r>
      <w:r w:rsidRPr="00044700">
        <w:rPr>
          <w:rStyle w:val="CommentReference"/>
          <w:b w:val="0"/>
          <w:i/>
          <w:sz w:val="18"/>
          <w:szCs w:val="18"/>
        </w:rPr>
        <w:t xml:space="preserve"> specifically for the purposes of informing the PBAC consideration. These analyses were not part of the pre-specified statistical plan</w:t>
      </w:r>
      <w:r w:rsidR="00945AF2">
        <w:rPr>
          <w:rStyle w:val="CommentReference"/>
          <w:b w:val="0"/>
          <w:i/>
          <w:sz w:val="18"/>
          <w:szCs w:val="18"/>
        </w:rPr>
        <w:t>s</w:t>
      </w:r>
      <w:r w:rsidRPr="00044700">
        <w:rPr>
          <w:rStyle w:val="CommentReference"/>
          <w:b w:val="0"/>
          <w:i/>
          <w:sz w:val="18"/>
          <w:szCs w:val="18"/>
        </w:rPr>
        <w:t xml:space="preserve"> for </w:t>
      </w:r>
      <w:r>
        <w:rPr>
          <w:rStyle w:val="CommentReference"/>
          <w:b w:val="0"/>
          <w:i/>
          <w:sz w:val="18"/>
          <w:szCs w:val="18"/>
        </w:rPr>
        <w:t xml:space="preserve">Studies </w:t>
      </w:r>
      <w:r w:rsidRPr="00044700">
        <w:rPr>
          <w:rStyle w:val="CommentReference"/>
          <w:b w:val="0"/>
          <w:i/>
          <w:sz w:val="18"/>
          <w:szCs w:val="18"/>
        </w:rPr>
        <w:t>1021, SOLO 1, SOLO 2</w:t>
      </w:r>
      <w:r w:rsidR="00BD660D">
        <w:rPr>
          <w:rStyle w:val="CommentReference"/>
          <w:b w:val="0"/>
          <w:i/>
          <w:sz w:val="18"/>
          <w:szCs w:val="18"/>
        </w:rPr>
        <w:t xml:space="preserve"> and</w:t>
      </w:r>
      <w:r w:rsidRPr="00044700">
        <w:rPr>
          <w:rStyle w:val="CommentReference"/>
          <w:b w:val="0"/>
          <w:i/>
          <w:sz w:val="18"/>
          <w:szCs w:val="18"/>
        </w:rPr>
        <w:t xml:space="preserve"> CHRONOS. Interpretation of the results and their application should therefore be limited to seeking to understand the basis for the PBAC outcome and should not be used for any other purpose.</w:t>
      </w:r>
    </w:p>
    <w:p w:rsidR="00633FEB" w:rsidRDefault="00633FEB">
      <w:pPr>
        <w:jc w:val="left"/>
        <w:rPr>
          <w:rStyle w:val="CommentReference"/>
          <w:rFonts w:eastAsiaTheme="majorEastAsia" w:cstheme="majorBidi"/>
          <w:bCs/>
          <w:szCs w:val="24"/>
        </w:rPr>
      </w:pPr>
      <w:bookmarkStart w:id="24" w:name="_Ref27432952"/>
      <w:r>
        <w:rPr>
          <w:rStyle w:val="CommentReference"/>
          <w:b w:val="0"/>
          <w:szCs w:val="24"/>
        </w:rPr>
        <w:br w:type="page"/>
      </w:r>
    </w:p>
    <w:p w:rsidR="00F34B5B" w:rsidRPr="00B1054A" w:rsidRDefault="00F0598C" w:rsidP="00F0598C">
      <w:pPr>
        <w:pStyle w:val="TableFigureHeading"/>
        <w:rPr>
          <w:rStyle w:val="CommentReference"/>
          <w:szCs w:val="24"/>
        </w:rPr>
      </w:pPr>
      <w:r w:rsidRPr="00B1054A">
        <w:rPr>
          <w:rStyle w:val="CommentReference"/>
          <w:b/>
          <w:szCs w:val="24"/>
        </w:rPr>
        <w:lastRenderedPageBreak/>
        <w:t xml:space="preserve">Table </w:t>
      </w:r>
      <w:r w:rsidR="00B20399" w:rsidRPr="00B1054A">
        <w:rPr>
          <w:rStyle w:val="CommentReference"/>
          <w:b/>
          <w:szCs w:val="24"/>
        </w:rPr>
        <w:t>10</w:t>
      </w:r>
      <w:bookmarkEnd w:id="24"/>
      <w:r w:rsidRPr="00B1054A">
        <w:rPr>
          <w:rStyle w:val="CommentReference"/>
          <w:b/>
          <w:szCs w:val="24"/>
        </w:rPr>
        <w:t xml:space="preserve">: </w:t>
      </w:r>
      <w:r w:rsidR="00F34B5B" w:rsidRPr="00B1054A">
        <w:rPr>
          <w:rStyle w:val="CommentReference"/>
          <w:b/>
          <w:szCs w:val="24"/>
        </w:rPr>
        <w:t xml:space="preserve">Change in </w:t>
      </w:r>
      <w:r w:rsidR="0097475C" w:rsidRPr="00B1054A">
        <w:rPr>
          <w:rStyle w:val="CommentReference"/>
          <w:b/>
          <w:szCs w:val="24"/>
        </w:rPr>
        <w:t xml:space="preserve">EQ-5D </w:t>
      </w:r>
      <w:r w:rsidR="00F34B5B" w:rsidRPr="00B1054A">
        <w:rPr>
          <w:rStyle w:val="CommentReference"/>
          <w:b/>
          <w:szCs w:val="24"/>
        </w:rPr>
        <w:t xml:space="preserve">utility from baseline to Week 16 </w:t>
      </w:r>
      <w:r w:rsidR="0097475C" w:rsidRPr="00B1054A">
        <w:rPr>
          <w:rStyle w:val="CommentReference"/>
          <w:b/>
          <w:szCs w:val="24"/>
        </w:rPr>
        <w:t xml:space="preserve">(pooled 1021, SOLO 1, SOLO 2, CHRONOS) </w:t>
      </w:r>
      <w:r w:rsidR="00F34B5B" w:rsidRPr="00B1054A">
        <w:rPr>
          <w:rStyle w:val="CommentReference"/>
          <w:b/>
          <w:szCs w:val="24"/>
        </w:rPr>
        <w:t xml:space="preserve">and Week 44 </w:t>
      </w:r>
      <w:r w:rsidR="0097475C" w:rsidRPr="00B1054A">
        <w:rPr>
          <w:rStyle w:val="CommentReference"/>
          <w:b/>
          <w:szCs w:val="24"/>
        </w:rPr>
        <w:t xml:space="preserve">(CHRONOS) </w:t>
      </w:r>
      <w:r w:rsidR="00F34B5B" w:rsidRPr="00B1054A">
        <w:rPr>
          <w:rStyle w:val="CommentReference"/>
          <w:b/>
          <w:szCs w:val="24"/>
        </w:rPr>
        <w:t>– Baseline IGA=4 AND EASI ≥20, CsA-naïve and CsA-experienced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915"/>
        <w:gridCol w:w="916"/>
        <w:gridCol w:w="914"/>
        <w:gridCol w:w="916"/>
        <w:gridCol w:w="914"/>
        <w:gridCol w:w="916"/>
        <w:gridCol w:w="914"/>
        <w:gridCol w:w="916"/>
      </w:tblGrid>
      <w:tr w:rsidR="00F34B5B" w:rsidRPr="00B1054A" w:rsidTr="00C00EAD">
        <w:trPr>
          <w:trHeight w:val="288"/>
        </w:trPr>
        <w:tc>
          <w:tcPr>
            <w:tcW w:w="940" w:type="pct"/>
            <w:vMerge w:val="restar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left"/>
              <w:rPr>
                <w:rFonts w:ascii="Arial Narrow" w:hAnsi="Arial Narrow" w:cs="Times New Roman"/>
                <w:b/>
                <w:sz w:val="20"/>
                <w:szCs w:val="20"/>
              </w:rPr>
            </w:pPr>
            <w:r w:rsidRPr="00B1054A">
              <w:rPr>
                <w:rFonts w:ascii="Arial Narrow" w:hAnsi="Arial Narrow" w:cs="Calibri"/>
                <w:b/>
                <w:sz w:val="20"/>
                <w:szCs w:val="20"/>
              </w:rPr>
              <w:t>Analysis</w:t>
            </w:r>
          </w:p>
        </w:tc>
        <w:tc>
          <w:tcPr>
            <w:tcW w:w="2029" w:type="pct"/>
            <w:gridSpan w:val="4"/>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Week 16</w:t>
            </w:r>
          </w:p>
        </w:tc>
        <w:tc>
          <w:tcPr>
            <w:tcW w:w="2030" w:type="pct"/>
            <w:gridSpan w:val="4"/>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Week 44</w:t>
            </w:r>
          </w:p>
        </w:tc>
      </w:tr>
      <w:tr w:rsidR="00F34B5B" w:rsidRPr="00B1054A" w:rsidTr="00C00EAD">
        <w:trPr>
          <w:trHeight w:val="288"/>
        </w:trPr>
        <w:tc>
          <w:tcPr>
            <w:tcW w:w="940" w:type="pct"/>
            <w:vMerge/>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keepNext/>
              <w:jc w:val="left"/>
              <w:rPr>
                <w:rFonts w:ascii="Arial Narrow" w:hAnsi="Arial Narrow" w:cs="Times New Roman"/>
                <w:b/>
                <w:sz w:val="20"/>
                <w:szCs w:val="20"/>
              </w:rPr>
            </w:pPr>
          </w:p>
        </w:tc>
        <w:tc>
          <w:tcPr>
            <w:tcW w:w="1015" w:type="pct"/>
            <w:gridSpan w:val="2"/>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Responders</w:t>
            </w:r>
          </w:p>
        </w:tc>
        <w:tc>
          <w:tcPr>
            <w:tcW w:w="1015" w:type="pct"/>
            <w:gridSpan w:val="2"/>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Non-responders</w:t>
            </w:r>
          </w:p>
        </w:tc>
        <w:tc>
          <w:tcPr>
            <w:tcW w:w="1015" w:type="pct"/>
            <w:gridSpan w:val="2"/>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Times New Roman"/>
                <w:b/>
                <w:sz w:val="20"/>
                <w:szCs w:val="20"/>
              </w:rPr>
            </w:pPr>
            <w:r w:rsidRPr="00B1054A">
              <w:rPr>
                <w:rFonts w:ascii="Arial Narrow" w:hAnsi="Arial Narrow" w:cs="Calibri"/>
                <w:b/>
                <w:sz w:val="20"/>
                <w:szCs w:val="20"/>
              </w:rPr>
              <w:t>Responders</w:t>
            </w:r>
          </w:p>
        </w:tc>
        <w:tc>
          <w:tcPr>
            <w:tcW w:w="1015" w:type="pct"/>
            <w:gridSpan w:val="2"/>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Times New Roman"/>
                <w:b/>
                <w:sz w:val="20"/>
                <w:szCs w:val="20"/>
              </w:rPr>
            </w:pPr>
            <w:r w:rsidRPr="00B1054A">
              <w:rPr>
                <w:rFonts w:ascii="Arial Narrow" w:hAnsi="Arial Narrow" w:cs="Calibri"/>
                <w:b/>
                <w:sz w:val="20"/>
                <w:szCs w:val="20"/>
              </w:rPr>
              <w:t>Non-responders</w:t>
            </w:r>
          </w:p>
        </w:tc>
      </w:tr>
      <w:tr w:rsidR="00F34B5B" w:rsidRPr="00B1054A" w:rsidTr="00C00EAD">
        <w:trPr>
          <w:trHeight w:val="288"/>
        </w:trPr>
        <w:tc>
          <w:tcPr>
            <w:tcW w:w="940" w:type="pct"/>
            <w:vMerge/>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keepNext/>
              <w:jc w:val="left"/>
              <w:rPr>
                <w:rFonts w:ascii="Arial Narrow" w:hAnsi="Arial Narrow" w:cs="Times New Roman"/>
                <w:b/>
                <w:sz w:val="20"/>
                <w:szCs w:val="20"/>
              </w:rPr>
            </w:pP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Placebo</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Dupilumab</w:t>
            </w:r>
          </w:p>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Q2W</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Placebo</w:t>
            </w:r>
          </w:p>
        </w:tc>
        <w:tc>
          <w:tcPr>
            <w:tcW w:w="507" w:type="pct"/>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Dupilumab</w:t>
            </w:r>
          </w:p>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Q2W</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Placebo</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Dupilumab</w:t>
            </w:r>
          </w:p>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Q2W</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Placebo</w:t>
            </w:r>
          </w:p>
        </w:tc>
        <w:tc>
          <w:tcPr>
            <w:tcW w:w="508" w:type="pct"/>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Dupilumab</w:t>
            </w:r>
          </w:p>
          <w:p w:rsidR="00F34B5B" w:rsidRPr="00B1054A" w:rsidRDefault="00F34B5B" w:rsidP="00AB09C1">
            <w:pPr>
              <w:keepNext/>
              <w:jc w:val="center"/>
              <w:rPr>
                <w:rFonts w:ascii="Arial Narrow" w:hAnsi="Arial Narrow" w:cs="Calibri"/>
                <w:b/>
                <w:sz w:val="20"/>
                <w:szCs w:val="20"/>
              </w:rPr>
            </w:pPr>
            <w:r w:rsidRPr="00B1054A">
              <w:rPr>
                <w:rFonts w:ascii="Arial Narrow" w:hAnsi="Arial Narrow" w:cs="Calibri"/>
                <w:b/>
                <w:sz w:val="20"/>
                <w:szCs w:val="20"/>
              </w:rPr>
              <w:t>Q2W</w:t>
            </w:r>
          </w:p>
        </w:tc>
      </w:tr>
      <w:tr w:rsidR="00F34B5B" w:rsidRPr="00B1054A" w:rsidTr="00F34B5B">
        <w:trPr>
          <w:trHeight w:val="70"/>
        </w:trPr>
        <w:tc>
          <w:tcPr>
            <w:tcW w:w="5000" w:type="pct"/>
            <w:gridSpan w:val="9"/>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left"/>
              <w:rPr>
                <w:rFonts w:ascii="Arial Narrow" w:hAnsi="Arial Narrow" w:cs="Calibri"/>
                <w:b/>
                <w:sz w:val="20"/>
                <w:szCs w:val="20"/>
              </w:rPr>
            </w:pPr>
            <w:r w:rsidRPr="00B1054A">
              <w:rPr>
                <w:rFonts w:ascii="Arial Narrow" w:hAnsi="Arial Narrow" w:cs="Calibri"/>
                <w:b/>
                <w:sz w:val="20"/>
                <w:szCs w:val="20"/>
              </w:rPr>
              <w:t>CsA-</w:t>
            </w:r>
            <w:r w:rsidR="004F79C7" w:rsidRPr="00B1054A">
              <w:rPr>
                <w:rFonts w:ascii="Arial Narrow" w:hAnsi="Arial Narrow" w:cs="Calibri"/>
                <w:b/>
                <w:sz w:val="20"/>
                <w:szCs w:val="20"/>
              </w:rPr>
              <w:t>naïve</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EASI-50 </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0.17 (0.246)</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0.28 (0.262)</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0.05 (0.272)</w:t>
            </w:r>
          </w:p>
        </w:tc>
        <w:tc>
          <w:tcPr>
            <w:tcW w:w="507" w:type="pct"/>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0.15 (0.287)</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97475C" w:rsidRPr="00B1054A" w:rsidRDefault="00F34B5B" w:rsidP="00C451D7">
            <w:pPr>
              <w:jc w:val="center"/>
              <w:rPr>
                <w:rFonts w:ascii="Arial Narrow" w:hAnsi="Arial Narrow" w:cs="Calibri"/>
                <w:sz w:val="20"/>
                <w:szCs w:val="20"/>
              </w:rPr>
            </w:pPr>
            <w:r w:rsidRPr="00B1054A">
              <w:rPr>
                <w:rFonts w:ascii="Arial Narrow" w:hAnsi="Arial Narrow" w:cs="Calibri"/>
                <w:sz w:val="20"/>
                <w:szCs w:val="20"/>
              </w:rPr>
              <w:t>0.22 (0.230)</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97475C" w:rsidRPr="00B1054A" w:rsidRDefault="00F34B5B" w:rsidP="00C451D7">
            <w:pPr>
              <w:jc w:val="center"/>
              <w:rPr>
                <w:rFonts w:ascii="Arial Narrow" w:hAnsi="Arial Narrow" w:cs="Calibri"/>
                <w:sz w:val="20"/>
                <w:szCs w:val="20"/>
              </w:rPr>
            </w:pPr>
            <w:r w:rsidRPr="00B1054A">
              <w:rPr>
                <w:rFonts w:ascii="Arial Narrow" w:hAnsi="Arial Narrow" w:cs="Calibri"/>
                <w:sz w:val="20"/>
                <w:szCs w:val="20"/>
              </w:rPr>
              <w:t>0.19 (0.128)</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97475C"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0.11 (0.261)</w:t>
            </w:r>
          </w:p>
        </w:tc>
        <w:tc>
          <w:tcPr>
            <w:tcW w:w="508" w:type="pct"/>
            <w:tcBorders>
              <w:top w:val="single" w:sz="4" w:space="0" w:color="auto"/>
              <w:left w:val="single" w:sz="4" w:space="0" w:color="auto"/>
              <w:bottom w:val="single" w:sz="4" w:space="0" w:color="auto"/>
              <w:right w:val="single" w:sz="4" w:space="0" w:color="auto"/>
            </w:tcBorders>
            <w:vAlign w:val="center"/>
            <w:hideMark/>
          </w:tcPr>
          <w:p w:rsidR="0097475C"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0.12 (0.336)</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DLQI 4 </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0.21 (0.249)</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0.28 (0.266)</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0.02 (0.258)</w:t>
            </w:r>
          </w:p>
        </w:tc>
        <w:tc>
          <w:tcPr>
            <w:tcW w:w="507" w:type="pct"/>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0.13 (0.269)</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97475C"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0.26 (0.246)</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0.16 (0.160)</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0.11 (0.251)</w:t>
            </w:r>
          </w:p>
        </w:tc>
        <w:tc>
          <w:tcPr>
            <w:tcW w:w="508" w:type="pct"/>
            <w:tcBorders>
              <w:top w:val="single" w:sz="4" w:space="0" w:color="auto"/>
              <w:left w:val="single" w:sz="4" w:space="0" w:color="auto"/>
              <w:bottom w:val="single" w:sz="4" w:space="0" w:color="auto"/>
              <w:right w:val="single" w:sz="4" w:space="0" w:color="auto"/>
            </w:tcBorders>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0.31 (0.285)</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DLQI 4 and EASI-50 </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0.20 (0.250)</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0.31 (0.254)</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0.05 (0.266)</w:t>
            </w:r>
          </w:p>
        </w:tc>
        <w:tc>
          <w:tcPr>
            <w:tcW w:w="507" w:type="pct"/>
            <w:tcBorders>
              <w:top w:val="single" w:sz="4" w:space="0" w:color="auto"/>
              <w:left w:val="single" w:sz="4" w:space="0" w:color="auto"/>
              <w:bottom w:val="single" w:sz="4" w:space="0" w:color="auto"/>
              <w:right w:val="single" w:sz="4" w:space="0" w:color="auto"/>
            </w:tcBorders>
            <w:vAlign w:val="center"/>
            <w:hideMark/>
          </w:tcPr>
          <w:p w:rsidR="00F34B5B"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0.12 (0.271)</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0.27 (0.252)</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0.19 (0.128)</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C00EAD"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0.12</w:t>
            </w:r>
          </w:p>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 xml:space="preserve"> (0</w:t>
            </w:r>
            <w:r w:rsidR="00C00EAD" w:rsidRPr="00B1054A">
              <w:rPr>
                <w:rFonts w:ascii="Arial Narrow" w:hAnsi="Arial Narrow" w:cs="Calibri"/>
                <w:sz w:val="20"/>
                <w:szCs w:val="20"/>
              </w:rPr>
              <w:t>.</w:t>
            </w:r>
            <w:r w:rsidRPr="00B1054A">
              <w:rPr>
                <w:rFonts w:ascii="Arial Narrow" w:hAnsi="Arial Narrow" w:cs="Calibri"/>
                <w:sz w:val="20"/>
                <w:szCs w:val="20"/>
              </w:rPr>
              <w:t>250)</w:t>
            </w:r>
          </w:p>
        </w:tc>
        <w:tc>
          <w:tcPr>
            <w:tcW w:w="508" w:type="pct"/>
            <w:tcBorders>
              <w:top w:val="single" w:sz="4" w:space="0" w:color="auto"/>
              <w:left w:val="single" w:sz="4" w:space="0" w:color="auto"/>
              <w:bottom w:val="single" w:sz="4" w:space="0" w:color="auto"/>
              <w:right w:val="single" w:sz="4" w:space="0" w:color="auto"/>
            </w:tcBorders>
            <w:vAlign w:val="center"/>
            <w:hideMark/>
          </w:tcPr>
          <w:p w:rsidR="00C451D7" w:rsidRPr="00B1054A" w:rsidRDefault="00F34B5B" w:rsidP="00AB09C1">
            <w:pPr>
              <w:jc w:val="center"/>
              <w:rPr>
                <w:rFonts w:ascii="Arial Narrow" w:hAnsi="Arial Narrow" w:cs="Calibri"/>
                <w:sz w:val="20"/>
                <w:szCs w:val="20"/>
              </w:rPr>
            </w:pPr>
            <w:r w:rsidRPr="00B1054A">
              <w:rPr>
                <w:rFonts w:ascii="Arial Narrow" w:hAnsi="Arial Narrow" w:cs="Calibri"/>
                <w:sz w:val="20"/>
                <w:szCs w:val="20"/>
              </w:rPr>
              <w:t>0.12 (0.336)</w:t>
            </w:r>
          </w:p>
        </w:tc>
      </w:tr>
      <w:tr w:rsidR="00F34B5B" w:rsidRPr="00B1054A" w:rsidTr="00F34B5B">
        <w:trPr>
          <w:trHeight w:val="70"/>
        </w:trPr>
        <w:tc>
          <w:tcPr>
            <w:tcW w:w="5000" w:type="pct"/>
            <w:gridSpan w:val="9"/>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left"/>
              <w:rPr>
                <w:rFonts w:ascii="Arial Narrow" w:hAnsi="Arial Narrow" w:cs="Calibri"/>
                <w:b/>
                <w:sz w:val="20"/>
                <w:szCs w:val="20"/>
              </w:rPr>
            </w:pPr>
            <w:r w:rsidRPr="00B1054A">
              <w:rPr>
                <w:rFonts w:ascii="Arial Narrow" w:hAnsi="Arial Narrow" w:cs="Calibri"/>
                <w:b/>
                <w:sz w:val="20"/>
                <w:szCs w:val="20"/>
              </w:rPr>
              <w:t>CsA-experienced</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EASI-50 </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0.15 (0.274)</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0.27 (0.274)</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0.04 (0.266)</w:t>
            </w:r>
          </w:p>
        </w:tc>
        <w:tc>
          <w:tcPr>
            <w:tcW w:w="507" w:type="pct"/>
            <w:tcBorders>
              <w:top w:val="single" w:sz="4" w:space="0" w:color="auto"/>
              <w:left w:val="single" w:sz="4" w:space="0" w:color="auto"/>
              <w:bottom w:val="single" w:sz="4" w:space="0" w:color="auto"/>
              <w:right w:val="single" w:sz="4" w:space="0" w:color="auto"/>
            </w:tcBorders>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0.10 (0.228)</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0.28 (0.212)</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0.28 (0.265)</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0.18 (0.266)</w:t>
            </w:r>
          </w:p>
        </w:tc>
        <w:tc>
          <w:tcPr>
            <w:tcW w:w="508" w:type="pct"/>
            <w:tcBorders>
              <w:top w:val="single" w:sz="4" w:space="0" w:color="auto"/>
              <w:left w:val="single" w:sz="4" w:space="0" w:color="auto"/>
              <w:bottom w:val="single" w:sz="4" w:space="0" w:color="auto"/>
              <w:right w:val="single" w:sz="4" w:space="0" w:color="auto"/>
            </w:tcBorders>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0.05 (0.101)</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DLQI 4 </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0.19 (0.295)</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0.28 (0.264)</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0.01 (0.243)</w:t>
            </w:r>
          </w:p>
        </w:tc>
        <w:tc>
          <w:tcPr>
            <w:tcW w:w="507" w:type="pct"/>
            <w:tcBorders>
              <w:top w:val="single" w:sz="4" w:space="0" w:color="auto"/>
              <w:left w:val="single" w:sz="4" w:space="0" w:color="auto"/>
              <w:bottom w:val="single" w:sz="4" w:space="0" w:color="auto"/>
              <w:right w:val="single" w:sz="4" w:space="0" w:color="auto"/>
            </w:tcBorders>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0.07 (0.226)</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0.41 (0.224)</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0.26 (0.259)</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0.13 (0.234)</w:t>
            </w:r>
          </w:p>
        </w:tc>
        <w:tc>
          <w:tcPr>
            <w:tcW w:w="508" w:type="pct"/>
            <w:tcBorders>
              <w:top w:val="single" w:sz="4" w:space="0" w:color="auto"/>
              <w:left w:val="single" w:sz="4" w:space="0" w:color="auto"/>
              <w:bottom w:val="single" w:sz="4" w:space="0" w:color="auto"/>
              <w:right w:val="single" w:sz="4" w:space="0" w:color="auto"/>
            </w:tcBorders>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0.14 (0.253)</w:t>
            </w:r>
          </w:p>
        </w:tc>
      </w:tr>
      <w:tr w:rsidR="00F34B5B" w:rsidRPr="00B1054A" w:rsidTr="00C00EAD">
        <w:trPr>
          <w:trHeight w:val="288"/>
        </w:trPr>
        <w:tc>
          <w:tcPr>
            <w:tcW w:w="940"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pStyle w:val="BodyText1"/>
              <w:spacing w:before="0" w:after="0" w:line="240" w:lineRule="auto"/>
              <w:jc w:val="left"/>
              <w:rPr>
                <w:rFonts w:ascii="Arial Narrow" w:hAnsi="Arial Narrow"/>
                <w:sz w:val="20"/>
                <w:szCs w:val="20"/>
              </w:rPr>
            </w:pPr>
            <w:r w:rsidRPr="00B1054A">
              <w:rPr>
                <w:rFonts w:ascii="Arial Narrow" w:hAnsi="Arial Narrow"/>
                <w:sz w:val="20"/>
                <w:szCs w:val="20"/>
              </w:rPr>
              <w:t xml:space="preserve">DLQI 4 and EASI-50 </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0.23 (0.277)</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0.30 (0.273)</w:t>
            </w:r>
          </w:p>
        </w:tc>
        <w:tc>
          <w:tcPr>
            <w:tcW w:w="507" w:type="pct"/>
            <w:tcBorders>
              <w:top w:val="single" w:sz="4" w:space="0" w:color="auto"/>
              <w:left w:val="single" w:sz="4" w:space="0" w:color="auto"/>
              <w:bottom w:val="single" w:sz="4" w:space="0" w:color="auto"/>
              <w:right w:val="single" w:sz="4" w:space="0" w:color="auto"/>
            </w:tcBorders>
            <w:noWrap/>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0.03 (0.260)</w:t>
            </w:r>
          </w:p>
        </w:tc>
        <w:tc>
          <w:tcPr>
            <w:tcW w:w="507" w:type="pct"/>
            <w:tcBorders>
              <w:top w:val="single" w:sz="4" w:space="0" w:color="auto"/>
              <w:left w:val="single" w:sz="4" w:space="0" w:color="auto"/>
              <w:bottom w:val="single" w:sz="4" w:space="0" w:color="auto"/>
              <w:right w:val="single" w:sz="4" w:space="0" w:color="auto"/>
            </w:tcBorders>
            <w:vAlign w:val="center"/>
          </w:tcPr>
          <w:p w:rsidR="00F34B5B"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0.09 (0.214)</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0.31 (0.207)</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0.26 (0.259)</w:t>
            </w:r>
          </w:p>
        </w:tc>
        <w:tc>
          <w:tcPr>
            <w:tcW w:w="507" w:type="pct"/>
            <w:tcBorders>
              <w:top w:val="single" w:sz="4" w:space="0" w:color="auto"/>
              <w:left w:val="single" w:sz="4" w:space="0" w:color="auto"/>
              <w:bottom w:val="single" w:sz="4" w:space="0" w:color="auto"/>
              <w:right w:val="single" w:sz="4" w:space="0" w:color="auto"/>
            </w:tcBorders>
            <w:noWrap/>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0.17 (0.264)</w:t>
            </w:r>
          </w:p>
        </w:tc>
        <w:tc>
          <w:tcPr>
            <w:tcW w:w="508" w:type="pct"/>
            <w:tcBorders>
              <w:top w:val="single" w:sz="4" w:space="0" w:color="auto"/>
              <w:left w:val="single" w:sz="4" w:space="0" w:color="auto"/>
              <w:bottom w:val="single" w:sz="4" w:space="0" w:color="auto"/>
              <w:right w:val="single" w:sz="4" w:space="0" w:color="auto"/>
            </w:tcBorders>
            <w:vAlign w:val="center"/>
          </w:tcPr>
          <w:p w:rsidR="00210197" w:rsidRPr="00B1054A" w:rsidRDefault="00F34B5B" w:rsidP="00F34B5B">
            <w:pPr>
              <w:jc w:val="center"/>
              <w:rPr>
                <w:rFonts w:ascii="Arial Narrow" w:hAnsi="Arial Narrow" w:cs="Calibri"/>
                <w:sz w:val="20"/>
                <w:szCs w:val="20"/>
              </w:rPr>
            </w:pPr>
            <w:r w:rsidRPr="00B1054A">
              <w:rPr>
                <w:rFonts w:ascii="Arial Narrow" w:hAnsi="Arial Narrow" w:cs="Calibri"/>
                <w:sz w:val="20"/>
                <w:szCs w:val="20"/>
              </w:rPr>
              <w:t>0.14 (0.253)</w:t>
            </w:r>
          </w:p>
        </w:tc>
      </w:tr>
    </w:tbl>
    <w:p w:rsidR="00F34B5B" w:rsidRDefault="00F34B5B" w:rsidP="00240812">
      <w:pPr>
        <w:pStyle w:val="TableFigNoteLast"/>
        <w:rPr>
          <w:rFonts w:ascii="Arial Narrow" w:hAnsi="Arial Narrow"/>
          <w:sz w:val="18"/>
          <w:szCs w:val="18"/>
        </w:rPr>
      </w:pPr>
      <w:r w:rsidRPr="00B1054A">
        <w:rPr>
          <w:rFonts w:ascii="Arial Narrow" w:hAnsi="Arial Narrow"/>
          <w:sz w:val="18"/>
          <w:szCs w:val="18"/>
        </w:rPr>
        <w:t>Source: Table 2.6.5 (p83 of the resubmission) and Table 2.6.6 (p84 of the resubmission)</w:t>
      </w:r>
    </w:p>
    <w:p w:rsidR="00FD09B1" w:rsidRPr="00633FEB" w:rsidRDefault="00FD09B1" w:rsidP="00633FEB">
      <w:pPr>
        <w:keepNext/>
        <w:keepLines/>
        <w:tabs>
          <w:tab w:val="left" w:pos="284"/>
        </w:tabs>
        <w:spacing w:after="120"/>
        <w:rPr>
          <w:rFonts w:ascii="Arial Narrow" w:hAnsi="Arial Narrow"/>
          <w:sz w:val="18"/>
          <w:szCs w:val="18"/>
        </w:rPr>
      </w:pPr>
      <w:r w:rsidRPr="00044700">
        <w:rPr>
          <w:rStyle w:val="CommentReference"/>
          <w:b w:val="0"/>
          <w:i/>
          <w:sz w:val="18"/>
          <w:szCs w:val="18"/>
        </w:rPr>
        <w:t>* Note that the results presented in Table</w:t>
      </w:r>
      <w:r>
        <w:rPr>
          <w:rStyle w:val="CommentReference"/>
          <w:b w:val="0"/>
          <w:i/>
          <w:sz w:val="18"/>
          <w:szCs w:val="18"/>
        </w:rPr>
        <w:t xml:space="preserve"> </w:t>
      </w:r>
      <w:r w:rsidR="00667FE6">
        <w:rPr>
          <w:rStyle w:val="CommentReference"/>
          <w:b w:val="0"/>
          <w:i/>
          <w:sz w:val="18"/>
          <w:szCs w:val="18"/>
        </w:rPr>
        <w:t>10</w:t>
      </w:r>
      <w:r w:rsidRPr="00044700">
        <w:rPr>
          <w:rStyle w:val="CommentReference"/>
          <w:b w:val="0"/>
          <w:i/>
          <w:sz w:val="18"/>
          <w:szCs w:val="18"/>
        </w:rPr>
        <w:t xml:space="preserve"> are derived from post-hoc analyses conducted by the applican</w:t>
      </w:r>
      <w:r>
        <w:rPr>
          <w:rStyle w:val="CommentReference"/>
          <w:b w:val="0"/>
          <w:i/>
          <w:sz w:val="18"/>
          <w:szCs w:val="18"/>
        </w:rPr>
        <w:t>t</w:t>
      </w:r>
      <w:r w:rsidRPr="00044700">
        <w:rPr>
          <w:rStyle w:val="CommentReference"/>
          <w:b w:val="0"/>
          <w:i/>
          <w:sz w:val="18"/>
          <w:szCs w:val="18"/>
        </w:rPr>
        <w:t xml:space="preserve"> specifically for the purposes of informing the PBAC consideration. These analyses were not part of the pre-specified statistical plan</w:t>
      </w:r>
      <w:r w:rsidR="00F206C5">
        <w:rPr>
          <w:rStyle w:val="CommentReference"/>
          <w:b w:val="0"/>
          <w:i/>
          <w:sz w:val="18"/>
          <w:szCs w:val="18"/>
        </w:rPr>
        <w:t>s</w:t>
      </w:r>
      <w:r w:rsidRPr="00044700">
        <w:rPr>
          <w:rStyle w:val="CommentReference"/>
          <w:b w:val="0"/>
          <w:i/>
          <w:sz w:val="18"/>
          <w:szCs w:val="18"/>
        </w:rPr>
        <w:t xml:space="preserve"> for </w:t>
      </w:r>
      <w:r>
        <w:rPr>
          <w:rStyle w:val="CommentReference"/>
          <w:b w:val="0"/>
          <w:i/>
          <w:sz w:val="18"/>
          <w:szCs w:val="18"/>
        </w:rPr>
        <w:t xml:space="preserve">Studies </w:t>
      </w:r>
      <w:r w:rsidRPr="00044700">
        <w:rPr>
          <w:rStyle w:val="CommentReference"/>
          <w:b w:val="0"/>
          <w:i/>
          <w:sz w:val="18"/>
          <w:szCs w:val="18"/>
        </w:rPr>
        <w:t>1021, SOLO 1, SOLO 2</w:t>
      </w:r>
      <w:r>
        <w:rPr>
          <w:rStyle w:val="CommentReference"/>
          <w:b w:val="0"/>
          <w:i/>
          <w:sz w:val="18"/>
          <w:szCs w:val="18"/>
        </w:rPr>
        <w:t xml:space="preserve"> and</w:t>
      </w:r>
      <w:r w:rsidRPr="00044700">
        <w:rPr>
          <w:rStyle w:val="CommentReference"/>
          <w:b w:val="0"/>
          <w:i/>
          <w:sz w:val="18"/>
          <w:szCs w:val="18"/>
        </w:rPr>
        <w:t xml:space="preserve"> CHRONOS. Interpretation of the results and their application should therefore be limited to seeking to understand the basis for the PBAC outcome and should not be used for any other purpose.</w:t>
      </w:r>
    </w:p>
    <w:p w:rsidR="00F0598C" w:rsidRPr="00B1054A" w:rsidRDefault="00F0598C" w:rsidP="00F0598C">
      <w:pPr>
        <w:pStyle w:val="ListParagraph"/>
        <w:numPr>
          <w:ilvl w:val="1"/>
          <w:numId w:val="1"/>
        </w:numPr>
        <w:spacing w:after="0"/>
      </w:pPr>
      <w:r w:rsidRPr="00B1054A">
        <w:t xml:space="preserve">The resubmission </w:t>
      </w:r>
      <w:r w:rsidR="00240812" w:rsidRPr="00B1054A">
        <w:t xml:space="preserve">also </w:t>
      </w:r>
      <w:r w:rsidRPr="00B1054A">
        <w:t xml:space="preserve">re-presented an indirect comparison of dupilumab versus CsA that was presented in the July 2019 resubmission. </w:t>
      </w:r>
      <w:r w:rsidR="00296653" w:rsidRPr="00B1054A">
        <w:t>At that time t</w:t>
      </w:r>
      <w:r w:rsidRPr="00B1054A">
        <w:t>he ESC considered that the comparison with CsA was not informative because:</w:t>
      </w:r>
    </w:p>
    <w:p w:rsidR="00F0598C" w:rsidRPr="00B1054A" w:rsidRDefault="00F0598C" w:rsidP="009A4A1A">
      <w:pPr>
        <w:pStyle w:val="ListParagraph"/>
        <w:widowControl w:val="0"/>
        <w:numPr>
          <w:ilvl w:val="0"/>
          <w:numId w:val="9"/>
        </w:numPr>
        <w:spacing w:after="0"/>
        <w:ind w:left="993" w:hanging="284"/>
      </w:pPr>
      <w:r w:rsidRPr="00B1054A">
        <w:t xml:space="preserve">The use of </w:t>
      </w:r>
      <w:r w:rsidR="00A84781" w:rsidRPr="00B1054A">
        <w:t>matched adjusted indirect comparison (</w:t>
      </w:r>
      <w:r w:rsidRPr="00B1054A">
        <w:t>MAIC</w:t>
      </w:r>
      <w:r w:rsidR="00A84781" w:rsidRPr="00B1054A">
        <w:t>)</w:t>
      </w:r>
      <w:r w:rsidRPr="00B1054A">
        <w:t xml:space="preserve"> approach methods and logistic regression modelling methods based on registry data are not considered robust methods for comparing clinical data, and are inherently associated with uncertainty.</w:t>
      </w:r>
    </w:p>
    <w:p w:rsidR="00F0598C" w:rsidRPr="00B1054A" w:rsidRDefault="00F0598C" w:rsidP="009A4A1A">
      <w:pPr>
        <w:pStyle w:val="ListParagraph"/>
        <w:widowControl w:val="0"/>
        <w:numPr>
          <w:ilvl w:val="0"/>
          <w:numId w:val="9"/>
        </w:numPr>
        <w:spacing w:after="0"/>
        <w:ind w:left="993" w:hanging="284"/>
      </w:pPr>
      <w:r w:rsidRPr="00B1054A">
        <w:t>A thorough presentation of trial/study design, execution and characteristics according to the PBAC guidelines was not provided in the resubmission.</w:t>
      </w:r>
    </w:p>
    <w:p w:rsidR="00F0598C" w:rsidRPr="00B1054A" w:rsidRDefault="00F0598C" w:rsidP="009A4A1A">
      <w:pPr>
        <w:pStyle w:val="ListParagraph"/>
        <w:widowControl w:val="0"/>
        <w:numPr>
          <w:ilvl w:val="0"/>
          <w:numId w:val="9"/>
        </w:numPr>
        <w:spacing w:after="0"/>
        <w:ind w:left="993" w:hanging="284"/>
      </w:pPr>
      <w:r w:rsidRPr="00B1054A">
        <w:t>The resubmission did not provide explicit details on the most applicable CsA treatment regimen in the Australian target population, and the CsA dosing regimens across the two CsA trials and the CsA registry patients varied.</w:t>
      </w:r>
    </w:p>
    <w:p w:rsidR="00F0598C" w:rsidRPr="00B1054A" w:rsidRDefault="00F0598C" w:rsidP="009A4A1A">
      <w:pPr>
        <w:pStyle w:val="ListParagraph"/>
        <w:widowControl w:val="0"/>
        <w:numPr>
          <w:ilvl w:val="0"/>
          <w:numId w:val="10"/>
        </w:numPr>
        <w:spacing w:after="0"/>
        <w:ind w:left="993" w:hanging="284"/>
      </w:pPr>
      <w:r w:rsidRPr="00B1054A">
        <w:t xml:space="preserve">The MAIC approach included no results for EASI or IGA outcomes, limiting the comparability of the efficacy evidence to that of the dupilumab to placebo (SoC) comparison. The sample sizes of the two CsA trials within the MAIC analysis were also small (n=26; n=17). </w:t>
      </w:r>
    </w:p>
    <w:p w:rsidR="00F34B5B" w:rsidRPr="00B1054A" w:rsidRDefault="00F0598C" w:rsidP="009A4A1A">
      <w:pPr>
        <w:pStyle w:val="ListParagraph"/>
        <w:widowControl w:val="0"/>
        <w:numPr>
          <w:ilvl w:val="0"/>
          <w:numId w:val="9"/>
        </w:numPr>
        <w:spacing w:after="0"/>
        <w:ind w:left="993" w:hanging="284"/>
      </w:pPr>
      <w:r w:rsidRPr="00B1054A">
        <w:t>Other than treatment discontinuation, no safety outcomes were provided.</w:t>
      </w:r>
    </w:p>
    <w:p w:rsidR="00B60939" w:rsidRPr="00B1054A" w:rsidRDefault="00B60939" w:rsidP="00D86231">
      <w:pPr>
        <w:pStyle w:val="4-SubsectionHeading"/>
      </w:pPr>
      <w:bookmarkStart w:id="25" w:name="_Toc22897642"/>
      <w:bookmarkStart w:id="26" w:name="_Toc30592997"/>
      <w:r w:rsidRPr="00B1054A">
        <w:t>Comparative harms</w:t>
      </w:r>
      <w:bookmarkEnd w:id="25"/>
      <w:bookmarkEnd w:id="26"/>
    </w:p>
    <w:p w:rsidR="00B60939" w:rsidRPr="00B1054A" w:rsidRDefault="00F0598C" w:rsidP="00D86231">
      <w:pPr>
        <w:pStyle w:val="3-BodyText"/>
      </w:pPr>
      <w:r w:rsidRPr="00B1054A">
        <w:t xml:space="preserve">The resubmission did not present any new evidence relating to comparative safety compared with the previous (re)submissions. The PBAC previously considered that the safety evidence presented in the July 2018 submission showed dupilumab patients </w:t>
      </w:r>
      <w:r w:rsidRPr="00B1054A">
        <w:lastRenderedPageBreak/>
        <w:t>“reported a higher incidence of conjunctivitis and injection site reactions compared to patients treated with placebo” (</w:t>
      </w:r>
      <w:r w:rsidR="0042619E" w:rsidRPr="00B1054A">
        <w:t>paragraph 6.35, d</w:t>
      </w:r>
      <w:r w:rsidRPr="00B1054A">
        <w:t>upilumab</w:t>
      </w:r>
      <w:r w:rsidR="0042619E" w:rsidRPr="00B1054A">
        <w:t>,</w:t>
      </w:r>
      <w:r w:rsidRPr="00B1054A">
        <w:t xml:space="preserve"> PSD, July 2018,).</w:t>
      </w:r>
      <w:r w:rsidR="00BD1FFA" w:rsidRPr="00B1054A">
        <w:t xml:space="preserve"> The ESC considered that the recently published 76 week data provided some reassurance of long term safety beyond 52 weeks.</w:t>
      </w:r>
    </w:p>
    <w:p w:rsidR="007F1017" w:rsidRPr="00B1054A" w:rsidRDefault="007F1017" w:rsidP="00D86231">
      <w:pPr>
        <w:pStyle w:val="4-SubsectionHeading"/>
      </w:pPr>
      <w:bookmarkStart w:id="27" w:name="_Toc22897643"/>
      <w:bookmarkStart w:id="28" w:name="_Toc30592998"/>
      <w:r w:rsidRPr="00B1054A">
        <w:t>Benefits/harms</w:t>
      </w:r>
      <w:bookmarkEnd w:id="27"/>
      <w:bookmarkEnd w:id="28"/>
    </w:p>
    <w:p w:rsidR="00E723BA" w:rsidRPr="00B1054A" w:rsidRDefault="00240812" w:rsidP="00DD0327">
      <w:pPr>
        <w:pStyle w:val="3-BodyText"/>
        <w:rPr>
          <w:rStyle w:val="CommentReference"/>
        </w:rPr>
      </w:pPr>
      <w:r w:rsidRPr="00B1054A">
        <w:t>A</w:t>
      </w:r>
      <w:r w:rsidR="00EC00C9" w:rsidRPr="00B1054A">
        <w:t xml:space="preserve"> summary of the comparative benefits and harms for </w:t>
      </w:r>
      <w:r w:rsidRPr="00B1054A">
        <w:t xml:space="preserve">dupilumab </w:t>
      </w:r>
      <w:r w:rsidR="00EC00C9" w:rsidRPr="00B1054A">
        <w:t xml:space="preserve">versus </w:t>
      </w:r>
      <w:r w:rsidRPr="00B1054A">
        <w:t>standard of care (placebo)</w:t>
      </w:r>
      <w:r w:rsidR="00EC00C9" w:rsidRPr="00B1054A">
        <w:t xml:space="preserve"> is presented in the table below.</w:t>
      </w:r>
      <w:r w:rsidRPr="00B1054A">
        <w:t xml:space="preserve"> This is based on the same trial data as the previous </w:t>
      </w:r>
      <w:r w:rsidR="00AB09C1" w:rsidRPr="00B1054A">
        <w:t>(re)</w:t>
      </w:r>
      <w:r w:rsidRPr="00B1054A">
        <w:t>submission</w:t>
      </w:r>
      <w:r w:rsidR="00AB09C1" w:rsidRPr="00B1054A">
        <w:t>s</w:t>
      </w:r>
      <w:r w:rsidRPr="00B1054A">
        <w:t>, however EASI-</w:t>
      </w:r>
      <w:r w:rsidR="00DD0327" w:rsidRPr="00B1054A">
        <w:t>50 AND DLQI</w:t>
      </w:r>
      <w:r w:rsidRPr="00B1054A">
        <w:t xml:space="preserve"> </w:t>
      </w:r>
      <w:r w:rsidR="00DD0327" w:rsidRPr="00B1054A">
        <w:t xml:space="preserve">improvement ≥4 at Weeks 16 and 44 </w:t>
      </w:r>
      <w:r w:rsidRPr="00B1054A">
        <w:t>are additional relevant outcomes.</w:t>
      </w:r>
    </w:p>
    <w:p w:rsidR="00633FEB" w:rsidRDefault="00633FEB">
      <w:pPr>
        <w:jc w:val="left"/>
        <w:rPr>
          <w:rStyle w:val="CommentReference"/>
          <w:rFonts w:eastAsiaTheme="majorEastAsia" w:cstheme="majorBidi"/>
          <w:bCs/>
          <w:szCs w:val="24"/>
        </w:rPr>
      </w:pPr>
      <w:r>
        <w:rPr>
          <w:rStyle w:val="CommentReference"/>
          <w:b w:val="0"/>
          <w:szCs w:val="24"/>
        </w:rPr>
        <w:br w:type="page"/>
      </w:r>
    </w:p>
    <w:p w:rsidR="00AB09C1" w:rsidRPr="00B1054A" w:rsidRDefault="00DD0327" w:rsidP="00DD0327">
      <w:pPr>
        <w:pStyle w:val="TableFigureHeading"/>
        <w:rPr>
          <w:rStyle w:val="CommentReference"/>
          <w:b/>
          <w:szCs w:val="24"/>
        </w:rPr>
      </w:pPr>
      <w:r w:rsidRPr="00B1054A">
        <w:rPr>
          <w:rStyle w:val="CommentReference"/>
          <w:b/>
          <w:szCs w:val="24"/>
        </w:rPr>
        <w:lastRenderedPageBreak/>
        <w:t>Table</w:t>
      </w:r>
      <w:r w:rsidRPr="00B1054A">
        <w:rPr>
          <w:rStyle w:val="CommentReference"/>
          <w:szCs w:val="24"/>
        </w:rPr>
        <w:t xml:space="preserve"> </w:t>
      </w:r>
      <w:r w:rsidR="00B20399" w:rsidRPr="00B1054A">
        <w:rPr>
          <w:rStyle w:val="CommentReference"/>
          <w:b/>
          <w:szCs w:val="24"/>
        </w:rPr>
        <w:t>11</w:t>
      </w:r>
      <w:r w:rsidRPr="00B1054A">
        <w:rPr>
          <w:rStyle w:val="CommentReference"/>
          <w:b/>
          <w:szCs w:val="24"/>
        </w:rPr>
        <w:t xml:space="preserve">: </w:t>
      </w:r>
      <w:r w:rsidR="00AB09C1" w:rsidRPr="00B1054A">
        <w:rPr>
          <w:rStyle w:val="CommentReference"/>
          <w:b/>
          <w:szCs w:val="24"/>
        </w:rPr>
        <w:t>Summary of comparative benefits and harms for dupilumab and placebo</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12: Summary of comparative benefits and harms for dupilumab and placebo"/>
      </w:tblPr>
      <w:tblGrid>
        <w:gridCol w:w="2093"/>
        <w:gridCol w:w="991"/>
        <w:gridCol w:w="1047"/>
        <w:gridCol w:w="1512"/>
        <w:gridCol w:w="1047"/>
        <w:gridCol w:w="54"/>
        <w:gridCol w:w="991"/>
        <w:gridCol w:w="59"/>
        <w:gridCol w:w="1214"/>
      </w:tblGrid>
      <w:tr w:rsidR="00AB09C1" w:rsidRPr="00A26F93" w:rsidTr="000B0527">
        <w:trPr>
          <w:tblHeader/>
        </w:trPr>
        <w:tc>
          <w:tcPr>
            <w:tcW w:w="5000" w:type="pct"/>
            <w:gridSpan w:val="9"/>
            <w:shd w:val="clear" w:color="auto" w:fill="auto"/>
            <w:vAlign w:val="center"/>
          </w:tcPr>
          <w:p w:rsidR="00AB09C1" w:rsidRPr="00A26F93" w:rsidRDefault="00AB09C1" w:rsidP="00AB09C1">
            <w:pPr>
              <w:pStyle w:val="TableText0"/>
              <w:keepLines/>
              <w:rPr>
                <w:b/>
                <w:szCs w:val="20"/>
                <w:u w:val="single"/>
              </w:rPr>
            </w:pPr>
            <w:r w:rsidRPr="00A26F93">
              <w:rPr>
                <w:b/>
                <w:szCs w:val="20"/>
                <w:u w:val="single"/>
              </w:rPr>
              <w:t>Benefits</w:t>
            </w:r>
          </w:p>
        </w:tc>
      </w:tr>
      <w:tr w:rsidR="00AB09C1" w:rsidRPr="00A26F93" w:rsidTr="00AB09C1">
        <w:tc>
          <w:tcPr>
            <w:tcW w:w="1162" w:type="pct"/>
            <w:vMerge w:val="restart"/>
            <w:shd w:val="clear" w:color="auto" w:fill="auto"/>
            <w:vAlign w:val="center"/>
          </w:tcPr>
          <w:p w:rsidR="00AB09C1" w:rsidRPr="00A26F93" w:rsidRDefault="00AB09C1" w:rsidP="00AB09C1">
            <w:pPr>
              <w:pStyle w:val="TableText0"/>
              <w:keepLines/>
              <w:rPr>
                <w:b/>
                <w:szCs w:val="20"/>
              </w:rPr>
            </w:pPr>
            <w:r w:rsidRPr="00A26F93">
              <w:rPr>
                <w:b/>
                <w:szCs w:val="20"/>
              </w:rPr>
              <w:t>Trial</w:t>
            </w:r>
          </w:p>
        </w:tc>
        <w:tc>
          <w:tcPr>
            <w:tcW w:w="550"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Dupilumab</w:t>
            </w:r>
          </w:p>
        </w:tc>
        <w:tc>
          <w:tcPr>
            <w:tcW w:w="581"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Placebo</w:t>
            </w:r>
          </w:p>
        </w:tc>
        <w:tc>
          <w:tcPr>
            <w:tcW w:w="839"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RR</w:t>
            </w:r>
          </w:p>
          <w:p w:rsidR="00AB09C1" w:rsidRPr="00A26F93" w:rsidRDefault="00AB09C1" w:rsidP="00AB09C1">
            <w:pPr>
              <w:pStyle w:val="TableText0"/>
              <w:keepLines/>
              <w:jc w:val="center"/>
              <w:rPr>
                <w:b/>
                <w:szCs w:val="20"/>
              </w:rPr>
            </w:pPr>
            <w:r w:rsidRPr="00A26F93">
              <w:rPr>
                <w:b/>
                <w:szCs w:val="20"/>
              </w:rPr>
              <w:t>(95% CI)</w:t>
            </w:r>
          </w:p>
        </w:tc>
        <w:tc>
          <w:tcPr>
            <w:tcW w:w="1161" w:type="pct"/>
            <w:gridSpan w:val="3"/>
            <w:shd w:val="clear" w:color="auto" w:fill="auto"/>
            <w:vAlign w:val="center"/>
          </w:tcPr>
          <w:p w:rsidR="00AB09C1" w:rsidRPr="00A26F93" w:rsidRDefault="00AB09C1" w:rsidP="00C734D0">
            <w:pPr>
              <w:pStyle w:val="TableText0"/>
              <w:keepLines/>
              <w:jc w:val="center"/>
              <w:rPr>
                <w:b/>
                <w:szCs w:val="20"/>
              </w:rPr>
            </w:pPr>
            <w:r w:rsidRPr="00A26F93">
              <w:rPr>
                <w:b/>
                <w:szCs w:val="20"/>
              </w:rPr>
              <w:t>Events/100 patients</w:t>
            </w:r>
          </w:p>
        </w:tc>
        <w:tc>
          <w:tcPr>
            <w:tcW w:w="707" w:type="pct"/>
            <w:gridSpan w:val="2"/>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RD, %</w:t>
            </w:r>
          </w:p>
          <w:p w:rsidR="00AB09C1" w:rsidRPr="00A26F93" w:rsidRDefault="00AB09C1" w:rsidP="00AB09C1">
            <w:pPr>
              <w:pStyle w:val="TableText0"/>
              <w:keepLines/>
              <w:jc w:val="center"/>
              <w:rPr>
                <w:b/>
                <w:szCs w:val="20"/>
              </w:rPr>
            </w:pPr>
            <w:r w:rsidRPr="00A26F93">
              <w:rPr>
                <w:b/>
                <w:szCs w:val="20"/>
              </w:rPr>
              <w:t>(95% CI)</w:t>
            </w:r>
          </w:p>
        </w:tc>
      </w:tr>
      <w:tr w:rsidR="00AB09C1" w:rsidRPr="00A26F93" w:rsidTr="00AB09C1">
        <w:tc>
          <w:tcPr>
            <w:tcW w:w="1162" w:type="pct"/>
            <w:vMerge/>
            <w:shd w:val="clear" w:color="auto" w:fill="auto"/>
            <w:vAlign w:val="center"/>
          </w:tcPr>
          <w:p w:rsidR="00AB09C1" w:rsidRPr="00A26F93" w:rsidRDefault="00AB09C1" w:rsidP="00AB09C1">
            <w:pPr>
              <w:pStyle w:val="TableText0"/>
              <w:keepLines/>
              <w:rPr>
                <w:szCs w:val="20"/>
              </w:rPr>
            </w:pPr>
          </w:p>
        </w:tc>
        <w:tc>
          <w:tcPr>
            <w:tcW w:w="550" w:type="pct"/>
            <w:vMerge/>
            <w:shd w:val="clear" w:color="auto" w:fill="auto"/>
            <w:vAlign w:val="center"/>
          </w:tcPr>
          <w:p w:rsidR="00AB09C1" w:rsidRPr="00A26F93" w:rsidRDefault="00AB09C1" w:rsidP="00AB09C1">
            <w:pPr>
              <w:pStyle w:val="TableText0"/>
              <w:keepLines/>
              <w:jc w:val="center"/>
              <w:rPr>
                <w:szCs w:val="20"/>
              </w:rPr>
            </w:pPr>
          </w:p>
        </w:tc>
        <w:tc>
          <w:tcPr>
            <w:tcW w:w="581" w:type="pct"/>
            <w:vMerge/>
            <w:shd w:val="clear" w:color="auto" w:fill="auto"/>
            <w:vAlign w:val="center"/>
          </w:tcPr>
          <w:p w:rsidR="00AB09C1" w:rsidRPr="00A26F93" w:rsidRDefault="00AB09C1" w:rsidP="00AB09C1">
            <w:pPr>
              <w:pStyle w:val="TableText0"/>
              <w:keepLines/>
              <w:jc w:val="center"/>
              <w:rPr>
                <w:szCs w:val="20"/>
              </w:rPr>
            </w:pPr>
          </w:p>
        </w:tc>
        <w:tc>
          <w:tcPr>
            <w:tcW w:w="839" w:type="pct"/>
            <w:vMerge/>
            <w:shd w:val="clear" w:color="auto" w:fill="auto"/>
            <w:vAlign w:val="center"/>
          </w:tcPr>
          <w:p w:rsidR="00AB09C1" w:rsidRPr="00A26F93" w:rsidRDefault="00AB09C1" w:rsidP="00AB09C1">
            <w:pPr>
              <w:pStyle w:val="TableText0"/>
              <w:keepLines/>
              <w:jc w:val="center"/>
              <w:rPr>
                <w:szCs w:val="20"/>
              </w:rPr>
            </w:pPr>
          </w:p>
        </w:tc>
        <w:tc>
          <w:tcPr>
            <w:tcW w:w="581" w:type="pct"/>
            <w:shd w:val="clear" w:color="auto" w:fill="auto"/>
            <w:vAlign w:val="center"/>
          </w:tcPr>
          <w:p w:rsidR="00AB09C1" w:rsidRPr="00A26F93" w:rsidRDefault="00AB09C1" w:rsidP="00AB09C1">
            <w:pPr>
              <w:pStyle w:val="TableText0"/>
              <w:keepLines/>
              <w:jc w:val="center"/>
              <w:rPr>
                <w:b/>
                <w:szCs w:val="20"/>
              </w:rPr>
            </w:pPr>
            <w:r w:rsidRPr="00A26F93">
              <w:rPr>
                <w:b/>
                <w:szCs w:val="20"/>
              </w:rPr>
              <w:t>Dupilumab</w:t>
            </w:r>
          </w:p>
        </w:tc>
        <w:tc>
          <w:tcPr>
            <w:tcW w:w="580"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Placebo</w:t>
            </w:r>
          </w:p>
        </w:tc>
        <w:tc>
          <w:tcPr>
            <w:tcW w:w="707" w:type="pct"/>
            <w:gridSpan w:val="2"/>
            <w:vMerge/>
            <w:shd w:val="clear" w:color="auto" w:fill="auto"/>
            <w:vAlign w:val="center"/>
          </w:tcPr>
          <w:p w:rsidR="00AB09C1" w:rsidRPr="00A26F93" w:rsidRDefault="00AB09C1" w:rsidP="00AB09C1">
            <w:pPr>
              <w:pStyle w:val="TableText0"/>
              <w:keepLines/>
              <w:jc w:val="center"/>
              <w:rPr>
                <w:szCs w:val="20"/>
              </w:rPr>
            </w:pPr>
          </w:p>
        </w:tc>
      </w:tr>
      <w:tr w:rsidR="00AB09C1" w:rsidRPr="00A26F93" w:rsidTr="00AB09C1">
        <w:tc>
          <w:tcPr>
            <w:tcW w:w="5000" w:type="pct"/>
            <w:gridSpan w:val="9"/>
            <w:shd w:val="clear" w:color="auto" w:fill="auto"/>
            <w:vAlign w:val="center"/>
          </w:tcPr>
          <w:p w:rsidR="00AB09C1" w:rsidRPr="00A26F93" w:rsidRDefault="00AB09C1" w:rsidP="00AB09C1">
            <w:pPr>
              <w:pStyle w:val="TableText0"/>
              <w:keepLines/>
              <w:rPr>
                <w:szCs w:val="20"/>
              </w:rPr>
            </w:pPr>
            <w:r w:rsidRPr="00A26F93">
              <w:rPr>
                <w:b/>
                <w:szCs w:val="20"/>
              </w:rPr>
              <w:t>EASI-75 response at Week 16</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Meta-analysis (whole trial populations)</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405/734</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182/944</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2.98 (2.44, 3.64)</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55.2</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19.3</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38 (33, 42)</w:t>
            </w:r>
          </w:p>
        </w:tc>
      </w:tr>
      <w:tr w:rsidR="00AB09C1" w:rsidRPr="00A26F93" w:rsidTr="00AB09C1">
        <w:tc>
          <w:tcPr>
            <w:tcW w:w="5000" w:type="pct"/>
            <w:gridSpan w:val="9"/>
            <w:shd w:val="clear" w:color="auto" w:fill="auto"/>
            <w:vAlign w:val="center"/>
          </w:tcPr>
          <w:p w:rsidR="00AB09C1" w:rsidRPr="00A26F93" w:rsidRDefault="00AB09C1" w:rsidP="00AB09C1">
            <w:pPr>
              <w:pStyle w:val="TableText0"/>
              <w:keepLines/>
              <w:rPr>
                <w:b/>
                <w:szCs w:val="20"/>
              </w:rPr>
            </w:pPr>
            <w:r w:rsidRPr="00A26F93">
              <w:rPr>
                <w:b/>
                <w:szCs w:val="20"/>
              </w:rPr>
              <w:t>EASI-75 response at Week 52</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CHRONOS</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 xml:space="preserve">204/319 </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 xml:space="preserve">69/315 </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2.92 (2.34, 3.67)</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63.9</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21.9</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40 (30, 51)</w:t>
            </w:r>
          </w:p>
        </w:tc>
      </w:tr>
      <w:tr w:rsidR="00AB09C1" w:rsidRPr="00A26F93" w:rsidTr="00AB09C1">
        <w:tc>
          <w:tcPr>
            <w:tcW w:w="5000" w:type="pct"/>
            <w:gridSpan w:val="9"/>
            <w:shd w:val="clear" w:color="auto" w:fill="auto"/>
            <w:vAlign w:val="center"/>
          </w:tcPr>
          <w:p w:rsidR="00AB09C1" w:rsidRPr="00A26F93" w:rsidRDefault="00AB09C1" w:rsidP="00AB09C1">
            <w:pPr>
              <w:pStyle w:val="TableText0"/>
              <w:keepLines/>
              <w:rPr>
                <w:szCs w:val="20"/>
              </w:rPr>
            </w:pPr>
            <w:r w:rsidRPr="00A26F93">
              <w:rPr>
                <w:b/>
                <w:szCs w:val="20"/>
              </w:rPr>
              <w:t>IGA improvement ≥2 at Week 16</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Meta-analysis (whole trial populations)</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 xml:space="preserve">210/563 </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82/775</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3.53 (2.80, 4.44)</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37.3</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10.6</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27 (23, 32)</w:t>
            </w:r>
          </w:p>
        </w:tc>
      </w:tr>
      <w:tr w:rsidR="00AB09C1" w:rsidRPr="00A26F93" w:rsidTr="00AB09C1">
        <w:tc>
          <w:tcPr>
            <w:tcW w:w="5000" w:type="pct"/>
            <w:gridSpan w:val="9"/>
            <w:shd w:val="clear" w:color="auto" w:fill="auto"/>
            <w:vAlign w:val="center"/>
          </w:tcPr>
          <w:p w:rsidR="00AB09C1" w:rsidRPr="00A26F93" w:rsidRDefault="00AB09C1" w:rsidP="00AB09C1">
            <w:pPr>
              <w:pStyle w:val="TableText0"/>
              <w:keepLines/>
              <w:rPr>
                <w:b/>
                <w:szCs w:val="20"/>
              </w:rPr>
            </w:pPr>
            <w:r w:rsidRPr="00A26F93">
              <w:rPr>
                <w:b/>
                <w:szCs w:val="20"/>
              </w:rPr>
              <w:t>EASI-50 AND DLQI improvement ≥4 at Week 16</w:t>
            </w:r>
            <w:r w:rsidR="00FD09B1">
              <w:rPr>
                <w:b/>
                <w:szCs w:val="20"/>
              </w:rPr>
              <w:t>*</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Pooled Baseline IGA=4, EASI ≥20 CsA-naïve sub-group (Study 1021, SOLO1, SOLO2, CHRONOS)</w:t>
            </w:r>
          </w:p>
        </w:tc>
        <w:tc>
          <w:tcPr>
            <w:tcW w:w="550" w:type="pct"/>
            <w:shd w:val="clear" w:color="auto" w:fill="auto"/>
            <w:vAlign w:val="center"/>
          </w:tcPr>
          <w:p w:rsidR="00AB09C1" w:rsidRPr="00A26F93" w:rsidRDefault="00A9564A" w:rsidP="00AB09C1">
            <w:pPr>
              <w:pStyle w:val="TableText0"/>
              <w:keepLines/>
              <w:jc w:val="center"/>
              <w:rPr>
                <w:szCs w:val="20"/>
              </w:rPr>
            </w:pPr>
            <w:r w:rsidRPr="00A26F93">
              <w:rPr>
                <w:szCs w:val="20"/>
              </w:rPr>
              <w:t>99/166</w:t>
            </w:r>
          </w:p>
        </w:tc>
        <w:tc>
          <w:tcPr>
            <w:tcW w:w="581" w:type="pct"/>
            <w:shd w:val="clear" w:color="auto" w:fill="auto"/>
            <w:vAlign w:val="center"/>
          </w:tcPr>
          <w:p w:rsidR="00AB09C1" w:rsidRPr="00A26F93" w:rsidRDefault="00A9564A" w:rsidP="00AB09C1">
            <w:pPr>
              <w:pStyle w:val="TableText0"/>
              <w:keepLines/>
              <w:jc w:val="center"/>
              <w:rPr>
                <w:szCs w:val="20"/>
              </w:rPr>
            </w:pPr>
            <w:r w:rsidRPr="00A26F93">
              <w:rPr>
                <w:szCs w:val="20"/>
              </w:rPr>
              <w:t>49/246</w:t>
            </w:r>
          </w:p>
        </w:tc>
        <w:tc>
          <w:tcPr>
            <w:tcW w:w="839" w:type="pct"/>
            <w:shd w:val="clear" w:color="auto" w:fill="auto"/>
            <w:vAlign w:val="center"/>
          </w:tcPr>
          <w:p w:rsidR="00AB09C1" w:rsidRPr="00A26F93" w:rsidRDefault="00A9564A" w:rsidP="00AB09C1">
            <w:pPr>
              <w:pStyle w:val="TableText0"/>
              <w:keepLines/>
              <w:jc w:val="center"/>
              <w:rPr>
                <w:b/>
                <w:szCs w:val="20"/>
              </w:rPr>
            </w:pPr>
            <w:r w:rsidRPr="00A26F93">
              <w:rPr>
                <w:b/>
                <w:szCs w:val="20"/>
              </w:rPr>
              <w:t>2.99 (2.27, 3.97)</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59.6</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19.9</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40 (31, 49)</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Pooled Baseline IGA=4, EASI ≥20 CsA-experienced sub-group (Study 1021, SOLO1, SOLO2, CHRONOS)</w:t>
            </w:r>
          </w:p>
        </w:tc>
        <w:tc>
          <w:tcPr>
            <w:tcW w:w="550" w:type="pct"/>
            <w:shd w:val="clear" w:color="auto" w:fill="auto"/>
            <w:vAlign w:val="center"/>
          </w:tcPr>
          <w:p w:rsidR="00AB09C1" w:rsidRPr="00A26F93" w:rsidRDefault="00A9564A" w:rsidP="00AB09C1">
            <w:pPr>
              <w:pStyle w:val="TableText0"/>
              <w:keepLines/>
              <w:jc w:val="center"/>
              <w:rPr>
                <w:szCs w:val="20"/>
              </w:rPr>
            </w:pPr>
            <w:r w:rsidRPr="00A26F93">
              <w:rPr>
                <w:szCs w:val="20"/>
              </w:rPr>
              <w:t>91/152</w:t>
            </w:r>
          </w:p>
        </w:tc>
        <w:tc>
          <w:tcPr>
            <w:tcW w:w="581" w:type="pct"/>
            <w:shd w:val="clear" w:color="auto" w:fill="auto"/>
            <w:vAlign w:val="center"/>
          </w:tcPr>
          <w:p w:rsidR="00AB09C1" w:rsidRPr="00A26F93" w:rsidRDefault="00A9564A" w:rsidP="00AB09C1">
            <w:pPr>
              <w:pStyle w:val="TableText0"/>
              <w:keepLines/>
              <w:jc w:val="center"/>
              <w:rPr>
                <w:szCs w:val="20"/>
              </w:rPr>
            </w:pPr>
            <w:r w:rsidRPr="00A26F93">
              <w:rPr>
                <w:szCs w:val="20"/>
              </w:rPr>
              <w:t>25/178</w:t>
            </w:r>
          </w:p>
        </w:tc>
        <w:tc>
          <w:tcPr>
            <w:tcW w:w="839" w:type="pct"/>
            <w:shd w:val="clear" w:color="auto" w:fill="auto"/>
            <w:vAlign w:val="center"/>
          </w:tcPr>
          <w:p w:rsidR="00AB09C1" w:rsidRPr="00A26F93" w:rsidRDefault="00A9564A" w:rsidP="00AB09C1">
            <w:pPr>
              <w:pStyle w:val="TableText0"/>
              <w:keepLines/>
              <w:jc w:val="center"/>
              <w:rPr>
                <w:b/>
                <w:szCs w:val="20"/>
              </w:rPr>
            </w:pPr>
            <w:r w:rsidRPr="00A26F93">
              <w:rPr>
                <w:b/>
                <w:szCs w:val="20"/>
              </w:rPr>
              <w:t>4.26 (2.93, 6.30)</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59.9</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14.0</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46 (37, 55)</w:t>
            </w:r>
          </w:p>
        </w:tc>
      </w:tr>
      <w:tr w:rsidR="00AB09C1" w:rsidRPr="00A26F93" w:rsidTr="00AB09C1">
        <w:tc>
          <w:tcPr>
            <w:tcW w:w="5000" w:type="pct"/>
            <w:gridSpan w:val="9"/>
            <w:shd w:val="clear" w:color="auto" w:fill="auto"/>
            <w:vAlign w:val="center"/>
          </w:tcPr>
          <w:p w:rsidR="00AB09C1" w:rsidRPr="00A26F93" w:rsidRDefault="00AB09C1" w:rsidP="00AB09C1">
            <w:pPr>
              <w:pStyle w:val="TableText0"/>
              <w:keepLines/>
              <w:rPr>
                <w:b/>
                <w:szCs w:val="20"/>
              </w:rPr>
            </w:pPr>
            <w:r w:rsidRPr="00A26F93">
              <w:rPr>
                <w:b/>
                <w:szCs w:val="20"/>
              </w:rPr>
              <w:t>EASI-50 AND DLQI improvement ≥4 at Week 44 (Responders at Week 16 AND 44)</w:t>
            </w:r>
            <w:r w:rsidR="00FD09B1">
              <w:rPr>
                <w:b/>
                <w:szCs w:val="20"/>
              </w:rPr>
              <w:t>*</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Baseline IGA=4, EASI ≥20 CsA-naïve sub-group (CHRONOS)</w:t>
            </w:r>
          </w:p>
        </w:tc>
        <w:tc>
          <w:tcPr>
            <w:tcW w:w="550" w:type="pct"/>
            <w:shd w:val="clear" w:color="auto" w:fill="auto"/>
            <w:vAlign w:val="center"/>
          </w:tcPr>
          <w:p w:rsidR="00AB09C1" w:rsidRPr="00A26F93" w:rsidRDefault="00A9564A" w:rsidP="00AB09C1">
            <w:pPr>
              <w:pStyle w:val="TableText0"/>
              <w:keepLines/>
              <w:jc w:val="center"/>
              <w:rPr>
                <w:szCs w:val="20"/>
              </w:rPr>
            </w:pPr>
            <w:r w:rsidRPr="00A26F93">
              <w:rPr>
                <w:szCs w:val="20"/>
              </w:rPr>
              <w:t xml:space="preserve">22/28 </w:t>
            </w:r>
          </w:p>
        </w:tc>
        <w:tc>
          <w:tcPr>
            <w:tcW w:w="581" w:type="pct"/>
            <w:shd w:val="clear" w:color="auto" w:fill="auto"/>
            <w:vAlign w:val="center"/>
          </w:tcPr>
          <w:p w:rsidR="00AB09C1" w:rsidRPr="00A26F93" w:rsidRDefault="00A9564A" w:rsidP="00AB09C1">
            <w:pPr>
              <w:pStyle w:val="TableText0"/>
              <w:keepLines/>
              <w:jc w:val="center"/>
              <w:rPr>
                <w:szCs w:val="20"/>
              </w:rPr>
            </w:pPr>
            <w:r w:rsidRPr="00A26F93">
              <w:rPr>
                <w:szCs w:val="20"/>
              </w:rPr>
              <w:t>16/91</w:t>
            </w:r>
          </w:p>
        </w:tc>
        <w:tc>
          <w:tcPr>
            <w:tcW w:w="839" w:type="pct"/>
            <w:shd w:val="clear" w:color="auto" w:fill="auto"/>
            <w:vAlign w:val="center"/>
          </w:tcPr>
          <w:p w:rsidR="00AB09C1" w:rsidRPr="00A26F93" w:rsidRDefault="00A9564A" w:rsidP="00AB09C1">
            <w:pPr>
              <w:pStyle w:val="TableText0"/>
              <w:keepLines/>
              <w:jc w:val="center"/>
              <w:rPr>
                <w:b/>
                <w:szCs w:val="20"/>
              </w:rPr>
            </w:pPr>
            <w:r w:rsidRPr="00A26F93">
              <w:rPr>
                <w:b/>
                <w:szCs w:val="20"/>
              </w:rPr>
              <w:t>4.47 (2.76, 7.28)</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78.6</w:t>
            </w:r>
            <w:r w:rsidR="00F04162" w:rsidRPr="00A26F93">
              <w:rPr>
                <w:szCs w:val="20"/>
                <w:vertAlign w:val="superscript"/>
              </w:rPr>
              <w:t>a</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17.6</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61 (44, 78)</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Baseline IGA=4, EASI ≥20 CsA-experienced sub-group (CHRONOS)</w:t>
            </w:r>
          </w:p>
        </w:tc>
        <w:tc>
          <w:tcPr>
            <w:tcW w:w="550" w:type="pct"/>
            <w:shd w:val="clear" w:color="auto" w:fill="auto"/>
            <w:vAlign w:val="center"/>
          </w:tcPr>
          <w:p w:rsidR="00AB09C1" w:rsidRPr="00A26F93" w:rsidRDefault="00A9564A" w:rsidP="00AB09C1">
            <w:pPr>
              <w:pStyle w:val="TableText0"/>
              <w:keepLines/>
              <w:jc w:val="center"/>
              <w:rPr>
                <w:szCs w:val="20"/>
              </w:rPr>
            </w:pPr>
            <w:r w:rsidRPr="00A26F93">
              <w:rPr>
                <w:szCs w:val="20"/>
              </w:rPr>
              <w:t>17/23</w:t>
            </w:r>
          </w:p>
        </w:tc>
        <w:tc>
          <w:tcPr>
            <w:tcW w:w="581" w:type="pct"/>
            <w:shd w:val="clear" w:color="auto" w:fill="auto"/>
            <w:vAlign w:val="center"/>
          </w:tcPr>
          <w:p w:rsidR="00AB09C1" w:rsidRPr="00A26F93" w:rsidRDefault="00A9564A" w:rsidP="00AB09C1">
            <w:pPr>
              <w:pStyle w:val="TableText0"/>
              <w:keepLines/>
              <w:jc w:val="center"/>
              <w:rPr>
                <w:szCs w:val="20"/>
              </w:rPr>
            </w:pPr>
            <w:r w:rsidRPr="00A26F93">
              <w:rPr>
                <w:szCs w:val="20"/>
              </w:rPr>
              <w:t>8/53</w:t>
            </w:r>
          </w:p>
        </w:tc>
        <w:tc>
          <w:tcPr>
            <w:tcW w:w="839" w:type="pct"/>
            <w:shd w:val="clear" w:color="auto" w:fill="auto"/>
            <w:vAlign w:val="center"/>
          </w:tcPr>
          <w:p w:rsidR="00AB09C1" w:rsidRPr="00A26F93" w:rsidRDefault="00A9564A" w:rsidP="00AB09C1">
            <w:pPr>
              <w:pStyle w:val="TableText0"/>
              <w:keepLines/>
              <w:jc w:val="center"/>
              <w:rPr>
                <w:b/>
                <w:szCs w:val="20"/>
              </w:rPr>
            </w:pPr>
            <w:r w:rsidRPr="00A26F93">
              <w:rPr>
                <w:b/>
                <w:szCs w:val="20"/>
              </w:rPr>
              <w:t>4.90 (2.54, 9.74)</w:t>
            </w:r>
          </w:p>
        </w:tc>
        <w:tc>
          <w:tcPr>
            <w:tcW w:w="581" w:type="pct"/>
            <w:shd w:val="clear" w:color="auto" w:fill="auto"/>
            <w:vAlign w:val="center"/>
          </w:tcPr>
          <w:p w:rsidR="00AB09C1" w:rsidRPr="00A26F93" w:rsidRDefault="00AB09C1" w:rsidP="00AB09C1">
            <w:pPr>
              <w:pStyle w:val="TableText0"/>
              <w:keepLines/>
              <w:jc w:val="center"/>
              <w:rPr>
                <w:szCs w:val="20"/>
                <w:vertAlign w:val="superscript"/>
              </w:rPr>
            </w:pPr>
            <w:r w:rsidRPr="00A26F93">
              <w:rPr>
                <w:szCs w:val="20"/>
              </w:rPr>
              <w:t>73.9</w:t>
            </w:r>
            <w:r w:rsidR="00F04162" w:rsidRPr="00A26F93">
              <w:rPr>
                <w:szCs w:val="20"/>
                <w:vertAlign w:val="superscript"/>
              </w:rPr>
              <w:t>a</w:t>
            </w:r>
          </w:p>
        </w:tc>
        <w:tc>
          <w:tcPr>
            <w:tcW w:w="580"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15.1</w:t>
            </w:r>
          </w:p>
        </w:tc>
        <w:tc>
          <w:tcPr>
            <w:tcW w:w="707"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59 (38, 79)</w:t>
            </w:r>
          </w:p>
        </w:tc>
      </w:tr>
      <w:tr w:rsidR="00AB09C1" w:rsidRPr="00A26F93" w:rsidTr="00AB09C1">
        <w:tc>
          <w:tcPr>
            <w:tcW w:w="5000" w:type="pct"/>
            <w:gridSpan w:val="9"/>
            <w:tcBorders>
              <w:top w:val="double" w:sz="4" w:space="0" w:color="auto"/>
            </w:tcBorders>
            <w:shd w:val="clear" w:color="auto" w:fill="auto"/>
            <w:vAlign w:val="center"/>
          </w:tcPr>
          <w:p w:rsidR="00AB09C1" w:rsidRPr="00A26F93" w:rsidRDefault="00AB09C1" w:rsidP="00AB09C1">
            <w:pPr>
              <w:pStyle w:val="TableText0"/>
              <w:keepLines/>
              <w:rPr>
                <w:b/>
                <w:szCs w:val="20"/>
                <w:u w:val="single"/>
              </w:rPr>
            </w:pPr>
            <w:r w:rsidRPr="00A26F93">
              <w:rPr>
                <w:b/>
                <w:szCs w:val="20"/>
                <w:u w:val="single"/>
              </w:rPr>
              <w:t>Harms (meta-analysis – combined population from all trials)</w:t>
            </w:r>
          </w:p>
        </w:tc>
      </w:tr>
      <w:tr w:rsidR="00AB09C1" w:rsidRPr="00A26F93" w:rsidTr="00AB09C1">
        <w:tc>
          <w:tcPr>
            <w:tcW w:w="1162" w:type="pct"/>
            <w:vMerge w:val="restart"/>
            <w:shd w:val="clear" w:color="auto" w:fill="auto"/>
            <w:vAlign w:val="center"/>
          </w:tcPr>
          <w:p w:rsidR="00AB09C1" w:rsidRPr="00A26F93" w:rsidRDefault="00AB09C1" w:rsidP="00AB09C1">
            <w:pPr>
              <w:pStyle w:val="TableText0"/>
              <w:keepLines/>
              <w:rPr>
                <w:szCs w:val="20"/>
              </w:rPr>
            </w:pPr>
          </w:p>
        </w:tc>
        <w:tc>
          <w:tcPr>
            <w:tcW w:w="550"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Dupilumab</w:t>
            </w:r>
          </w:p>
        </w:tc>
        <w:tc>
          <w:tcPr>
            <w:tcW w:w="581"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Placebo</w:t>
            </w:r>
          </w:p>
        </w:tc>
        <w:tc>
          <w:tcPr>
            <w:tcW w:w="839"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RR</w:t>
            </w:r>
          </w:p>
          <w:p w:rsidR="00AB09C1" w:rsidRPr="00A26F93" w:rsidRDefault="00AB09C1" w:rsidP="00AB09C1">
            <w:pPr>
              <w:pStyle w:val="TableText0"/>
              <w:keepLines/>
              <w:jc w:val="center"/>
              <w:rPr>
                <w:b/>
                <w:szCs w:val="20"/>
              </w:rPr>
            </w:pPr>
            <w:r w:rsidRPr="00A26F93">
              <w:rPr>
                <w:b/>
                <w:szCs w:val="20"/>
              </w:rPr>
              <w:t>(95% CI)</w:t>
            </w:r>
          </w:p>
        </w:tc>
        <w:tc>
          <w:tcPr>
            <w:tcW w:w="1194" w:type="pct"/>
            <w:gridSpan w:val="4"/>
            <w:shd w:val="clear" w:color="auto" w:fill="auto"/>
            <w:vAlign w:val="center"/>
          </w:tcPr>
          <w:p w:rsidR="00AB09C1" w:rsidRPr="00A26F93" w:rsidRDefault="00AB09C1" w:rsidP="00AB09C1">
            <w:pPr>
              <w:pStyle w:val="TableText0"/>
              <w:keepLines/>
              <w:jc w:val="center"/>
              <w:rPr>
                <w:b/>
                <w:szCs w:val="20"/>
              </w:rPr>
            </w:pPr>
            <w:r w:rsidRPr="00A26F93">
              <w:rPr>
                <w:b/>
                <w:szCs w:val="20"/>
              </w:rPr>
              <w:t>Events/100 patients</w:t>
            </w:r>
          </w:p>
        </w:tc>
        <w:tc>
          <w:tcPr>
            <w:tcW w:w="674" w:type="pct"/>
            <w:vMerge w:val="restart"/>
            <w:shd w:val="clear" w:color="auto" w:fill="auto"/>
            <w:vAlign w:val="center"/>
          </w:tcPr>
          <w:p w:rsidR="00AB09C1" w:rsidRPr="00A26F93" w:rsidRDefault="00AB09C1" w:rsidP="00AB09C1">
            <w:pPr>
              <w:pStyle w:val="TableText0"/>
              <w:keepLines/>
              <w:jc w:val="center"/>
              <w:rPr>
                <w:b/>
                <w:szCs w:val="20"/>
              </w:rPr>
            </w:pPr>
            <w:r w:rsidRPr="00A26F93">
              <w:rPr>
                <w:b/>
                <w:szCs w:val="20"/>
              </w:rPr>
              <w:t>RD</w:t>
            </w:r>
          </w:p>
          <w:p w:rsidR="00AB09C1" w:rsidRPr="00A26F93" w:rsidRDefault="00AB09C1" w:rsidP="00AB09C1">
            <w:pPr>
              <w:pStyle w:val="TableText0"/>
              <w:keepLines/>
              <w:jc w:val="center"/>
              <w:rPr>
                <w:b/>
                <w:szCs w:val="20"/>
              </w:rPr>
            </w:pPr>
            <w:r w:rsidRPr="00A26F93">
              <w:rPr>
                <w:b/>
                <w:szCs w:val="20"/>
              </w:rPr>
              <w:t>(95% CI)</w:t>
            </w:r>
          </w:p>
        </w:tc>
      </w:tr>
      <w:tr w:rsidR="00AB09C1" w:rsidRPr="00A26F93" w:rsidTr="00AB09C1">
        <w:tc>
          <w:tcPr>
            <w:tcW w:w="1162" w:type="pct"/>
            <w:vMerge/>
            <w:shd w:val="clear" w:color="auto" w:fill="auto"/>
            <w:vAlign w:val="center"/>
          </w:tcPr>
          <w:p w:rsidR="00AB09C1" w:rsidRPr="00A26F93" w:rsidRDefault="00AB09C1" w:rsidP="00AB09C1">
            <w:pPr>
              <w:pStyle w:val="TableText0"/>
              <w:keepLines/>
              <w:rPr>
                <w:szCs w:val="20"/>
              </w:rPr>
            </w:pPr>
          </w:p>
        </w:tc>
        <w:tc>
          <w:tcPr>
            <w:tcW w:w="550" w:type="pct"/>
            <w:vMerge/>
            <w:shd w:val="clear" w:color="auto" w:fill="auto"/>
            <w:vAlign w:val="center"/>
          </w:tcPr>
          <w:p w:rsidR="00AB09C1" w:rsidRPr="00A26F93" w:rsidRDefault="00AB09C1" w:rsidP="00AB09C1">
            <w:pPr>
              <w:pStyle w:val="TableText0"/>
              <w:keepLines/>
              <w:rPr>
                <w:szCs w:val="20"/>
              </w:rPr>
            </w:pPr>
          </w:p>
        </w:tc>
        <w:tc>
          <w:tcPr>
            <w:tcW w:w="581" w:type="pct"/>
            <w:vMerge/>
            <w:shd w:val="clear" w:color="auto" w:fill="auto"/>
            <w:vAlign w:val="center"/>
          </w:tcPr>
          <w:p w:rsidR="00AB09C1" w:rsidRPr="00A26F93" w:rsidRDefault="00AB09C1" w:rsidP="00AB09C1">
            <w:pPr>
              <w:pStyle w:val="TableText0"/>
              <w:keepLines/>
              <w:rPr>
                <w:szCs w:val="20"/>
              </w:rPr>
            </w:pPr>
          </w:p>
        </w:tc>
        <w:tc>
          <w:tcPr>
            <w:tcW w:w="839" w:type="pct"/>
            <w:vMerge/>
            <w:shd w:val="clear" w:color="auto" w:fill="auto"/>
            <w:vAlign w:val="center"/>
          </w:tcPr>
          <w:p w:rsidR="00AB09C1" w:rsidRPr="00A26F93" w:rsidRDefault="00AB09C1" w:rsidP="00AB09C1">
            <w:pPr>
              <w:pStyle w:val="TableText0"/>
              <w:keepLines/>
              <w:rPr>
                <w:szCs w:val="20"/>
              </w:rPr>
            </w:pPr>
          </w:p>
        </w:tc>
        <w:tc>
          <w:tcPr>
            <w:tcW w:w="611"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Dupilumab</w:t>
            </w:r>
          </w:p>
        </w:tc>
        <w:tc>
          <w:tcPr>
            <w:tcW w:w="583" w:type="pct"/>
            <w:gridSpan w:val="2"/>
            <w:shd w:val="clear" w:color="auto" w:fill="auto"/>
            <w:vAlign w:val="center"/>
          </w:tcPr>
          <w:p w:rsidR="00AB09C1" w:rsidRPr="00A26F93" w:rsidRDefault="00AB09C1" w:rsidP="00AB09C1">
            <w:pPr>
              <w:pStyle w:val="TableText0"/>
              <w:keepLines/>
              <w:jc w:val="center"/>
              <w:rPr>
                <w:b/>
                <w:szCs w:val="20"/>
              </w:rPr>
            </w:pPr>
            <w:r w:rsidRPr="00A26F93">
              <w:rPr>
                <w:b/>
                <w:szCs w:val="20"/>
              </w:rPr>
              <w:t>Placebo</w:t>
            </w:r>
          </w:p>
        </w:tc>
        <w:tc>
          <w:tcPr>
            <w:tcW w:w="674" w:type="pct"/>
            <w:vMerge/>
            <w:shd w:val="clear" w:color="auto" w:fill="auto"/>
            <w:vAlign w:val="center"/>
          </w:tcPr>
          <w:p w:rsidR="00AB09C1" w:rsidRPr="00A26F93" w:rsidRDefault="00AB09C1" w:rsidP="00AB09C1">
            <w:pPr>
              <w:pStyle w:val="TableText0"/>
              <w:keepLines/>
              <w:rPr>
                <w:szCs w:val="20"/>
              </w:rPr>
            </w:pP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 xml:space="preserve">Conjunctivitis </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65/1562</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11/879</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2.93 (1.37, 6.23)</w:t>
            </w:r>
          </w:p>
        </w:tc>
        <w:tc>
          <w:tcPr>
            <w:tcW w:w="611"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4.2</w:t>
            </w:r>
          </w:p>
        </w:tc>
        <w:tc>
          <w:tcPr>
            <w:tcW w:w="583"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1.3</w:t>
            </w:r>
          </w:p>
        </w:tc>
        <w:tc>
          <w:tcPr>
            <w:tcW w:w="674" w:type="pct"/>
            <w:shd w:val="clear" w:color="auto" w:fill="auto"/>
            <w:vAlign w:val="center"/>
          </w:tcPr>
          <w:p w:rsidR="00AB09C1" w:rsidRPr="00A26F93" w:rsidRDefault="00AB09C1" w:rsidP="00AB09C1">
            <w:pPr>
              <w:pStyle w:val="TableText0"/>
              <w:keepLines/>
              <w:jc w:val="center"/>
              <w:rPr>
                <w:b/>
                <w:szCs w:val="20"/>
              </w:rPr>
            </w:pPr>
            <w:r w:rsidRPr="00A26F93">
              <w:rPr>
                <w:b/>
                <w:szCs w:val="20"/>
              </w:rPr>
              <w:t>2.8 (0.9, 4.7)</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 xml:space="preserve">Oral herpes </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57/1562</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17/879</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1.79 (1.04, 3.08)</w:t>
            </w:r>
          </w:p>
        </w:tc>
        <w:tc>
          <w:tcPr>
            <w:tcW w:w="611"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3.6</w:t>
            </w:r>
          </w:p>
        </w:tc>
        <w:tc>
          <w:tcPr>
            <w:tcW w:w="583"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1.9</w:t>
            </w:r>
          </w:p>
        </w:tc>
        <w:tc>
          <w:tcPr>
            <w:tcW w:w="674" w:type="pct"/>
            <w:shd w:val="clear" w:color="auto" w:fill="auto"/>
            <w:vAlign w:val="center"/>
          </w:tcPr>
          <w:p w:rsidR="00AB09C1" w:rsidRPr="00A26F93" w:rsidRDefault="00AB09C1" w:rsidP="00AB09C1">
            <w:pPr>
              <w:pStyle w:val="TableText0"/>
              <w:keepLines/>
              <w:jc w:val="center"/>
              <w:rPr>
                <w:b/>
                <w:szCs w:val="20"/>
              </w:rPr>
            </w:pPr>
            <w:r w:rsidRPr="00A26F93">
              <w:rPr>
                <w:b/>
                <w:szCs w:val="20"/>
              </w:rPr>
              <w:t>2.0 (0.7, 3.2)</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 xml:space="preserve">Injection site reaction </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205/1562</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53/879</w:t>
            </w:r>
          </w:p>
        </w:tc>
        <w:tc>
          <w:tcPr>
            <w:tcW w:w="839" w:type="pct"/>
            <w:shd w:val="clear" w:color="auto" w:fill="auto"/>
            <w:vAlign w:val="center"/>
          </w:tcPr>
          <w:p w:rsidR="00AB09C1" w:rsidRPr="00A26F93" w:rsidRDefault="00AB09C1" w:rsidP="00AB09C1">
            <w:pPr>
              <w:pStyle w:val="TableText0"/>
              <w:keepLines/>
              <w:jc w:val="center"/>
              <w:rPr>
                <w:szCs w:val="20"/>
              </w:rPr>
            </w:pPr>
            <w:r w:rsidRPr="00A26F93">
              <w:rPr>
                <w:b/>
                <w:szCs w:val="20"/>
              </w:rPr>
              <w:t>2.24 (1.68, 3.00)</w:t>
            </w:r>
          </w:p>
        </w:tc>
        <w:tc>
          <w:tcPr>
            <w:tcW w:w="611"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13.1</w:t>
            </w:r>
          </w:p>
        </w:tc>
        <w:tc>
          <w:tcPr>
            <w:tcW w:w="583"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6.0</w:t>
            </w:r>
          </w:p>
        </w:tc>
        <w:tc>
          <w:tcPr>
            <w:tcW w:w="674" w:type="pct"/>
            <w:shd w:val="clear" w:color="auto" w:fill="auto"/>
            <w:vAlign w:val="center"/>
          </w:tcPr>
          <w:p w:rsidR="00AB09C1" w:rsidRPr="00A26F93" w:rsidRDefault="00AB09C1" w:rsidP="00AB09C1">
            <w:pPr>
              <w:pStyle w:val="TableText0"/>
              <w:keepLines/>
              <w:jc w:val="center"/>
              <w:rPr>
                <w:szCs w:val="20"/>
              </w:rPr>
            </w:pPr>
            <w:r w:rsidRPr="00A26F93">
              <w:rPr>
                <w:b/>
                <w:szCs w:val="20"/>
              </w:rPr>
              <w:t>7.0 (2.0, 12.0)</w:t>
            </w:r>
          </w:p>
        </w:tc>
      </w:tr>
      <w:tr w:rsidR="00AB09C1" w:rsidRPr="00A26F93" w:rsidTr="00AB09C1">
        <w:tc>
          <w:tcPr>
            <w:tcW w:w="1162" w:type="pct"/>
            <w:shd w:val="clear" w:color="auto" w:fill="auto"/>
            <w:vAlign w:val="center"/>
          </w:tcPr>
          <w:p w:rsidR="00AB09C1" w:rsidRPr="00A26F93" w:rsidRDefault="00AB09C1" w:rsidP="00A9564A">
            <w:pPr>
              <w:pStyle w:val="TableText0"/>
              <w:keepLines/>
              <w:rPr>
                <w:szCs w:val="20"/>
              </w:rPr>
            </w:pPr>
            <w:r w:rsidRPr="00A26F93">
              <w:rPr>
                <w:szCs w:val="20"/>
              </w:rPr>
              <w:t>Allergic conjunctivitis</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104/1089</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24/645</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2.67 (1.73, 4.11)</w:t>
            </w:r>
          </w:p>
        </w:tc>
        <w:tc>
          <w:tcPr>
            <w:tcW w:w="611"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9.6</w:t>
            </w:r>
          </w:p>
        </w:tc>
        <w:tc>
          <w:tcPr>
            <w:tcW w:w="583"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3.7</w:t>
            </w:r>
          </w:p>
        </w:tc>
        <w:tc>
          <w:tcPr>
            <w:tcW w:w="674" w:type="pct"/>
            <w:shd w:val="clear" w:color="auto" w:fill="auto"/>
            <w:vAlign w:val="center"/>
          </w:tcPr>
          <w:p w:rsidR="00AB09C1" w:rsidRPr="00A26F93" w:rsidRDefault="00AB09C1" w:rsidP="00AB09C1">
            <w:pPr>
              <w:pStyle w:val="TableText0"/>
              <w:keepLines/>
              <w:jc w:val="center"/>
              <w:rPr>
                <w:b/>
                <w:szCs w:val="20"/>
              </w:rPr>
            </w:pPr>
            <w:r w:rsidRPr="00A26F93">
              <w:rPr>
                <w:b/>
                <w:szCs w:val="20"/>
              </w:rPr>
              <w:t>5.9 (1.1, 10.6)</w:t>
            </w:r>
          </w:p>
        </w:tc>
      </w:tr>
      <w:tr w:rsidR="00AB09C1" w:rsidRPr="00A26F93" w:rsidTr="00AB09C1">
        <w:tc>
          <w:tcPr>
            <w:tcW w:w="1162" w:type="pct"/>
            <w:shd w:val="clear" w:color="auto" w:fill="auto"/>
            <w:vAlign w:val="center"/>
          </w:tcPr>
          <w:p w:rsidR="00AB09C1" w:rsidRPr="00A26F93" w:rsidRDefault="00AB09C1" w:rsidP="00AB09C1">
            <w:pPr>
              <w:pStyle w:val="TableText0"/>
              <w:keepLines/>
              <w:rPr>
                <w:szCs w:val="20"/>
              </w:rPr>
            </w:pPr>
            <w:r w:rsidRPr="00A26F93">
              <w:rPr>
                <w:szCs w:val="20"/>
              </w:rPr>
              <w:t>Blepharitis</w:t>
            </w:r>
          </w:p>
        </w:tc>
        <w:tc>
          <w:tcPr>
            <w:tcW w:w="550" w:type="pct"/>
            <w:shd w:val="clear" w:color="auto" w:fill="auto"/>
            <w:vAlign w:val="center"/>
          </w:tcPr>
          <w:p w:rsidR="00AB09C1" w:rsidRPr="00A26F93" w:rsidRDefault="00AB09C1" w:rsidP="00AB09C1">
            <w:pPr>
              <w:pStyle w:val="TableText0"/>
              <w:keepLines/>
              <w:jc w:val="center"/>
              <w:rPr>
                <w:szCs w:val="20"/>
              </w:rPr>
            </w:pPr>
            <w:r w:rsidRPr="00A26F93">
              <w:rPr>
                <w:szCs w:val="20"/>
              </w:rPr>
              <w:t xml:space="preserve">17/425 </w:t>
            </w:r>
          </w:p>
        </w:tc>
        <w:tc>
          <w:tcPr>
            <w:tcW w:w="581" w:type="pct"/>
            <w:shd w:val="clear" w:color="auto" w:fill="auto"/>
            <w:vAlign w:val="center"/>
          </w:tcPr>
          <w:p w:rsidR="00AB09C1" w:rsidRPr="00A26F93" w:rsidRDefault="00AB09C1" w:rsidP="00AB09C1">
            <w:pPr>
              <w:pStyle w:val="TableText0"/>
              <w:keepLines/>
              <w:jc w:val="center"/>
              <w:rPr>
                <w:szCs w:val="20"/>
              </w:rPr>
            </w:pPr>
            <w:r w:rsidRPr="00A26F93">
              <w:rPr>
                <w:szCs w:val="20"/>
              </w:rPr>
              <w:t>3/315</w:t>
            </w:r>
          </w:p>
        </w:tc>
        <w:tc>
          <w:tcPr>
            <w:tcW w:w="839" w:type="pct"/>
            <w:shd w:val="clear" w:color="auto" w:fill="auto"/>
            <w:vAlign w:val="center"/>
          </w:tcPr>
          <w:p w:rsidR="00AB09C1" w:rsidRPr="00A26F93" w:rsidRDefault="00AB09C1" w:rsidP="00AB09C1">
            <w:pPr>
              <w:pStyle w:val="TableText0"/>
              <w:keepLines/>
              <w:jc w:val="center"/>
              <w:rPr>
                <w:b/>
                <w:szCs w:val="20"/>
              </w:rPr>
            </w:pPr>
            <w:r w:rsidRPr="00A26F93">
              <w:rPr>
                <w:b/>
                <w:szCs w:val="20"/>
              </w:rPr>
              <w:t>5.73 (1.59, 20.6)</w:t>
            </w:r>
          </w:p>
        </w:tc>
        <w:tc>
          <w:tcPr>
            <w:tcW w:w="611"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5.0</w:t>
            </w:r>
          </w:p>
        </w:tc>
        <w:tc>
          <w:tcPr>
            <w:tcW w:w="583" w:type="pct"/>
            <w:gridSpan w:val="2"/>
            <w:shd w:val="clear" w:color="auto" w:fill="auto"/>
            <w:vAlign w:val="center"/>
          </w:tcPr>
          <w:p w:rsidR="00AB09C1" w:rsidRPr="00A26F93" w:rsidRDefault="00AB09C1" w:rsidP="00AB09C1">
            <w:pPr>
              <w:pStyle w:val="TableText0"/>
              <w:keepLines/>
              <w:jc w:val="center"/>
              <w:rPr>
                <w:szCs w:val="20"/>
              </w:rPr>
            </w:pPr>
            <w:r w:rsidRPr="00A26F93">
              <w:rPr>
                <w:szCs w:val="20"/>
              </w:rPr>
              <w:t>1.0</w:t>
            </w:r>
          </w:p>
        </w:tc>
        <w:tc>
          <w:tcPr>
            <w:tcW w:w="674" w:type="pct"/>
            <w:shd w:val="clear" w:color="auto" w:fill="auto"/>
            <w:vAlign w:val="center"/>
          </w:tcPr>
          <w:p w:rsidR="00AB09C1" w:rsidRPr="00A26F93" w:rsidRDefault="00AB09C1" w:rsidP="00AB09C1">
            <w:pPr>
              <w:pStyle w:val="TableText0"/>
              <w:keepLines/>
              <w:jc w:val="center"/>
              <w:rPr>
                <w:b/>
                <w:szCs w:val="20"/>
              </w:rPr>
            </w:pPr>
            <w:r w:rsidRPr="00A26F93">
              <w:rPr>
                <w:b/>
                <w:szCs w:val="20"/>
              </w:rPr>
              <w:t>4.5 (1.2, 10.5)</w:t>
            </w:r>
          </w:p>
        </w:tc>
      </w:tr>
      <w:tr w:rsidR="00AB09C1" w:rsidRPr="00A26F93" w:rsidTr="00AB09C1">
        <w:tc>
          <w:tcPr>
            <w:tcW w:w="1162" w:type="pct"/>
            <w:tcBorders>
              <w:bottom w:val="single" w:sz="4" w:space="0" w:color="auto"/>
            </w:tcBorders>
            <w:shd w:val="clear" w:color="auto" w:fill="auto"/>
            <w:vAlign w:val="center"/>
          </w:tcPr>
          <w:p w:rsidR="00AB09C1" w:rsidRPr="00A26F93" w:rsidRDefault="00AB09C1" w:rsidP="00AB09C1">
            <w:pPr>
              <w:pStyle w:val="TableText0"/>
              <w:keepLines/>
              <w:rPr>
                <w:szCs w:val="20"/>
              </w:rPr>
            </w:pPr>
            <w:r w:rsidRPr="00A26F93">
              <w:rPr>
                <w:szCs w:val="20"/>
              </w:rPr>
              <w:t>Allergic rhinitis</w:t>
            </w:r>
          </w:p>
        </w:tc>
        <w:tc>
          <w:tcPr>
            <w:tcW w:w="550" w:type="pct"/>
            <w:tcBorders>
              <w:bottom w:val="single" w:sz="4" w:space="0" w:color="auto"/>
            </w:tcBorders>
            <w:shd w:val="clear" w:color="auto" w:fill="auto"/>
            <w:vAlign w:val="center"/>
          </w:tcPr>
          <w:p w:rsidR="00AB09C1" w:rsidRPr="00A26F93" w:rsidRDefault="00AB09C1" w:rsidP="00AB09C1">
            <w:pPr>
              <w:pStyle w:val="TableText0"/>
              <w:keepLines/>
              <w:jc w:val="center"/>
              <w:rPr>
                <w:szCs w:val="20"/>
              </w:rPr>
            </w:pPr>
            <w:r w:rsidRPr="00A26F93">
              <w:rPr>
                <w:szCs w:val="20"/>
              </w:rPr>
              <w:t>11/217</w:t>
            </w:r>
          </w:p>
        </w:tc>
        <w:tc>
          <w:tcPr>
            <w:tcW w:w="581" w:type="pct"/>
            <w:tcBorders>
              <w:bottom w:val="single" w:sz="4" w:space="0" w:color="auto"/>
            </w:tcBorders>
            <w:shd w:val="clear" w:color="auto" w:fill="auto"/>
            <w:vAlign w:val="center"/>
          </w:tcPr>
          <w:p w:rsidR="00AB09C1" w:rsidRPr="00A26F93" w:rsidRDefault="00AB09C1" w:rsidP="00AB09C1">
            <w:pPr>
              <w:pStyle w:val="TableText0"/>
              <w:keepLines/>
              <w:jc w:val="center"/>
              <w:rPr>
                <w:szCs w:val="20"/>
              </w:rPr>
            </w:pPr>
            <w:r w:rsidRPr="00A26F93">
              <w:rPr>
                <w:szCs w:val="20"/>
              </w:rPr>
              <w:t>1/108</w:t>
            </w:r>
          </w:p>
        </w:tc>
        <w:tc>
          <w:tcPr>
            <w:tcW w:w="839" w:type="pct"/>
            <w:tcBorders>
              <w:bottom w:val="single" w:sz="4" w:space="0" w:color="auto"/>
            </w:tcBorders>
            <w:shd w:val="clear" w:color="auto" w:fill="auto"/>
            <w:vAlign w:val="center"/>
          </w:tcPr>
          <w:p w:rsidR="00AB09C1" w:rsidRPr="00A26F93" w:rsidRDefault="00AB09C1" w:rsidP="00AB09C1">
            <w:pPr>
              <w:pStyle w:val="TableText0"/>
              <w:keepLines/>
              <w:jc w:val="center"/>
              <w:rPr>
                <w:b/>
                <w:szCs w:val="20"/>
              </w:rPr>
            </w:pPr>
            <w:r w:rsidRPr="00A26F93">
              <w:rPr>
                <w:b/>
                <w:szCs w:val="20"/>
              </w:rPr>
              <w:t>7.07 (1.16, 43.7)</w:t>
            </w:r>
          </w:p>
        </w:tc>
        <w:tc>
          <w:tcPr>
            <w:tcW w:w="611" w:type="pct"/>
            <w:gridSpan w:val="2"/>
            <w:tcBorders>
              <w:bottom w:val="single" w:sz="4" w:space="0" w:color="auto"/>
            </w:tcBorders>
            <w:shd w:val="clear" w:color="auto" w:fill="auto"/>
            <w:vAlign w:val="center"/>
          </w:tcPr>
          <w:p w:rsidR="00AB09C1" w:rsidRPr="00A26F93" w:rsidRDefault="00AB09C1" w:rsidP="00AB09C1">
            <w:pPr>
              <w:pStyle w:val="TableText0"/>
              <w:keepLines/>
              <w:jc w:val="center"/>
              <w:rPr>
                <w:szCs w:val="20"/>
              </w:rPr>
            </w:pPr>
            <w:r w:rsidRPr="00A26F93">
              <w:rPr>
                <w:szCs w:val="20"/>
              </w:rPr>
              <w:t>5.1</w:t>
            </w:r>
          </w:p>
        </w:tc>
        <w:tc>
          <w:tcPr>
            <w:tcW w:w="583" w:type="pct"/>
            <w:gridSpan w:val="2"/>
            <w:tcBorders>
              <w:bottom w:val="single" w:sz="4" w:space="0" w:color="auto"/>
            </w:tcBorders>
            <w:shd w:val="clear" w:color="auto" w:fill="auto"/>
            <w:vAlign w:val="center"/>
          </w:tcPr>
          <w:p w:rsidR="00AB09C1" w:rsidRPr="00A26F93" w:rsidRDefault="00AB09C1" w:rsidP="00AB09C1">
            <w:pPr>
              <w:pStyle w:val="TableText0"/>
              <w:keepLines/>
              <w:jc w:val="center"/>
              <w:rPr>
                <w:szCs w:val="20"/>
              </w:rPr>
            </w:pPr>
            <w:r w:rsidRPr="00A26F93">
              <w:rPr>
                <w:szCs w:val="20"/>
              </w:rPr>
              <w:t>0.9</w:t>
            </w:r>
          </w:p>
        </w:tc>
        <w:tc>
          <w:tcPr>
            <w:tcW w:w="674" w:type="pct"/>
            <w:tcBorders>
              <w:bottom w:val="single" w:sz="4" w:space="0" w:color="auto"/>
            </w:tcBorders>
            <w:shd w:val="clear" w:color="auto" w:fill="auto"/>
            <w:vAlign w:val="center"/>
          </w:tcPr>
          <w:p w:rsidR="00AB09C1" w:rsidRPr="00A26F93" w:rsidRDefault="00AB09C1" w:rsidP="00AB09C1">
            <w:pPr>
              <w:pStyle w:val="TableText0"/>
              <w:keepLines/>
              <w:jc w:val="center"/>
              <w:rPr>
                <w:b/>
                <w:szCs w:val="20"/>
              </w:rPr>
            </w:pPr>
            <w:r w:rsidRPr="00A26F93">
              <w:rPr>
                <w:b/>
                <w:szCs w:val="20"/>
              </w:rPr>
              <w:t>5.6 (0.7, 12.1)</w:t>
            </w:r>
          </w:p>
        </w:tc>
      </w:tr>
    </w:tbl>
    <w:p w:rsidR="00620C25" w:rsidRPr="00B1054A" w:rsidRDefault="00620C25" w:rsidP="00620C25">
      <w:pPr>
        <w:pStyle w:val="TableFigureFooter"/>
        <w:rPr>
          <w:sz w:val="20"/>
        </w:rPr>
      </w:pPr>
      <w:r w:rsidRPr="00B1054A">
        <w:t xml:space="preserve">Source: </w:t>
      </w:r>
      <w:r w:rsidR="00AB09C1" w:rsidRPr="00B1054A">
        <w:t>complied during the evaluation</w:t>
      </w:r>
    </w:p>
    <w:p w:rsidR="00620C25" w:rsidRPr="00B1054A" w:rsidRDefault="00D24524" w:rsidP="00620C25">
      <w:pPr>
        <w:pStyle w:val="TableFigureFooter"/>
      </w:pPr>
      <w:r w:rsidRPr="00B1054A">
        <w:t xml:space="preserve">NC = not calculable as n/N not reported; NR = not reported; and </w:t>
      </w:r>
      <w:r w:rsidR="00620C25" w:rsidRPr="00B1054A">
        <w:t>RD = risk difference; RR = risk ratio</w:t>
      </w:r>
    </w:p>
    <w:p w:rsidR="00F04162" w:rsidRDefault="00F04162" w:rsidP="008048D3">
      <w:pPr>
        <w:pStyle w:val="TableFigureFooter"/>
        <w:tabs>
          <w:tab w:val="left" w:pos="284"/>
        </w:tabs>
        <w:ind w:left="284" w:hanging="284"/>
      </w:pPr>
      <w:r w:rsidRPr="00B1054A">
        <w:rPr>
          <w:vertAlign w:val="superscript"/>
        </w:rPr>
        <w:t>a</w:t>
      </w:r>
      <w:r w:rsidRPr="00B1054A">
        <w:tab/>
        <w:t>response rates at Week 16 include all trials (59.6% and 59.9% for CsA-naïve and experienced patients, respectively), whereas the response rates at Week 44 are those reported in CHRONOS for those who responded at Week 16 AND 44 (78.6% and 73.9% for CsA-naïve and experienced patients, respectively</w:t>
      </w:r>
      <w:r w:rsidR="008048D3" w:rsidRPr="00B1054A">
        <w:t>). For reference, response rates at Week 16 in CHRONOS were 23/28 (82.1%) and 18/23 (78.3%) for CsA-naïve and experienced patients, respectively</w:t>
      </w:r>
    </w:p>
    <w:p w:rsidR="00FD09B1" w:rsidRPr="00044700" w:rsidRDefault="00FD09B1" w:rsidP="00FD09B1">
      <w:pPr>
        <w:pStyle w:val="TableFigureFooter"/>
        <w:tabs>
          <w:tab w:val="left" w:pos="284"/>
        </w:tabs>
        <w:ind w:left="284" w:hanging="284"/>
        <w:rPr>
          <w:rStyle w:val="CommentReference"/>
          <w:b w:val="0"/>
          <w:sz w:val="18"/>
          <w:szCs w:val="18"/>
        </w:rPr>
      </w:pPr>
      <w:r w:rsidRPr="00044700">
        <w:rPr>
          <w:rStyle w:val="CommentReference"/>
          <w:b w:val="0"/>
          <w:i/>
          <w:sz w:val="18"/>
          <w:szCs w:val="18"/>
        </w:rPr>
        <w:t>*</w:t>
      </w:r>
      <w:r>
        <w:rPr>
          <w:rStyle w:val="CommentReference"/>
          <w:b w:val="0"/>
          <w:i/>
          <w:sz w:val="18"/>
          <w:szCs w:val="18"/>
        </w:rPr>
        <w:tab/>
      </w:r>
      <w:r w:rsidRPr="00044700">
        <w:rPr>
          <w:rStyle w:val="CommentReference"/>
          <w:b w:val="0"/>
          <w:i/>
          <w:sz w:val="18"/>
          <w:szCs w:val="18"/>
        </w:rPr>
        <w:t xml:space="preserve"> Note that the results presented in </w:t>
      </w:r>
      <w:r>
        <w:rPr>
          <w:rStyle w:val="CommentReference"/>
          <w:b w:val="0"/>
          <w:i/>
          <w:sz w:val="18"/>
          <w:szCs w:val="18"/>
        </w:rPr>
        <w:t xml:space="preserve">these rows of </w:t>
      </w:r>
      <w:r w:rsidRPr="00044700">
        <w:rPr>
          <w:rStyle w:val="CommentReference"/>
          <w:b w:val="0"/>
          <w:i/>
          <w:sz w:val="18"/>
          <w:szCs w:val="18"/>
        </w:rPr>
        <w:t>Table</w:t>
      </w:r>
      <w:r>
        <w:rPr>
          <w:rStyle w:val="CommentReference"/>
          <w:b w:val="0"/>
          <w:i/>
          <w:sz w:val="18"/>
          <w:szCs w:val="18"/>
        </w:rPr>
        <w:t xml:space="preserve"> 11</w:t>
      </w:r>
      <w:r w:rsidRPr="00044700">
        <w:rPr>
          <w:rStyle w:val="CommentReference"/>
          <w:b w:val="0"/>
          <w:i/>
          <w:sz w:val="18"/>
          <w:szCs w:val="18"/>
        </w:rPr>
        <w:t xml:space="preserve"> are derived from post-hoc analyses conducted by the applican</w:t>
      </w:r>
      <w:r>
        <w:rPr>
          <w:rStyle w:val="CommentReference"/>
          <w:b w:val="0"/>
          <w:i/>
          <w:sz w:val="18"/>
          <w:szCs w:val="18"/>
        </w:rPr>
        <w:t>t</w:t>
      </w:r>
      <w:r w:rsidRPr="00044700">
        <w:rPr>
          <w:rStyle w:val="CommentReference"/>
          <w:b w:val="0"/>
          <w:i/>
          <w:sz w:val="18"/>
          <w:szCs w:val="18"/>
        </w:rPr>
        <w:t xml:space="preserve"> specifically for the purposes of informing the PBAC consideration. These analyses were not part of the pre-specified statistical plan</w:t>
      </w:r>
      <w:r w:rsidR="00993CC6">
        <w:rPr>
          <w:rStyle w:val="CommentReference"/>
          <w:b w:val="0"/>
          <w:i/>
          <w:sz w:val="18"/>
          <w:szCs w:val="18"/>
        </w:rPr>
        <w:t>s</w:t>
      </w:r>
      <w:r w:rsidRPr="00044700">
        <w:rPr>
          <w:rStyle w:val="CommentReference"/>
          <w:b w:val="0"/>
          <w:i/>
          <w:sz w:val="18"/>
          <w:szCs w:val="18"/>
        </w:rPr>
        <w:t xml:space="preserve"> for </w:t>
      </w:r>
      <w:r>
        <w:rPr>
          <w:rStyle w:val="CommentReference"/>
          <w:b w:val="0"/>
          <w:i/>
          <w:sz w:val="18"/>
          <w:szCs w:val="18"/>
        </w:rPr>
        <w:t xml:space="preserve">Studies </w:t>
      </w:r>
      <w:r w:rsidRPr="00044700">
        <w:rPr>
          <w:rStyle w:val="CommentReference"/>
          <w:b w:val="0"/>
          <w:i/>
          <w:sz w:val="18"/>
          <w:szCs w:val="18"/>
        </w:rPr>
        <w:t>1021, SOLO 1, SOLO 2</w:t>
      </w:r>
      <w:r>
        <w:rPr>
          <w:rStyle w:val="CommentReference"/>
          <w:b w:val="0"/>
          <w:i/>
          <w:sz w:val="18"/>
          <w:szCs w:val="18"/>
        </w:rPr>
        <w:t xml:space="preserve"> and</w:t>
      </w:r>
      <w:r w:rsidRPr="00044700">
        <w:rPr>
          <w:rStyle w:val="CommentReference"/>
          <w:b w:val="0"/>
          <w:i/>
          <w:sz w:val="18"/>
          <w:szCs w:val="18"/>
        </w:rPr>
        <w:t xml:space="preserve"> CHRONOS. Interpretation of the results and their application should therefore be limited to seeking to understand the basis for the PBAC outcome and should not be used for any other purpose.</w:t>
      </w:r>
    </w:p>
    <w:p w:rsidR="00FD09B1" w:rsidRPr="00B1054A" w:rsidRDefault="00FD09B1" w:rsidP="008048D3">
      <w:pPr>
        <w:pStyle w:val="TableFigureFooter"/>
        <w:tabs>
          <w:tab w:val="left" w:pos="284"/>
        </w:tabs>
        <w:ind w:left="284" w:hanging="284"/>
      </w:pPr>
    </w:p>
    <w:p w:rsidR="00DD0327" w:rsidRPr="00B1054A" w:rsidRDefault="00DD0327" w:rsidP="00DD0327">
      <w:pPr>
        <w:pStyle w:val="ListParagraph"/>
        <w:numPr>
          <w:ilvl w:val="1"/>
          <w:numId w:val="1"/>
        </w:numPr>
        <w:spacing w:before="160" w:after="0"/>
      </w:pPr>
      <w:r w:rsidRPr="00B1054A">
        <w:t xml:space="preserve">On the basis of direct evidence presented by the </w:t>
      </w:r>
      <w:r w:rsidR="00520336" w:rsidRPr="00B1054A">
        <w:t>re</w:t>
      </w:r>
      <w:r w:rsidRPr="00B1054A">
        <w:t>submission, for every 100 patients treated with dupilumab in comparison to placebo over 16 weeks of treatment:</w:t>
      </w:r>
    </w:p>
    <w:p w:rsidR="00DD0327" w:rsidRPr="00B1054A" w:rsidRDefault="00DD0327" w:rsidP="009A4A1A">
      <w:pPr>
        <w:pStyle w:val="ListParagraph"/>
        <w:numPr>
          <w:ilvl w:val="0"/>
          <w:numId w:val="12"/>
        </w:numPr>
        <w:spacing w:after="0"/>
        <w:ind w:left="993" w:hanging="284"/>
      </w:pPr>
      <w:r w:rsidRPr="00B1054A">
        <w:t xml:space="preserve">Approximately 38 additional patients </w:t>
      </w:r>
      <w:r w:rsidR="00C332AB" w:rsidRPr="00B1054A">
        <w:t xml:space="preserve">with moderate to severe AD </w:t>
      </w:r>
      <w:r w:rsidRPr="00B1054A">
        <w:t xml:space="preserve">would have at least a 75% improvement in EASI score from baseline (for example, a patient with </w:t>
      </w:r>
      <w:r w:rsidRPr="00B1054A">
        <w:lastRenderedPageBreak/>
        <w:t>a baseline EASI score of 20, would need to achieve an EASI score of 5 at 16 weeks to achieve a 75% improvement);</w:t>
      </w:r>
    </w:p>
    <w:p w:rsidR="00DD0327" w:rsidRPr="00B1054A" w:rsidRDefault="00DD0327" w:rsidP="009A4A1A">
      <w:pPr>
        <w:pStyle w:val="ListParagraph"/>
        <w:numPr>
          <w:ilvl w:val="0"/>
          <w:numId w:val="12"/>
        </w:numPr>
        <w:spacing w:after="0"/>
        <w:ind w:left="993" w:hanging="284"/>
      </w:pPr>
      <w:r w:rsidRPr="00B1054A">
        <w:t xml:space="preserve">Approximately 27 additional patients </w:t>
      </w:r>
      <w:r w:rsidR="00C332AB" w:rsidRPr="00B1054A">
        <w:t xml:space="preserve">with moderate to severe AD </w:t>
      </w:r>
      <w:r w:rsidRPr="00B1054A">
        <w:t>would have at least a 2 point improvement in IGA score from baseline</w:t>
      </w:r>
      <w:r w:rsidR="00E639E0" w:rsidRPr="00B1054A">
        <w:t xml:space="preserve"> (for example, patients with AD classified as severe (4) would move to mild (2), almost clear (1) or clear (0))</w:t>
      </w:r>
      <w:r w:rsidRPr="00B1054A">
        <w:t>;</w:t>
      </w:r>
    </w:p>
    <w:p w:rsidR="00DD0327" w:rsidRPr="00B1054A" w:rsidRDefault="00DD0327" w:rsidP="009A4A1A">
      <w:pPr>
        <w:pStyle w:val="ListParagraph"/>
        <w:numPr>
          <w:ilvl w:val="0"/>
          <w:numId w:val="12"/>
        </w:numPr>
        <w:spacing w:after="0"/>
        <w:ind w:left="993" w:hanging="284"/>
      </w:pPr>
      <w:r w:rsidRPr="00B1054A">
        <w:t>Approximately 40 additional patients with a baseline PGA score of 4 and EAS</w:t>
      </w:r>
      <w:r w:rsidR="00EE53AD" w:rsidRPr="00B1054A">
        <w:t xml:space="preserve">I score of 20 or above who are CsA-naïve </w:t>
      </w:r>
      <w:r w:rsidRPr="00B1054A">
        <w:t xml:space="preserve">would have at least a </w:t>
      </w:r>
      <w:r w:rsidR="00EE53AD" w:rsidRPr="00B1054A">
        <w:t>50% improvement in EASI AND a 4</w:t>
      </w:r>
      <w:r w:rsidRPr="00B1054A">
        <w:t xml:space="preserve"> point improvement in </w:t>
      </w:r>
      <w:r w:rsidR="00EE53AD" w:rsidRPr="00B1054A">
        <w:t>DLQI</w:t>
      </w:r>
      <w:r w:rsidRPr="00B1054A">
        <w:t xml:space="preserve"> score from baseline</w:t>
      </w:r>
      <w:r w:rsidR="00A22D27" w:rsidRPr="00B1054A">
        <w:t xml:space="preserve"> (for example, a patient with a baseline EASI score of 20, would need to achieve an EASI score of 10 at 16 weeks to achieve a 50% improvement AND would need a 4 point improvement in DLQI score from baseline)</w:t>
      </w:r>
      <w:r w:rsidRPr="00B1054A">
        <w:t>;</w:t>
      </w:r>
    </w:p>
    <w:p w:rsidR="00EE53AD" w:rsidRPr="00B1054A" w:rsidRDefault="00EE53AD" w:rsidP="009A4A1A">
      <w:pPr>
        <w:pStyle w:val="ListParagraph"/>
        <w:numPr>
          <w:ilvl w:val="0"/>
          <w:numId w:val="12"/>
        </w:numPr>
        <w:spacing w:after="0"/>
        <w:ind w:left="993" w:hanging="284"/>
      </w:pPr>
      <w:r w:rsidRPr="00B1054A">
        <w:t>Approximately 46 additional patients with a baseline PGA score of 4 and EASI score of 20 or above who are CsA-experienced would have at least a 50% improvement in EASI AND a 4 point improvement in DLQI score from baseline</w:t>
      </w:r>
      <w:r w:rsidR="00A22D27" w:rsidRPr="00B1054A">
        <w:t xml:space="preserve"> (for example, a patient with a baseline EASI score of 20, would need to achieve an EASI score of 10 at 16 weeks to achieve a 50% improvement AND would need a 4 point improvement in DLQI score from baseline)</w:t>
      </w:r>
      <w:r w:rsidR="00B328D1" w:rsidRPr="00B1054A">
        <w:t>;</w:t>
      </w:r>
    </w:p>
    <w:p w:rsidR="00DD0327" w:rsidRPr="00B1054A" w:rsidRDefault="00DD0327" w:rsidP="009A4A1A">
      <w:pPr>
        <w:pStyle w:val="ListParagraph"/>
        <w:numPr>
          <w:ilvl w:val="0"/>
          <w:numId w:val="12"/>
        </w:numPr>
        <w:spacing w:after="0"/>
        <w:ind w:left="993" w:hanging="284"/>
      </w:pPr>
      <w:r w:rsidRPr="00B1054A">
        <w:t xml:space="preserve">Approximately 3 additional patients </w:t>
      </w:r>
      <w:r w:rsidR="00305957" w:rsidRPr="00B1054A">
        <w:t xml:space="preserve">with moderate to severe AD </w:t>
      </w:r>
      <w:r w:rsidRPr="00B1054A">
        <w:t>will have conjunctivitis;</w:t>
      </w:r>
    </w:p>
    <w:p w:rsidR="00DD0327" w:rsidRPr="00B1054A" w:rsidRDefault="00DD0327" w:rsidP="009A4A1A">
      <w:pPr>
        <w:pStyle w:val="ListParagraph"/>
        <w:numPr>
          <w:ilvl w:val="0"/>
          <w:numId w:val="12"/>
        </w:numPr>
        <w:spacing w:after="0"/>
        <w:ind w:left="993" w:hanging="284"/>
      </w:pPr>
      <w:r w:rsidRPr="00B1054A">
        <w:t xml:space="preserve">Approximately 2 additional patients </w:t>
      </w:r>
      <w:r w:rsidR="00305957" w:rsidRPr="00B1054A">
        <w:t xml:space="preserve">with moderate to severe AD </w:t>
      </w:r>
      <w:r w:rsidRPr="00B1054A">
        <w:t>will have oral herpes;</w:t>
      </w:r>
    </w:p>
    <w:p w:rsidR="00DD0327" w:rsidRPr="00B1054A" w:rsidRDefault="00DD0327" w:rsidP="009A4A1A">
      <w:pPr>
        <w:pStyle w:val="ListParagraph"/>
        <w:numPr>
          <w:ilvl w:val="0"/>
          <w:numId w:val="12"/>
        </w:numPr>
        <w:spacing w:after="0"/>
        <w:ind w:left="993" w:hanging="284"/>
      </w:pPr>
      <w:r w:rsidRPr="00B1054A">
        <w:t>Approximately 7 additional patients</w:t>
      </w:r>
      <w:r w:rsidR="00305957" w:rsidRPr="00B1054A">
        <w:t xml:space="preserve"> with moderate to severe AD</w:t>
      </w:r>
      <w:r w:rsidRPr="00B1054A">
        <w:t xml:space="preserve"> will have an injection site reaction;</w:t>
      </w:r>
    </w:p>
    <w:p w:rsidR="00DD0327" w:rsidRPr="00B1054A" w:rsidRDefault="00DD0327" w:rsidP="009A4A1A">
      <w:pPr>
        <w:pStyle w:val="ListParagraph"/>
        <w:numPr>
          <w:ilvl w:val="0"/>
          <w:numId w:val="12"/>
        </w:numPr>
        <w:spacing w:after="0"/>
        <w:ind w:left="993" w:hanging="284"/>
      </w:pPr>
      <w:r w:rsidRPr="00B1054A">
        <w:t xml:space="preserve">Approximately 6 additional patients </w:t>
      </w:r>
      <w:r w:rsidR="00305957" w:rsidRPr="00B1054A">
        <w:t xml:space="preserve">with moderate to severe AD </w:t>
      </w:r>
      <w:r w:rsidRPr="00B1054A">
        <w:t>will have allergic conjunctivitis;</w:t>
      </w:r>
    </w:p>
    <w:p w:rsidR="00DD0327" w:rsidRPr="00B1054A" w:rsidRDefault="00DD0327" w:rsidP="009A4A1A">
      <w:pPr>
        <w:pStyle w:val="ListParagraph"/>
        <w:numPr>
          <w:ilvl w:val="0"/>
          <w:numId w:val="12"/>
        </w:numPr>
        <w:spacing w:after="0"/>
        <w:ind w:left="993" w:hanging="284"/>
      </w:pPr>
      <w:r w:rsidRPr="00B1054A">
        <w:t xml:space="preserve">Approximately 5 additional patients </w:t>
      </w:r>
      <w:r w:rsidR="00305957" w:rsidRPr="00B1054A">
        <w:t xml:space="preserve">with moderate to severe AD </w:t>
      </w:r>
      <w:r w:rsidRPr="00B1054A">
        <w:t>will have blepharitis; and</w:t>
      </w:r>
    </w:p>
    <w:p w:rsidR="003D4A30" w:rsidRPr="00B1054A" w:rsidRDefault="00DD0327" w:rsidP="009A4A1A">
      <w:pPr>
        <w:pStyle w:val="ListParagraph"/>
        <w:numPr>
          <w:ilvl w:val="0"/>
          <w:numId w:val="12"/>
        </w:numPr>
        <w:ind w:left="993" w:hanging="284"/>
      </w:pPr>
      <w:r w:rsidRPr="00B1054A">
        <w:t xml:space="preserve">Approximately 6 additional patients </w:t>
      </w:r>
      <w:r w:rsidR="00305957" w:rsidRPr="00B1054A">
        <w:t xml:space="preserve">with moderate to severe AD </w:t>
      </w:r>
      <w:r w:rsidRPr="00B1054A">
        <w:t>will have allergic rhinitis.</w:t>
      </w:r>
    </w:p>
    <w:p w:rsidR="00FC1884" w:rsidRPr="00B1054A" w:rsidRDefault="00EE53AD" w:rsidP="00EE53AD">
      <w:pPr>
        <w:pStyle w:val="ListParagraph"/>
        <w:numPr>
          <w:ilvl w:val="1"/>
          <w:numId w:val="1"/>
        </w:numPr>
        <w:spacing w:before="160" w:after="0"/>
      </w:pPr>
      <w:r w:rsidRPr="00B1054A">
        <w:t xml:space="preserve">The ESC </w:t>
      </w:r>
      <w:r w:rsidR="008F0377" w:rsidRPr="00B1054A">
        <w:t xml:space="preserve">previously </w:t>
      </w:r>
      <w:r w:rsidRPr="00B1054A">
        <w:t>noted that the additional risk from injection site reactions may be underestimated compared with clinical practice due to the use of a sham injection in the trials (</w:t>
      </w:r>
      <w:r w:rsidR="0042619E" w:rsidRPr="00B1054A">
        <w:t>paragraph 6.28, d</w:t>
      </w:r>
      <w:r w:rsidRPr="00B1054A">
        <w:t>upilumab</w:t>
      </w:r>
      <w:r w:rsidR="0042619E" w:rsidRPr="00B1054A">
        <w:t>,</w:t>
      </w:r>
      <w:r w:rsidRPr="00B1054A">
        <w:t xml:space="preserve"> July </w:t>
      </w:r>
      <w:r w:rsidR="0042619E" w:rsidRPr="00B1054A">
        <w:t>20</w:t>
      </w:r>
      <w:r w:rsidR="00CB60B7" w:rsidRPr="00B1054A">
        <w:t>1</w:t>
      </w:r>
      <w:r w:rsidRPr="00B1054A">
        <w:t>9 PSD).</w:t>
      </w:r>
    </w:p>
    <w:p w:rsidR="00B60939" w:rsidRPr="00B1054A" w:rsidRDefault="00B60939" w:rsidP="00E9094A">
      <w:pPr>
        <w:pStyle w:val="4-SubsectionHeading"/>
      </w:pPr>
      <w:bookmarkStart w:id="29" w:name="_Toc22897644"/>
      <w:bookmarkStart w:id="30" w:name="_Toc30592999"/>
      <w:r w:rsidRPr="00B1054A">
        <w:t>Clinical claim</w:t>
      </w:r>
      <w:bookmarkEnd w:id="29"/>
      <w:bookmarkEnd w:id="30"/>
    </w:p>
    <w:p w:rsidR="00954FAE" w:rsidRPr="00B1054A" w:rsidRDefault="00954FAE" w:rsidP="00A26F93">
      <w:pPr>
        <w:pStyle w:val="3-BodyText"/>
      </w:pPr>
      <w:r w:rsidRPr="00B1054A">
        <w:t xml:space="preserve">The resubmission presented a claim of clinical superiority of dupilumab versus placebo based on pooled trial results at Week 16 (and sustained results over time at Week 52 in CHRONOS) for EASI-75 response and for the IGA score of 0 or 1 and a </w:t>
      </w:r>
      <w:r w:rsidRPr="00B1054A">
        <w:rPr>
          <w:rFonts w:cs="Calibri"/>
        </w:rPr>
        <w:t>≥</w:t>
      </w:r>
      <w:r w:rsidRPr="00B1054A">
        <w:t xml:space="preserve">2 point reduction from baseline, and based on DLQI results across trials, all of which showed statistically significant results in favour of dupilumab. </w:t>
      </w:r>
      <w:r w:rsidR="00A22D27" w:rsidRPr="00B1054A">
        <w:t>Th</w:t>
      </w:r>
      <w:r w:rsidR="00685DD4" w:rsidRPr="00B1054A">
        <w:t>e ESC agreed with the commentary that th</w:t>
      </w:r>
      <w:r w:rsidR="00A22D27" w:rsidRPr="00B1054A">
        <w:t xml:space="preserve">is claim was supported by the evidence presented in the resubmission. </w:t>
      </w:r>
    </w:p>
    <w:p w:rsidR="007C70FF" w:rsidRPr="00B1054A" w:rsidRDefault="00954FAE" w:rsidP="00954FAE">
      <w:pPr>
        <w:pStyle w:val="ListParagraph"/>
        <w:numPr>
          <w:ilvl w:val="1"/>
          <w:numId w:val="1"/>
        </w:numPr>
        <w:spacing w:before="160" w:after="0"/>
      </w:pPr>
      <w:r w:rsidRPr="00B1054A">
        <w:lastRenderedPageBreak/>
        <w:t xml:space="preserve">In support of this claim, the resubmission also noted that post-hoc sub-group data indicated statistically significant results in favour of dupilumab in the PGA=4 and EASI </w:t>
      </w:r>
      <w:r w:rsidRPr="00B1054A">
        <w:rPr>
          <w:rFonts w:cs="Calibri"/>
        </w:rPr>
        <w:t>≥</w:t>
      </w:r>
      <w:r w:rsidRPr="00B1054A">
        <w:t xml:space="preserve">20 sub-group of interest for a range of relevant DLQI, EASI and/or PGA outcomes. </w:t>
      </w:r>
    </w:p>
    <w:p w:rsidR="005F7588" w:rsidRPr="00B1054A" w:rsidRDefault="00954FAE" w:rsidP="00954FAE">
      <w:pPr>
        <w:pStyle w:val="ListParagraph"/>
        <w:numPr>
          <w:ilvl w:val="1"/>
          <w:numId w:val="1"/>
        </w:numPr>
        <w:spacing w:before="160" w:after="0"/>
      </w:pPr>
      <w:r w:rsidRPr="00B1054A">
        <w:t>In respect to a safety claim for dupilumab versus placebo, the resubmission stated ‘dupilumab is associated with an increased risk of injection site reactions and conjunctivitis’. As such, the safety claim made for dupilumab versus placebo in the</w:t>
      </w:r>
      <w:r w:rsidRPr="00B1054A">
        <w:rPr>
          <w:i/>
        </w:rPr>
        <w:t xml:space="preserve"> </w:t>
      </w:r>
      <w:r w:rsidRPr="00B1054A">
        <w:t>current resubmission may be better described as ‘dupilumab has inferior safety compared with placebo’.</w:t>
      </w:r>
      <w:r w:rsidR="00685DD4" w:rsidRPr="00B1054A">
        <w:t xml:space="preserve"> The ESC agreed with the commentary that the claim of inferior safety was reasonable.</w:t>
      </w:r>
    </w:p>
    <w:p w:rsidR="00954FAE" w:rsidRPr="00B1054A" w:rsidRDefault="00954FAE" w:rsidP="00954FAE">
      <w:pPr>
        <w:pStyle w:val="ListParagraph"/>
        <w:numPr>
          <w:ilvl w:val="1"/>
          <w:numId w:val="1"/>
        </w:numPr>
        <w:spacing w:before="160" w:after="0"/>
      </w:pPr>
      <w:r w:rsidRPr="00B1054A">
        <w:t>The resubmission also claimed that dupilumab had at least non-inferior efficacy, and a superior safety profile, compared to CsA. This remains unchanged from the claims made in the previous resubmission. The PBAC considered that “limited safety data…prevented an overall conclusion regarding the relative safety of these two agents” (Dupilumab July 2019 PSD, paragraph 7.11) and that “the paucity of clinical evidence prevented a reliable indirect comparison of the efficacy of dupilumab versus CsA” (Dupilumab July 2019 PSD, paragraph 7.5).</w:t>
      </w:r>
      <w:r w:rsidR="00685DD4" w:rsidRPr="00B1054A">
        <w:t xml:space="preserve"> The ESC noted that the evidence presented and the clinical claim for dupilumab compared with CsA was unchanged from the previous resubmission.</w:t>
      </w:r>
    </w:p>
    <w:p w:rsidR="004817B7" w:rsidRPr="00B1054A" w:rsidRDefault="004817B7" w:rsidP="004817B7">
      <w:pPr>
        <w:pStyle w:val="ListParagraph"/>
        <w:numPr>
          <w:ilvl w:val="1"/>
          <w:numId w:val="1"/>
        </w:numPr>
        <w:spacing w:before="160" w:after="0"/>
      </w:pPr>
      <w:r w:rsidRPr="00B1054A">
        <w:t xml:space="preserve">The PBAC maintained that the claim of superior comparative effectiveness of dupilumab compared with SoC was reasonable, and that an improvement in quality of life for patients treated with dupilumab was demonstrated. </w:t>
      </w:r>
    </w:p>
    <w:p w:rsidR="004817B7" w:rsidRPr="00B1054A" w:rsidRDefault="004817B7" w:rsidP="004817B7">
      <w:pPr>
        <w:pStyle w:val="ListParagraph"/>
        <w:numPr>
          <w:ilvl w:val="1"/>
          <w:numId w:val="1"/>
        </w:numPr>
        <w:spacing w:before="160" w:after="0"/>
      </w:pPr>
      <w:r w:rsidRPr="00B1054A">
        <w:t>The PBAC considered the claim of inferior comparative safety of dupilumab compared with SoC was reasonable due to increased incidence of conjunctivitis and injection site reactions.</w:t>
      </w:r>
    </w:p>
    <w:p w:rsidR="00A11B8B" w:rsidRPr="00B1054A" w:rsidRDefault="004817B7" w:rsidP="00A26F93">
      <w:pPr>
        <w:pStyle w:val="ListParagraph"/>
        <w:numPr>
          <w:ilvl w:val="1"/>
          <w:numId w:val="1"/>
        </w:numPr>
        <w:spacing w:before="160" w:after="0"/>
      </w:pPr>
      <w:r w:rsidRPr="00B1054A">
        <w:t>The PBAC noted that the evidence presented and the clinical claims in terms of safety and efficacy for dupilumab compared with CsA were unchanged from the previous resubmission.</w:t>
      </w:r>
    </w:p>
    <w:p w:rsidR="00B60939" w:rsidRPr="00B1054A" w:rsidRDefault="00B60939" w:rsidP="00E9094A">
      <w:pPr>
        <w:pStyle w:val="4-SubsectionHeading"/>
      </w:pPr>
      <w:bookmarkStart w:id="31" w:name="_Toc22897645"/>
      <w:bookmarkStart w:id="32" w:name="_Toc30593000"/>
      <w:r w:rsidRPr="00B1054A">
        <w:t>Economic analysis</w:t>
      </w:r>
      <w:bookmarkEnd w:id="31"/>
      <w:bookmarkEnd w:id="32"/>
      <w:r w:rsidR="00491B3A" w:rsidRPr="00B1054A">
        <w:t xml:space="preserve"> </w:t>
      </w:r>
    </w:p>
    <w:p w:rsidR="00275C5A" w:rsidRPr="00B1054A" w:rsidRDefault="00C844E4" w:rsidP="00641FB3">
      <w:pPr>
        <w:pStyle w:val="3-BodyText"/>
      </w:pPr>
      <w:r w:rsidRPr="00B1054A">
        <w:t>The resubmission presented a stepped modelled cost-utility analysis</w:t>
      </w:r>
      <w:r w:rsidR="00AB419F" w:rsidRPr="00B1054A">
        <w:t>. The structure of the model</w:t>
      </w:r>
      <w:r w:rsidR="00146C25" w:rsidRPr="00B1054A">
        <w:t xml:space="preserve"> </w:t>
      </w:r>
      <w:r w:rsidRPr="00B1054A">
        <w:t>was largely unchanged from the economic evaluation presented in the July 2019 resubmission</w:t>
      </w:r>
      <w:r w:rsidR="00AB419F" w:rsidRPr="00B1054A">
        <w:t>, however the population and some assumptions and inputs varied</w:t>
      </w:r>
      <w:r w:rsidRPr="00B1054A">
        <w:t>. The summary of the model is provided in</w:t>
      </w:r>
      <w:r w:rsidR="00B328D1" w:rsidRPr="00B1054A">
        <w:t xml:space="preserve"> Table 12</w:t>
      </w:r>
      <w:r w:rsidRPr="00B1054A">
        <w:t>.</w:t>
      </w:r>
    </w:p>
    <w:p w:rsidR="00B328D1" w:rsidRPr="00B1054A" w:rsidRDefault="00B328D1" w:rsidP="00B328D1">
      <w:pPr>
        <w:pStyle w:val="TableFigureHeading"/>
        <w:rPr>
          <w:rStyle w:val="CommentReference"/>
          <w:b/>
          <w:szCs w:val="24"/>
        </w:rPr>
      </w:pPr>
      <w:bookmarkStart w:id="33" w:name="_Ref27435588"/>
      <w:r w:rsidRPr="00B1054A">
        <w:rPr>
          <w:rStyle w:val="CommentReference"/>
          <w:b/>
          <w:szCs w:val="24"/>
        </w:rPr>
        <w:lastRenderedPageBreak/>
        <w:t xml:space="preserve">Table </w:t>
      </w:r>
      <w:r w:rsidR="00B20399" w:rsidRPr="00B1054A">
        <w:rPr>
          <w:rStyle w:val="CommentReference"/>
          <w:b/>
          <w:szCs w:val="24"/>
        </w:rPr>
        <w:t>12</w:t>
      </w:r>
      <w:bookmarkEnd w:id="33"/>
      <w:r w:rsidRPr="00B1054A">
        <w:rPr>
          <w:rStyle w:val="CommentReference"/>
          <w:b/>
          <w:szCs w:val="24"/>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4"/>
        <w:gridCol w:w="6183"/>
      </w:tblGrid>
      <w:tr w:rsidR="00B328D1" w:rsidRPr="00B1054A" w:rsidTr="00A4753F">
        <w:trPr>
          <w:tblHeader/>
        </w:trPr>
        <w:tc>
          <w:tcPr>
            <w:tcW w:w="2835" w:type="dxa"/>
          </w:tcPr>
          <w:p w:rsidR="00B328D1" w:rsidRPr="00B1054A" w:rsidRDefault="00B328D1" w:rsidP="00A4753F">
            <w:pPr>
              <w:pStyle w:val="TableHeading"/>
              <w:spacing w:before="0" w:after="0"/>
              <w:rPr>
                <w:szCs w:val="20"/>
              </w:rPr>
            </w:pPr>
            <w:r w:rsidRPr="00B1054A">
              <w:rPr>
                <w:szCs w:val="20"/>
              </w:rPr>
              <w:t>Component</w:t>
            </w:r>
          </w:p>
        </w:tc>
        <w:tc>
          <w:tcPr>
            <w:tcW w:w="6185" w:type="dxa"/>
          </w:tcPr>
          <w:p w:rsidR="00B328D1" w:rsidRPr="00B1054A" w:rsidRDefault="00B328D1" w:rsidP="00A4753F">
            <w:pPr>
              <w:pStyle w:val="TableHeading"/>
              <w:spacing w:before="0" w:after="0"/>
              <w:rPr>
                <w:szCs w:val="20"/>
              </w:rPr>
            </w:pPr>
            <w:r w:rsidRPr="00B1054A">
              <w:rPr>
                <w:szCs w:val="20"/>
              </w:rPr>
              <w:t>Description</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Type of analysis</w:t>
            </w:r>
          </w:p>
        </w:tc>
        <w:tc>
          <w:tcPr>
            <w:tcW w:w="6185" w:type="dxa"/>
          </w:tcPr>
          <w:p w:rsidR="00B328D1" w:rsidRPr="00B1054A" w:rsidRDefault="00B328D1" w:rsidP="00A4753F">
            <w:pPr>
              <w:pStyle w:val="TableText0"/>
              <w:rPr>
                <w:szCs w:val="20"/>
              </w:rPr>
            </w:pPr>
            <w:r w:rsidRPr="00B1054A">
              <w:rPr>
                <w:szCs w:val="20"/>
              </w:rPr>
              <w:t>Cost-utility analysis</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Outcomes</w:t>
            </w:r>
          </w:p>
        </w:tc>
        <w:tc>
          <w:tcPr>
            <w:tcW w:w="6185" w:type="dxa"/>
          </w:tcPr>
          <w:p w:rsidR="00B328D1" w:rsidRPr="00B1054A" w:rsidRDefault="00B328D1" w:rsidP="00A4753F">
            <w:pPr>
              <w:pStyle w:val="TableText0"/>
              <w:rPr>
                <w:szCs w:val="20"/>
              </w:rPr>
            </w:pPr>
            <w:r w:rsidRPr="00B1054A">
              <w:rPr>
                <w:szCs w:val="20"/>
              </w:rPr>
              <w:t>% of patients with DLQI 4 and EASI-50, life years, quality adjusted life years, resource utilisation</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Time horizon</w:t>
            </w:r>
          </w:p>
        </w:tc>
        <w:tc>
          <w:tcPr>
            <w:tcW w:w="6185" w:type="dxa"/>
          </w:tcPr>
          <w:p w:rsidR="00B328D1" w:rsidRPr="00B1054A" w:rsidRDefault="00B328D1" w:rsidP="00A4753F">
            <w:pPr>
              <w:pStyle w:val="TableText0"/>
              <w:rPr>
                <w:szCs w:val="20"/>
              </w:rPr>
            </w:pPr>
            <w:r w:rsidRPr="00B1054A">
              <w:rPr>
                <w:szCs w:val="20"/>
              </w:rPr>
              <w:t>5 years</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Method(s) used to generate results</w:t>
            </w:r>
          </w:p>
        </w:tc>
        <w:tc>
          <w:tcPr>
            <w:tcW w:w="6185" w:type="dxa"/>
          </w:tcPr>
          <w:p w:rsidR="00B328D1" w:rsidRPr="00B1054A" w:rsidRDefault="00B328D1" w:rsidP="00A4753F">
            <w:pPr>
              <w:pStyle w:val="TableText0"/>
              <w:rPr>
                <w:szCs w:val="20"/>
              </w:rPr>
            </w:pPr>
            <w:r w:rsidRPr="00B1054A">
              <w:rPr>
                <w:szCs w:val="20"/>
              </w:rPr>
              <w:t>Markov cohort model (with a prior decision tree for initial treatment and the first cycle of maintenance treatment)</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Health states</w:t>
            </w:r>
          </w:p>
        </w:tc>
        <w:tc>
          <w:tcPr>
            <w:tcW w:w="6185" w:type="dxa"/>
          </w:tcPr>
          <w:p w:rsidR="00B328D1" w:rsidRPr="00B1054A" w:rsidRDefault="00B328D1" w:rsidP="00A4753F">
            <w:pPr>
              <w:pStyle w:val="TableText0"/>
              <w:rPr>
                <w:szCs w:val="20"/>
              </w:rPr>
            </w:pPr>
            <w:r w:rsidRPr="00B1054A">
              <w:rPr>
                <w:szCs w:val="20"/>
              </w:rPr>
              <w:t>Four possible health states:</w:t>
            </w:r>
          </w:p>
          <w:p w:rsidR="00B328D1" w:rsidRPr="00B1054A" w:rsidRDefault="00B328D1" w:rsidP="009A4A1A">
            <w:pPr>
              <w:pStyle w:val="TableText0"/>
              <w:keepLines/>
              <w:numPr>
                <w:ilvl w:val="0"/>
                <w:numId w:val="6"/>
              </w:numPr>
              <w:ind w:left="170" w:hanging="170"/>
              <w:rPr>
                <w:szCs w:val="20"/>
              </w:rPr>
            </w:pPr>
            <w:r w:rsidRPr="00B1054A">
              <w:rPr>
                <w:szCs w:val="20"/>
              </w:rPr>
              <w:t xml:space="preserve">Induction treatment (16 weeks) </w:t>
            </w:r>
            <w:r w:rsidRPr="00B1054A">
              <w:rPr>
                <w:szCs w:val="20"/>
                <w:vertAlign w:val="superscript"/>
              </w:rPr>
              <w:t>b</w:t>
            </w:r>
          </w:p>
          <w:p w:rsidR="00B328D1" w:rsidRPr="00B1054A" w:rsidRDefault="00B328D1" w:rsidP="009A4A1A">
            <w:pPr>
              <w:pStyle w:val="TableText0"/>
              <w:keepLines/>
              <w:numPr>
                <w:ilvl w:val="0"/>
                <w:numId w:val="6"/>
              </w:numPr>
              <w:ind w:left="170" w:hanging="170"/>
              <w:rPr>
                <w:szCs w:val="20"/>
              </w:rPr>
            </w:pPr>
            <w:r w:rsidRPr="00B1054A">
              <w:rPr>
                <w:szCs w:val="20"/>
              </w:rPr>
              <w:t>Responder (DLQI Δ ≥4 and EASI-50)</w:t>
            </w:r>
          </w:p>
          <w:p w:rsidR="00B328D1" w:rsidRPr="00B1054A" w:rsidRDefault="00B328D1" w:rsidP="009A4A1A">
            <w:pPr>
              <w:pStyle w:val="TableText0"/>
              <w:keepLines/>
              <w:numPr>
                <w:ilvl w:val="0"/>
                <w:numId w:val="6"/>
              </w:numPr>
              <w:ind w:left="170" w:hanging="170"/>
              <w:rPr>
                <w:szCs w:val="20"/>
              </w:rPr>
            </w:pPr>
            <w:r w:rsidRPr="00B1054A">
              <w:rPr>
                <w:szCs w:val="20"/>
              </w:rPr>
              <w:t>Non-Responder (DLQI Δ &lt;4 and/or EASI score &lt;50% from baseline)</w:t>
            </w:r>
          </w:p>
          <w:p w:rsidR="00B328D1" w:rsidRPr="00B1054A" w:rsidRDefault="00B328D1" w:rsidP="009A4A1A">
            <w:pPr>
              <w:pStyle w:val="TableText0"/>
              <w:keepLines/>
              <w:numPr>
                <w:ilvl w:val="0"/>
                <w:numId w:val="6"/>
              </w:numPr>
              <w:ind w:left="170" w:hanging="170"/>
              <w:rPr>
                <w:szCs w:val="20"/>
              </w:rPr>
            </w:pPr>
            <w:r w:rsidRPr="00B1054A">
              <w:rPr>
                <w:szCs w:val="20"/>
              </w:rPr>
              <w:t>All-cause death</w:t>
            </w:r>
          </w:p>
        </w:tc>
      </w:tr>
      <w:tr w:rsidR="00B328D1" w:rsidRPr="00B1054A" w:rsidTr="00A4753F">
        <w:tc>
          <w:tcPr>
            <w:tcW w:w="2835" w:type="dxa"/>
            <w:vAlign w:val="center"/>
          </w:tcPr>
          <w:p w:rsidR="00B328D1" w:rsidRPr="00B1054A" w:rsidRDefault="00B328D1" w:rsidP="00A4753F">
            <w:pPr>
              <w:pStyle w:val="TableText0"/>
              <w:rPr>
                <w:szCs w:val="20"/>
                <w:vertAlign w:val="superscript"/>
              </w:rPr>
            </w:pPr>
            <w:r w:rsidRPr="00B1054A">
              <w:rPr>
                <w:szCs w:val="20"/>
              </w:rPr>
              <w:t xml:space="preserve">Cycle length </w:t>
            </w:r>
            <w:r w:rsidRPr="00B1054A">
              <w:rPr>
                <w:szCs w:val="20"/>
                <w:vertAlign w:val="superscript"/>
              </w:rPr>
              <w:t>a</w:t>
            </w:r>
          </w:p>
        </w:tc>
        <w:tc>
          <w:tcPr>
            <w:tcW w:w="6185" w:type="dxa"/>
          </w:tcPr>
          <w:p w:rsidR="00B328D1" w:rsidRPr="00B1054A" w:rsidRDefault="00B328D1" w:rsidP="00A4753F">
            <w:pPr>
              <w:pStyle w:val="TableText0"/>
              <w:rPr>
                <w:szCs w:val="20"/>
              </w:rPr>
            </w:pPr>
            <w:r w:rsidRPr="00B1054A">
              <w:rPr>
                <w:szCs w:val="20"/>
              </w:rPr>
              <w:t>6 months</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Transition probabilities</w:t>
            </w:r>
          </w:p>
        </w:tc>
        <w:tc>
          <w:tcPr>
            <w:tcW w:w="6185" w:type="dxa"/>
          </w:tcPr>
          <w:p w:rsidR="00B328D1" w:rsidRPr="00B1054A" w:rsidRDefault="00B328D1" w:rsidP="00A4753F">
            <w:pPr>
              <w:pStyle w:val="TableText0"/>
              <w:rPr>
                <w:szCs w:val="20"/>
              </w:rPr>
            </w:pPr>
            <w:r w:rsidRPr="00B1054A">
              <w:rPr>
                <w:szCs w:val="20"/>
              </w:rPr>
              <w:t>% of patients with response (DLQI Δ ≥4 and EASI-50), maintenance of response (DLQI Δ ≥4 and EASI-50),</w:t>
            </w:r>
          </w:p>
          <w:p w:rsidR="00B328D1" w:rsidRPr="00B1054A" w:rsidRDefault="00B328D1" w:rsidP="00A4753F">
            <w:pPr>
              <w:pStyle w:val="TableText0"/>
              <w:rPr>
                <w:szCs w:val="20"/>
              </w:rPr>
            </w:pPr>
            <w:r w:rsidRPr="00B1054A">
              <w:rPr>
                <w:szCs w:val="20"/>
              </w:rPr>
              <w:t>All-cause death: Age and sex specific Australian mortality rates (Australian lifetables)</w:t>
            </w:r>
          </w:p>
        </w:tc>
      </w:tr>
      <w:tr w:rsidR="00B328D1" w:rsidRPr="00B1054A" w:rsidTr="00A4753F">
        <w:tc>
          <w:tcPr>
            <w:tcW w:w="2835" w:type="dxa"/>
            <w:vAlign w:val="center"/>
          </w:tcPr>
          <w:p w:rsidR="00B328D1" w:rsidRPr="00B1054A" w:rsidRDefault="00B328D1" w:rsidP="00A4753F">
            <w:pPr>
              <w:pStyle w:val="TableText0"/>
              <w:rPr>
                <w:szCs w:val="20"/>
              </w:rPr>
            </w:pPr>
            <w:r w:rsidRPr="00B1054A">
              <w:rPr>
                <w:szCs w:val="20"/>
              </w:rPr>
              <w:t>Software</w:t>
            </w:r>
          </w:p>
        </w:tc>
        <w:tc>
          <w:tcPr>
            <w:tcW w:w="6185" w:type="dxa"/>
          </w:tcPr>
          <w:p w:rsidR="00B328D1" w:rsidRPr="00B1054A" w:rsidRDefault="00B328D1" w:rsidP="00A4753F">
            <w:pPr>
              <w:pStyle w:val="TableText0"/>
              <w:rPr>
                <w:szCs w:val="20"/>
              </w:rPr>
            </w:pPr>
            <w:r w:rsidRPr="00B1054A">
              <w:rPr>
                <w:szCs w:val="20"/>
              </w:rPr>
              <w:t>Microsoft® Office® 365</w:t>
            </w:r>
          </w:p>
        </w:tc>
      </w:tr>
    </w:tbl>
    <w:p w:rsidR="00B328D1" w:rsidRPr="00B1054A" w:rsidRDefault="00B328D1" w:rsidP="00B328D1">
      <w:pPr>
        <w:pStyle w:val="TableFooter"/>
      </w:pPr>
      <w:r w:rsidRPr="00B1054A">
        <w:t>Source: Table 3.2 (p106) of the resubmission</w:t>
      </w:r>
    </w:p>
    <w:p w:rsidR="00B328D1" w:rsidRPr="00B1054A" w:rsidRDefault="00B328D1" w:rsidP="00B328D1">
      <w:pPr>
        <w:pStyle w:val="TableFigNoteLast"/>
        <w:spacing w:after="0"/>
        <w:rPr>
          <w:rFonts w:ascii="Arial Narrow" w:eastAsia="Times New Roman" w:hAnsi="Arial Narrow" w:cs="Arial"/>
          <w:snapToGrid w:val="0"/>
          <w:sz w:val="18"/>
        </w:rPr>
      </w:pPr>
      <w:r w:rsidRPr="00B1054A">
        <w:rPr>
          <w:rFonts w:ascii="Arial Narrow" w:eastAsia="Times New Roman" w:hAnsi="Arial Narrow" w:cs="Arial"/>
          <w:snapToGrid w:val="0"/>
          <w:sz w:val="18"/>
        </w:rPr>
        <w:t>Abbreviations: DLQI: Dermatology Quality of Life Index; EASI = eczema area and severity index</w:t>
      </w:r>
    </w:p>
    <w:p w:rsidR="00B328D1" w:rsidRPr="00B1054A" w:rsidRDefault="00B328D1" w:rsidP="00B328D1">
      <w:pPr>
        <w:tabs>
          <w:tab w:val="left" w:pos="284"/>
        </w:tabs>
        <w:rPr>
          <w:rFonts w:ascii="Arial Narrow" w:hAnsi="Arial Narrow"/>
          <w:sz w:val="18"/>
          <w:szCs w:val="18"/>
        </w:rPr>
      </w:pPr>
      <w:r w:rsidRPr="00B1054A">
        <w:rPr>
          <w:rFonts w:ascii="Arial Narrow" w:hAnsi="Arial Narrow"/>
          <w:sz w:val="18"/>
          <w:szCs w:val="18"/>
          <w:vertAlign w:val="superscript"/>
        </w:rPr>
        <w:t>a</w:t>
      </w:r>
      <w:r w:rsidRPr="00B1054A">
        <w:rPr>
          <w:rFonts w:ascii="Arial Narrow" w:hAnsi="Arial Narrow"/>
          <w:sz w:val="18"/>
          <w:szCs w:val="18"/>
          <w:vertAlign w:val="superscript"/>
        </w:rPr>
        <w:tab/>
      </w:r>
      <w:r w:rsidRPr="00B1054A">
        <w:rPr>
          <w:rFonts w:ascii="Arial Narrow" w:hAnsi="Arial Narrow"/>
          <w:sz w:val="18"/>
          <w:szCs w:val="18"/>
        </w:rPr>
        <w:t>For the Markov component of the model</w:t>
      </w:r>
    </w:p>
    <w:p w:rsidR="00B328D1" w:rsidRPr="00B1054A" w:rsidRDefault="00B328D1" w:rsidP="00A60E9B">
      <w:pPr>
        <w:tabs>
          <w:tab w:val="left" w:pos="284"/>
        </w:tabs>
        <w:spacing w:after="120"/>
        <w:rPr>
          <w:rFonts w:ascii="Arial Narrow" w:hAnsi="Arial Narrow"/>
          <w:sz w:val="18"/>
          <w:szCs w:val="18"/>
        </w:rPr>
      </w:pPr>
      <w:r w:rsidRPr="00B1054A">
        <w:rPr>
          <w:rFonts w:ascii="Arial Narrow" w:hAnsi="Arial Narrow"/>
          <w:sz w:val="18"/>
          <w:szCs w:val="18"/>
          <w:vertAlign w:val="superscript"/>
        </w:rPr>
        <w:t>b</w:t>
      </w:r>
      <w:r w:rsidRPr="00B1054A">
        <w:rPr>
          <w:rFonts w:ascii="Arial Narrow" w:hAnsi="Arial Narrow"/>
          <w:sz w:val="18"/>
          <w:szCs w:val="18"/>
          <w:vertAlign w:val="superscript"/>
        </w:rPr>
        <w:tab/>
      </w:r>
      <w:r w:rsidRPr="00B1054A">
        <w:rPr>
          <w:rFonts w:ascii="Arial Narrow" w:hAnsi="Arial Narrow"/>
          <w:sz w:val="18"/>
          <w:szCs w:val="18"/>
        </w:rPr>
        <w:t>Health state within the decision tree only</w:t>
      </w:r>
    </w:p>
    <w:p w:rsidR="004D34B8" w:rsidRPr="00B1054A" w:rsidRDefault="004D34B8" w:rsidP="004D34B8">
      <w:pPr>
        <w:pStyle w:val="3-BodyText"/>
        <w:rPr>
          <w:rFonts w:ascii="Arial Narrow" w:hAnsi="Arial Narrow"/>
          <w:sz w:val="18"/>
          <w:szCs w:val="18"/>
        </w:rPr>
      </w:pPr>
      <w:r w:rsidRPr="00B1054A">
        <w:t xml:space="preserve">While the structure remained the same, the main changes were shortening the time horizon from 10 to 5 years; changes in the initial and continuing response rates (as a result of changing the definition of response) and other health state costs (informed by a new clinician survey), see Table 13. Given the numerous differences between the models in </w:t>
      </w:r>
      <w:r w:rsidR="00601813" w:rsidRPr="00B1054A">
        <w:t xml:space="preserve">patient population and </w:t>
      </w:r>
      <w:r w:rsidRPr="00B1054A">
        <w:t>inputs, the</w:t>
      </w:r>
      <w:r w:rsidR="00597067" w:rsidRPr="00B1054A">
        <w:t xml:space="preserve"> results</w:t>
      </w:r>
      <w:r w:rsidRPr="00B1054A">
        <w:t xml:space="preserve"> are not directly comparable.</w:t>
      </w:r>
    </w:p>
    <w:p w:rsidR="004D34B8" w:rsidRPr="00B1054A" w:rsidRDefault="004D34B8" w:rsidP="004D34B8">
      <w:pPr>
        <w:pStyle w:val="TableFigureHeading"/>
        <w:rPr>
          <w:rStyle w:val="CommentReference"/>
          <w:szCs w:val="24"/>
        </w:rPr>
      </w:pPr>
      <w:bookmarkStart w:id="34" w:name="_Ref27435822"/>
      <w:r w:rsidRPr="00B1054A">
        <w:rPr>
          <w:rStyle w:val="CommentReference"/>
          <w:b/>
          <w:szCs w:val="24"/>
        </w:rPr>
        <w:t xml:space="preserve">Table </w:t>
      </w:r>
      <w:r w:rsidR="00B20399" w:rsidRPr="00B1054A">
        <w:rPr>
          <w:rStyle w:val="CommentReference"/>
          <w:b/>
          <w:szCs w:val="24"/>
        </w:rPr>
        <w:t>13</w:t>
      </w:r>
      <w:bookmarkEnd w:id="34"/>
      <w:r w:rsidRPr="00B1054A">
        <w:rPr>
          <w:rStyle w:val="CommentReference"/>
          <w:b/>
          <w:szCs w:val="24"/>
        </w:rPr>
        <w:t>: Main differences to Section 3 between the three dupilumab (re)submissions</w:t>
      </w:r>
    </w:p>
    <w:tbl>
      <w:tblPr>
        <w:tblStyle w:val="TableGrid"/>
        <w:tblW w:w="0" w:type="auto"/>
        <w:tblCellMar>
          <w:left w:w="28" w:type="dxa"/>
          <w:right w:w="28" w:type="dxa"/>
        </w:tblCellMar>
        <w:tblLook w:val="04A0" w:firstRow="1" w:lastRow="0" w:firstColumn="1" w:lastColumn="0" w:noHBand="0" w:noVBand="1"/>
        <w:tblCaption w:val="Table 13: Main differences to Section 3 between the three dupilumab (re)submissions"/>
      </w:tblPr>
      <w:tblGrid>
        <w:gridCol w:w="1025"/>
        <w:gridCol w:w="1841"/>
        <w:gridCol w:w="1842"/>
        <w:gridCol w:w="1842"/>
        <w:gridCol w:w="2467"/>
      </w:tblGrid>
      <w:tr w:rsidR="004D34B8" w:rsidRPr="00A26F93" w:rsidTr="00A4753F">
        <w:trPr>
          <w:tblHeader/>
        </w:trPr>
        <w:tc>
          <w:tcPr>
            <w:tcW w:w="0" w:type="auto"/>
            <w:vAlign w:val="center"/>
          </w:tcPr>
          <w:p w:rsidR="004D34B8" w:rsidRPr="00A26F93" w:rsidRDefault="004D34B8" w:rsidP="00A4753F">
            <w:pPr>
              <w:pStyle w:val="Tabletext"/>
              <w:rPr>
                <w:rFonts w:cs="Arial"/>
                <w:szCs w:val="20"/>
              </w:rPr>
            </w:pPr>
          </w:p>
        </w:tc>
        <w:tc>
          <w:tcPr>
            <w:tcW w:w="1841" w:type="dxa"/>
            <w:vAlign w:val="center"/>
          </w:tcPr>
          <w:p w:rsidR="004D34B8" w:rsidRPr="00A26F93" w:rsidRDefault="004D34B8" w:rsidP="00A4753F">
            <w:pPr>
              <w:pStyle w:val="Tabletext"/>
              <w:jc w:val="center"/>
              <w:rPr>
                <w:rFonts w:cs="Arial"/>
                <w:b/>
                <w:szCs w:val="20"/>
              </w:rPr>
            </w:pPr>
            <w:r w:rsidRPr="00A26F93">
              <w:rPr>
                <w:rFonts w:cs="Arial"/>
                <w:b/>
                <w:szCs w:val="20"/>
              </w:rPr>
              <w:t xml:space="preserve">July 2018 Submission </w:t>
            </w:r>
          </w:p>
        </w:tc>
        <w:tc>
          <w:tcPr>
            <w:tcW w:w="1842" w:type="dxa"/>
            <w:vAlign w:val="center"/>
          </w:tcPr>
          <w:p w:rsidR="004D34B8" w:rsidRPr="00A26F93" w:rsidRDefault="004D34B8" w:rsidP="00A4753F">
            <w:pPr>
              <w:pStyle w:val="Tabletext"/>
              <w:jc w:val="center"/>
              <w:rPr>
                <w:rFonts w:cs="Arial"/>
                <w:b/>
                <w:szCs w:val="20"/>
              </w:rPr>
            </w:pPr>
            <w:r w:rsidRPr="00A26F93">
              <w:rPr>
                <w:rFonts w:cs="Arial"/>
                <w:b/>
                <w:szCs w:val="20"/>
              </w:rPr>
              <w:t>July 2019 Resubmission</w:t>
            </w:r>
          </w:p>
        </w:tc>
        <w:tc>
          <w:tcPr>
            <w:tcW w:w="1842" w:type="dxa"/>
            <w:vAlign w:val="center"/>
          </w:tcPr>
          <w:p w:rsidR="004D34B8" w:rsidRPr="00A26F93" w:rsidRDefault="004D34B8" w:rsidP="00A4753F">
            <w:pPr>
              <w:pStyle w:val="Tabletext"/>
              <w:jc w:val="center"/>
              <w:rPr>
                <w:rFonts w:cs="Arial"/>
                <w:b/>
                <w:i/>
                <w:szCs w:val="20"/>
              </w:rPr>
            </w:pPr>
            <w:r w:rsidRPr="00A26F93">
              <w:rPr>
                <w:rFonts w:cs="Arial"/>
                <w:b/>
                <w:szCs w:val="20"/>
              </w:rPr>
              <w:t>Current Resubmission</w:t>
            </w:r>
          </w:p>
        </w:tc>
        <w:tc>
          <w:tcPr>
            <w:tcW w:w="0" w:type="auto"/>
            <w:vAlign w:val="center"/>
          </w:tcPr>
          <w:p w:rsidR="004D34B8" w:rsidRPr="00A26F93" w:rsidRDefault="004D34B8" w:rsidP="00A4753F">
            <w:pPr>
              <w:pStyle w:val="Tabletext"/>
              <w:jc w:val="center"/>
              <w:rPr>
                <w:rFonts w:cs="Arial"/>
                <w:b/>
                <w:szCs w:val="20"/>
              </w:rPr>
            </w:pPr>
            <w:r w:rsidRPr="00A26F93">
              <w:rPr>
                <w:rFonts w:cs="Arial"/>
                <w:b/>
                <w:szCs w:val="20"/>
              </w:rPr>
              <w:t xml:space="preserve">Comment </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Population </w:t>
            </w:r>
          </w:p>
        </w:tc>
        <w:tc>
          <w:tcPr>
            <w:tcW w:w="1841" w:type="dxa"/>
            <w:vAlign w:val="center"/>
          </w:tcPr>
          <w:p w:rsidR="004D34B8" w:rsidRPr="00A26F93" w:rsidRDefault="004D34B8" w:rsidP="00A4753F">
            <w:pPr>
              <w:pStyle w:val="Tabletext"/>
              <w:rPr>
                <w:rFonts w:cs="Arial"/>
                <w:szCs w:val="20"/>
              </w:rPr>
            </w:pPr>
            <w:r w:rsidRPr="00A26F93">
              <w:rPr>
                <w:rFonts w:cs="Arial"/>
                <w:szCs w:val="20"/>
              </w:rPr>
              <w:t>Adults with severe atopic dermatitis (AD; defined as an Investigator’s Global Assessment [IGA] score of 4) who have had an inadequate response or intolerance to cyclosporin A (CsA), or for whom CsA is contra-indicated.</w:t>
            </w:r>
          </w:p>
        </w:tc>
        <w:tc>
          <w:tcPr>
            <w:tcW w:w="1842" w:type="dxa"/>
            <w:vAlign w:val="center"/>
          </w:tcPr>
          <w:p w:rsidR="004D34B8" w:rsidRPr="00A26F93" w:rsidRDefault="00AB419F" w:rsidP="00A4753F">
            <w:pPr>
              <w:pStyle w:val="Tabletext"/>
              <w:rPr>
                <w:rFonts w:cs="Arial"/>
                <w:szCs w:val="20"/>
              </w:rPr>
            </w:pPr>
            <w:r w:rsidRPr="00A26F93">
              <w:rPr>
                <w:rFonts w:cs="Arial"/>
                <w:szCs w:val="20"/>
              </w:rPr>
              <w:t>Moderate to severe</w:t>
            </w:r>
            <w:r w:rsidR="004D34B8" w:rsidRPr="00A26F93">
              <w:rPr>
                <w:rFonts w:cs="Arial"/>
                <w:szCs w:val="20"/>
              </w:rPr>
              <w:t xml:space="preserve"> atopic dermatitis AD (defined as Physician’s Global Assessment [PGA] or 3 or 4) who have had an inadequate response to topical therapy (topical corticosteroids [TCS]/topical calcineurin inhibitors [TCI]).</w:t>
            </w:r>
          </w:p>
        </w:tc>
        <w:tc>
          <w:tcPr>
            <w:tcW w:w="1842" w:type="dxa"/>
            <w:vAlign w:val="center"/>
          </w:tcPr>
          <w:p w:rsidR="004D34B8" w:rsidRPr="00A26F93" w:rsidRDefault="004D34B8" w:rsidP="00A4753F">
            <w:pPr>
              <w:pStyle w:val="Tabletext"/>
              <w:rPr>
                <w:rFonts w:cs="Arial"/>
                <w:szCs w:val="20"/>
              </w:rPr>
            </w:pPr>
            <w:r w:rsidRPr="00A26F93">
              <w:rPr>
                <w:rFonts w:cs="Arial"/>
                <w:szCs w:val="20"/>
              </w:rPr>
              <w:t>Adults with severe AD (defined as patients with PGA=4 and EASI ≥20) who have had an inadequate response to topical therapy (TCS/TCI)</w:t>
            </w:r>
          </w:p>
        </w:tc>
        <w:tc>
          <w:tcPr>
            <w:tcW w:w="0" w:type="auto"/>
          </w:tcPr>
          <w:p w:rsidR="004D34B8" w:rsidRPr="00A26F93" w:rsidRDefault="004D34B8" w:rsidP="00A4753F">
            <w:pPr>
              <w:pStyle w:val="Tabletext"/>
              <w:rPr>
                <w:szCs w:val="20"/>
              </w:rPr>
            </w:pPr>
            <w:r w:rsidRPr="00A26F93">
              <w:rPr>
                <w:rFonts w:cs="Arial"/>
                <w:szCs w:val="20"/>
              </w:rPr>
              <w:t>Appropriate based on previous PBAC consideration that “</w:t>
            </w:r>
            <w:r w:rsidRPr="00A26F93">
              <w:rPr>
                <w:szCs w:val="20"/>
              </w:rPr>
              <w:t>restricting eligibility to patients with severe AD and prior CsA exposure or contraindication may be inappropriately narrower than the TGA indication and the trial data” (Dupilumab July 2019 PSD, para.6.22) and given the PBAC advice that “any future submission…should include the EASI scale in the restriction to a</w:t>
            </w:r>
            <w:r w:rsidR="00CD1018" w:rsidRPr="00A26F93">
              <w:rPr>
                <w:szCs w:val="20"/>
              </w:rPr>
              <w:t>ss</w:t>
            </w:r>
            <w:r w:rsidRPr="00A26F93">
              <w:rPr>
                <w:szCs w:val="20"/>
              </w:rPr>
              <w:t>ess initial disease” (Dupilumab July 2019 PSD, para.7.20)</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Comparator </w:t>
            </w:r>
          </w:p>
        </w:tc>
        <w:tc>
          <w:tcPr>
            <w:tcW w:w="1841" w:type="dxa"/>
            <w:vAlign w:val="center"/>
          </w:tcPr>
          <w:p w:rsidR="004D34B8" w:rsidRPr="00A26F93" w:rsidRDefault="004D34B8" w:rsidP="00A4753F">
            <w:pPr>
              <w:pStyle w:val="Tabletext"/>
              <w:rPr>
                <w:rFonts w:cs="Arial"/>
                <w:szCs w:val="20"/>
              </w:rPr>
            </w:pPr>
            <w:r w:rsidRPr="00A26F93">
              <w:rPr>
                <w:rFonts w:cs="Arial"/>
                <w:szCs w:val="20"/>
              </w:rPr>
              <w:t>Placebo for standard of care (SoC)</w:t>
            </w:r>
          </w:p>
        </w:tc>
        <w:tc>
          <w:tcPr>
            <w:tcW w:w="1842" w:type="dxa"/>
            <w:vAlign w:val="center"/>
          </w:tcPr>
          <w:p w:rsidR="004D34B8" w:rsidRPr="00A26F93" w:rsidRDefault="004D34B8" w:rsidP="00A4753F">
            <w:pPr>
              <w:pStyle w:val="Tabletext"/>
              <w:rPr>
                <w:rFonts w:cs="Arial"/>
                <w:szCs w:val="20"/>
              </w:rPr>
            </w:pPr>
            <w:r w:rsidRPr="00A26F93">
              <w:rPr>
                <w:rFonts w:cs="Arial"/>
                <w:szCs w:val="20"/>
              </w:rPr>
              <w:t>Placebo for SoC</w:t>
            </w:r>
          </w:p>
          <w:p w:rsidR="004D34B8" w:rsidRPr="00A26F93" w:rsidRDefault="004D34B8" w:rsidP="00A4753F">
            <w:pPr>
              <w:pStyle w:val="Tabletext"/>
              <w:rPr>
                <w:rFonts w:cs="Arial"/>
                <w:szCs w:val="20"/>
              </w:rPr>
            </w:pPr>
            <w:r w:rsidRPr="00A26F93">
              <w:rPr>
                <w:rFonts w:cs="Arial"/>
                <w:szCs w:val="20"/>
              </w:rPr>
              <w:t xml:space="preserve">CsA, representing </w:t>
            </w:r>
            <w:r w:rsidR="003D2E9F" w:rsidRPr="00A26F93">
              <w:rPr>
                <w:rFonts w:cs="Arial"/>
                <w:szCs w:val="20"/>
              </w:rPr>
              <w:t>immunosuppressant’s</w:t>
            </w:r>
          </w:p>
        </w:tc>
        <w:tc>
          <w:tcPr>
            <w:tcW w:w="1842" w:type="dxa"/>
            <w:vAlign w:val="center"/>
          </w:tcPr>
          <w:p w:rsidR="004D34B8" w:rsidRPr="00A26F93" w:rsidRDefault="004D34B8" w:rsidP="00A4753F">
            <w:pPr>
              <w:pStyle w:val="Tabletext"/>
              <w:rPr>
                <w:rFonts w:cs="Arial"/>
                <w:szCs w:val="20"/>
              </w:rPr>
            </w:pPr>
            <w:r w:rsidRPr="00A26F93">
              <w:rPr>
                <w:rFonts w:cs="Arial"/>
                <w:szCs w:val="20"/>
              </w:rPr>
              <w:t>Same as July 2019</w:t>
            </w:r>
          </w:p>
        </w:tc>
        <w:tc>
          <w:tcPr>
            <w:tcW w:w="0" w:type="auto"/>
            <w:vAlign w:val="center"/>
          </w:tcPr>
          <w:p w:rsidR="004D34B8" w:rsidRPr="00A26F93" w:rsidRDefault="004D34B8" w:rsidP="00A4753F">
            <w:pPr>
              <w:pStyle w:val="Tabletext"/>
              <w:rPr>
                <w:rFonts w:cs="Arial"/>
                <w:szCs w:val="20"/>
              </w:rPr>
            </w:pPr>
            <w:r w:rsidRPr="00A26F93">
              <w:rPr>
                <w:rFonts w:cs="Arial"/>
                <w:szCs w:val="20"/>
              </w:rPr>
              <w:t>Reasonable</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Evidence </w:t>
            </w:r>
          </w:p>
        </w:tc>
        <w:tc>
          <w:tcPr>
            <w:tcW w:w="1841" w:type="dxa"/>
            <w:vAlign w:val="center"/>
          </w:tcPr>
          <w:p w:rsidR="004D34B8" w:rsidRPr="00A26F93" w:rsidRDefault="004D34B8" w:rsidP="00A4753F">
            <w:pPr>
              <w:pStyle w:val="Tabletext"/>
              <w:rPr>
                <w:rFonts w:cs="Arial"/>
                <w:szCs w:val="20"/>
              </w:rPr>
            </w:pPr>
            <w:r w:rsidRPr="00A26F93">
              <w:rPr>
                <w:rFonts w:cs="Arial"/>
                <w:szCs w:val="20"/>
              </w:rPr>
              <w:t xml:space="preserve">The IGA=4 sub-group of the CAFÉ trial for Week 16 response rates. </w:t>
            </w:r>
            <w:r w:rsidRPr="00A26F93">
              <w:rPr>
                <w:rFonts w:cs="Arial"/>
                <w:szCs w:val="20"/>
              </w:rPr>
              <w:lastRenderedPageBreak/>
              <w:t>CHRONOS (Week 52 data) for response rates between Weeks 16-52.</w:t>
            </w:r>
          </w:p>
        </w:tc>
        <w:tc>
          <w:tcPr>
            <w:tcW w:w="1842" w:type="dxa"/>
            <w:vAlign w:val="center"/>
          </w:tcPr>
          <w:p w:rsidR="004D34B8" w:rsidRPr="00A26F93" w:rsidRDefault="004D34B8" w:rsidP="00A4753F">
            <w:pPr>
              <w:pStyle w:val="Tabletext"/>
              <w:rPr>
                <w:rFonts w:cs="Arial"/>
                <w:szCs w:val="20"/>
              </w:rPr>
            </w:pPr>
            <w:r w:rsidRPr="00A26F93">
              <w:rPr>
                <w:rFonts w:cs="Arial"/>
                <w:szCs w:val="20"/>
              </w:rPr>
              <w:lastRenderedPageBreak/>
              <w:t xml:space="preserve">CHRONOS, SOLO 1, SOLO 2 &amp; Study 1021 for Week 16 response </w:t>
            </w:r>
            <w:r w:rsidRPr="00A26F93">
              <w:rPr>
                <w:rFonts w:cs="Arial"/>
                <w:szCs w:val="20"/>
              </w:rPr>
              <w:lastRenderedPageBreak/>
              <w:t xml:space="preserve">rates. CHRONOS (Week 44 data) for Week 42 response rates. </w:t>
            </w:r>
          </w:p>
        </w:tc>
        <w:tc>
          <w:tcPr>
            <w:tcW w:w="1842" w:type="dxa"/>
          </w:tcPr>
          <w:p w:rsidR="004D34B8" w:rsidRPr="00A26F93" w:rsidRDefault="004D34B8" w:rsidP="00A4753F">
            <w:pPr>
              <w:pStyle w:val="Tabletext"/>
              <w:rPr>
                <w:rFonts w:cs="Arial"/>
                <w:szCs w:val="20"/>
              </w:rPr>
            </w:pPr>
            <w:r w:rsidRPr="00A26F93">
              <w:rPr>
                <w:rFonts w:cs="Arial"/>
                <w:szCs w:val="20"/>
              </w:rPr>
              <w:lastRenderedPageBreak/>
              <w:t xml:space="preserve">PGA=4 and EASI ≥20 sub-group of CHRONOS, SOLO 1, </w:t>
            </w:r>
            <w:r w:rsidRPr="00A26F93">
              <w:rPr>
                <w:rFonts w:cs="Arial"/>
                <w:szCs w:val="20"/>
              </w:rPr>
              <w:lastRenderedPageBreak/>
              <w:t>SOLO 2 &amp; Study 1021 for Week 16 response rates and CHRONOS (Week 44 data) for Week 42 response rates.</w:t>
            </w:r>
          </w:p>
        </w:tc>
        <w:tc>
          <w:tcPr>
            <w:tcW w:w="0" w:type="auto"/>
            <w:vAlign w:val="center"/>
          </w:tcPr>
          <w:p w:rsidR="004D34B8" w:rsidRPr="00A26F93" w:rsidRDefault="004D34B8" w:rsidP="00A4753F">
            <w:pPr>
              <w:pStyle w:val="Tabletext"/>
              <w:rPr>
                <w:rFonts w:cs="Arial"/>
                <w:szCs w:val="20"/>
              </w:rPr>
            </w:pPr>
            <w:r w:rsidRPr="00A26F93">
              <w:rPr>
                <w:rFonts w:cs="Arial"/>
                <w:szCs w:val="20"/>
              </w:rPr>
              <w:lastRenderedPageBreak/>
              <w:t>Appropriate given the proposed population</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Outcome for response </w:t>
            </w:r>
          </w:p>
        </w:tc>
        <w:tc>
          <w:tcPr>
            <w:tcW w:w="1841" w:type="dxa"/>
            <w:vAlign w:val="center"/>
          </w:tcPr>
          <w:p w:rsidR="004D34B8" w:rsidRPr="00A26F93" w:rsidRDefault="004D34B8" w:rsidP="00A4753F">
            <w:pPr>
              <w:pStyle w:val="Tabletext"/>
              <w:rPr>
                <w:rFonts w:cs="Arial"/>
                <w:szCs w:val="20"/>
              </w:rPr>
            </w:pPr>
            <w:r w:rsidRPr="00A26F93">
              <w:rPr>
                <w:rFonts w:cs="Arial"/>
                <w:szCs w:val="20"/>
              </w:rPr>
              <w:t xml:space="preserve">EASI-75 </w:t>
            </w:r>
          </w:p>
          <w:p w:rsidR="004D34B8" w:rsidRPr="00A26F93" w:rsidRDefault="004D34B8" w:rsidP="00A4753F">
            <w:pPr>
              <w:pStyle w:val="Tabletext"/>
              <w:rPr>
                <w:rFonts w:cs="Arial"/>
                <w:szCs w:val="20"/>
              </w:rPr>
            </w:pPr>
            <w:r w:rsidRPr="00A26F93">
              <w:rPr>
                <w:rFonts w:cs="Arial"/>
                <w:szCs w:val="20"/>
              </w:rPr>
              <w:t xml:space="preserve">Dupilumab=54% at 16 weeks; </w:t>
            </w:r>
          </w:p>
          <w:p w:rsidR="004D34B8" w:rsidRPr="00A26F93" w:rsidRDefault="004D34B8" w:rsidP="00A4753F">
            <w:pPr>
              <w:pStyle w:val="Tabletext"/>
              <w:rPr>
                <w:rFonts w:cs="Arial"/>
                <w:szCs w:val="20"/>
              </w:rPr>
            </w:pPr>
            <w:r w:rsidRPr="00A26F93">
              <w:rPr>
                <w:rFonts w:cs="Arial"/>
                <w:szCs w:val="20"/>
              </w:rPr>
              <w:t>Placebo=11.5% at 16 weeks</w:t>
            </w:r>
          </w:p>
        </w:tc>
        <w:tc>
          <w:tcPr>
            <w:tcW w:w="1842" w:type="dxa"/>
            <w:vAlign w:val="center"/>
          </w:tcPr>
          <w:p w:rsidR="004D34B8" w:rsidRPr="00A26F93" w:rsidRDefault="004D34B8" w:rsidP="00A4753F">
            <w:pPr>
              <w:pStyle w:val="Tabletext"/>
              <w:rPr>
                <w:rFonts w:cs="Arial"/>
                <w:szCs w:val="20"/>
              </w:rPr>
            </w:pPr>
            <w:r w:rsidRPr="00A26F93">
              <w:rPr>
                <w:rFonts w:cs="Arial"/>
                <w:szCs w:val="20"/>
              </w:rPr>
              <w:t xml:space="preserve">Improvement in IGA or DLQI of 2 and 4 points, respectively </w:t>
            </w:r>
          </w:p>
          <w:p w:rsidR="004D34B8" w:rsidRPr="00A26F93" w:rsidRDefault="004D34B8" w:rsidP="00A4753F">
            <w:pPr>
              <w:pStyle w:val="Tabletext"/>
              <w:rPr>
                <w:rFonts w:cs="Arial"/>
                <w:szCs w:val="20"/>
              </w:rPr>
            </w:pPr>
            <w:r w:rsidRPr="00A26F93">
              <w:rPr>
                <w:rFonts w:cs="Arial"/>
                <w:szCs w:val="20"/>
              </w:rPr>
              <w:t xml:space="preserve">Dupilumab=74.1% at 16 weeks; </w:t>
            </w:r>
          </w:p>
          <w:p w:rsidR="004D34B8" w:rsidRDefault="004D34B8" w:rsidP="00A4753F">
            <w:pPr>
              <w:pStyle w:val="Tabletext"/>
              <w:rPr>
                <w:rFonts w:cs="Arial"/>
                <w:szCs w:val="20"/>
              </w:rPr>
            </w:pPr>
            <w:r w:rsidRPr="00A26F93">
              <w:rPr>
                <w:rFonts w:cs="Arial"/>
                <w:szCs w:val="20"/>
              </w:rPr>
              <w:t>Placebo=38.5% at 16 weeks</w:t>
            </w:r>
          </w:p>
          <w:p w:rsidR="00FD09B1" w:rsidRPr="00FD09B1" w:rsidRDefault="00FD09B1" w:rsidP="00A4753F">
            <w:pPr>
              <w:pStyle w:val="Tabletext"/>
              <w:rPr>
                <w:rFonts w:cs="Arial"/>
                <w:i/>
                <w:szCs w:val="20"/>
              </w:rPr>
            </w:pPr>
            <w:r>
              <w:rPr>
                <w:rFonts w:cs="Arial"/>
                <w:i/>
                <w:szCs w:val="20"/>
              </w:rPr>
              <w:t>See footnote b</w:t>
            </w:r>
          </w:p>
        </w:tc>
        <w:tc>
          <w:tcPr>
            <w:tcW w:w="1842" w:type="dxa"/>
            <w:vAlign w:val="center"/>
          </w:tcPr>
          <w:p w:rsidR="004D34B8" w:rsidRPr="00A26F93" w:rsidRDefault="004D34B8" w:rsidP="00A4753F">
            <w:pPr>
              <w:pStyle w:val="Tabletext"/>
              <w:rPr>
                <w:rFonts w:cs="Arial"/>
                <w:szCs w:val="20"/>
              </w:rPr>
            </w:pPr>
            <w:r w:rsidRPr="00A26F93">
              <w:rPr>
                <w:rFonts w:cs="Arial"/>
                <w:szCs w:val="20"/>
              </w:rPr>
              <w:t xml:space="preserve">Improvement in DLQI of ≥4 points </w:t>
            </w:r>
            <w:r w:rsidRPr="00A26F93">
              <w:rPr>
                <w:rFonts w:cs="Arial"/>
                <w:szCs w:val="20"/>
                <w:u w:val="single"/>
              </w:rPr>
              <w:t>and</w:t>
            </w:r>
            <w:r w:rsidRPr="00A26F93">
              <w:rPr>
                <w:rFonts w:cs="Arial"/>
                <w:szCs w:val="20"/>
              </w:rPr>
              <w:t xml:space="preserve"> EASI-50</w:t>
            </w:r>
          </w:p>
          <w:p w:rsidR="004D34B8" w:rsidRPr="00A26F93" w:rsidRDefault="004D34B8" w:rsidP="00A4753F">
            <w:pPr>
              <w:pStyle w:val="Tabletext"/>
              <w:rPr>
                <w:rFonts w:cs="Arial"/>
                <w:szCs w:val="20"/>
              </w:rPr>
            </w:pPr>
            <w:r w:rsidRPr="00A26F93">
              <w:rPr>
                <w:rFonts w:cs="Arial"/>
                <w:szCs w:val="20"/>
              </w:rPr>
              <w:t xml:space="preserve">Dupilumab=59.1% at 16 weeks; </w:t>
            </w:r>
          </w:p>
          <w:p w:rsidR="004D34B8" w:rsidRDefault="004D34B8" w:rsidP="00A4753F">
            <w:pPr>
              <w:pStyle w:val="Tabletext"/>
              <w:rPr>
                <w:rFonts w:cs="Arial"/>
                <w:szCs w:val="20"/>
              </w:rPr>
            </w:pPr>
            <w:r w:rsidRPr="00A26F93">
              <w:rPr>
                <w:rFonts w:cs="Arial"/>
                <w:szCs w:val="20"/>
              </w:rPr>
              <w:t>Placebo=19.4% at 16 weeks</w:t>
            </w:r>
          </w:p>
          <w:p w:rsidR="00FD09B1" w:rsidRPr="00A26F93" w:rsidRDefault="00FD09B1" w:rsidP="00A4753F">
            <w:pPr>
              <w:pStyle w:val="Tabletext"/>
              <w:rPr>
                <w:rFonts w:cs="Arial"/>
                <w:szCs w:val="20"/>
              </w:rPr>
            </w:pPr>
            <w:r>
              <w:rPr>
                <w:rFonts w:cs="Arial"/>
                <w:i/>
                <w:szCs w:val="20"/>
              </w:rPr>
              <w:t>See footnote b</w:t>
            </w:r>
          </w:p>
        </w:tc>
        <w:tc>
          <w:tcPr>
            <w:tcW w:w="0" w:type="auto"/>
            <w:vAlign w:val="center"/>
          </w:tcPr>
          <w:p w:rsidR="004D34B8" w:rsidRPr="00A26F93" w:rsidRDefault="00CD1018" w:rsidP="00CD1018">
            <w:pPr>
              <w:pStyle w:val="Tabletext"/>
              <w:rPr>
                <w:rFonts w:cs="Arial"/>
                <w:szCs w:val="20"/>
              </w:rPr>
            </w:pPr>
            <w:r w:rsidRPr="00A26F93">
              <w:rPr>
                <w:rFonts w:cs="Arial"/>
                <w:szCs w:val="20"/>
              </w:rPr>
              <w:t>T</w:t>
            </w:r>
            <w:r w:rsidR="004D34B8" w:rsidRPr="00A26F93">
              <w:rPr>
                <w:rFonts w:cs="Arial"/>
                <w:szCs w:val="20"/>
              </w:rPr>
              <w:t xml:space="preserve">he resubmission’s definition of response </w:t>
            </w:r>
            <w:r w:rsidRPr="00A26F93">
              <w:rPr>
                <w:rFonts w:cs="Arial"/>
                <w:szCs w:val="20"/>
              </w:rPr>
              <w:t xml:space="preserve">is </w:t>
            </w:r>
            <w:r w:rsidR="004D34B8" w:rsidRPr="005B2C67">
              <w:rPr>
                <w:rFonts w:cs="Arial"/>
                <w:szCs w:val="20"/>
              </w:rPr>
              <w:t xml:space="preserve">discussed above </w:t>
            </w:r>
            <w:r w:rsidR="00AB419F" w:rsidRPr="005B2C67">
              <w:rPr>
                <w:rFonts w:cs="Arial"/>
                <w:szCs w:val="20"/>
              </w:rPr>
              <w:t>(paragraph 3.2)</w:t>
            </w:r>
            <w:r w:rsidR="004D34B8" w:rsidRPr="005B2C67">
              <w:rPr>
                <w:rFonts w:cs="Arial"/>
                <w:szCs w:val="20"/>
              </w:rPr>
              <w:t>.</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Model structure</w:t>
            </w:r>
          </w:p>
        </w:tc>
        <w:tc>
          <w:tcPr>
            <w:tcW w:w="1841" w:type="dxa"/>
            <w:vAlign w:val="center"/>
          </w:tcPr>
          <w:p w:rsidR="004D34B8" w:rsidRPr="00A26F93" w:rsidRDefault="004D34B8" w:rsidP="00A4753F">
            <w:pPr>
              <w:pStyle w:val="Tabletext"/>
              <w:rPr>
                <w:rFonts w:cs="Arial"/>
                <w:szCs w:val="20"/>
              </w:rPr>
            </w:pPr>
            <w:r w:rsidRPr="00A26F93">
              <w:rPr>
                <w:rFonts w:cs="Arial"/>
                <w:szCs w:val="20"/>
              </w:rPr>
              <w:t>Markov model from Cycle 1</w:t>
            </w:r>
          </w:p>
        </w:tc>
        <w:tc>
          <w:tcPr>
            <w:tcW w:w="1842" w:type="dxa"/>
            <w:vAlign w:val="center"/>
          </w:tcPr>
          <w:p w:rsidR="004D34B8" w:rsidRPr="00A26F93" w:rsidRDefault="004D34B8" w:rsidP="00A4753F">
            <w:pPr>
              <w:pStyle w:val="Tabletext"/>
              <w:rPr>
                <w:rFonts w:cs="Arial"/>
                <w:szCs w:val="20"/>
              </w:rPr>
            </w:pPr>
            <w:r w:rsidRPr="00A26F93">
              <w:rPr>
                <w:rFonts w:cs="Arial"/>
                <w:szCs w:val="20"/>
              </w:rPr>
              <w:t>Decision tree for initiation (Cycle 1) and first maintenance cycle (Cycle 2; to Week 44) followed by a Markov model</w:t>
            </w:r>
          </w:p>
        </w:tc>
        <w:tc>
          <w:tcPr>
            <w:tcW w:w="1842" w:type="dxa"/>
            <w:vAlign w:val="center"/>
          </w:tcPr>
          <w:p w:rsidR="004D34B8" w:rsidRPr="00A26F93" w:rsidRDefault="004D34B8" w:rsidP="00A4753F">
            <w:pPr>
              <w:pStyle w:val="Tabletext"/>
              <w:rPr>
                <w:rFonts w:cs="Arial"/>
                <w:i/>
                <w:szCs w:val="20"/>
              </w:rPr>
            </w:pPr>
            <w:r w:rsidRPr="00A26F93">
              <w:rPr>
                <w:rFonts w:cs="Arial"/>
                <w:szCs w:val="20"/>
              </w:rPr>
              <w:t>Same as July 2019</w:t>
            </w:r>
          </w:p>
        </w:tc>
        <w:tc>
          <w:tcPr>
            <w:tcW w:w="0" w:type="auto"/>
            <w:vAlign w:val="center"/>
          </w:tcPr>
          <w:p w:rsidR="004D34B8" w:rsidRPr="00A26F93" w:rsidRDefault="004D34B8" w:rsidP="00A4753F">
            <w:pPr>
              <w:pStyle w:val="Tabletext"/>
              <w:rPr>
                <w:rFonts w:cs="Arial"/>
                <w:szCs w:val="20"/>
              </w:rPr>
            </w:pPr>
            <w:r w:rsidRPr="00A26F93">
              <w:rPr>
                <w:rFonts w:cs="Arial"/>
                <w:szCs w:val="20"/>
              </w:rPr>
              <w:t>Reasonable</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Time horizon </w:t>
            </w:r>
          </w:p>
        </w:tc>
        <w:tc>
          <w:tcPr>
            <w:tcW w:w="1841" w:type="dxa"/>
            <w:vAlign w:val="center"/>
          </w:tcPr>
          <w:p w:rsidR="004D34B8" w:rsidRPr="00A26F93" w:rsidRDefault="004D34B8" w:rsidP="00A4753F">
            <w:pPr>
              <w:pStyle w:val="Tabletext"/>
              <w:rPr>
                <w:rFonts w:cs="Arial"/>
                <w:szCs w:val="20"/>
              </w:rPr>
            </w:pPr>
            <w:r w:rsidRPr="00A26F93">
              <w:rPr>
                <w:rFonts w:cs="Arial"/>
                <w:szCs w:val="20"/>
              </w:rPr>
              <w:t>Five years</w:t>
            </w:r>
          </w:p>
        </w:tc>
        <w:tc>
          <w:tcPr>
            <w:tcW w:w="1842" w:type="dxa"/>
            <w:vAlign w:val="center"/>
          </w:tcPr>
          <w:p w:rsidR="004D34B8" w:rsidRPr="00A26F93" w:rsidRDefault="004D34B8" w:rsidP="00A4753F">
            <w:pPr>
              <w:pStyle w:val="Tabletext"/>
              <w:rPr>
                <w:rFonts w:cs="Arial"/>
                <w:szCs w:val="20"/>
              </w:rPr>
            </w:pPr>
            <w:r w:rsidRPr="00A26F93">
              <w:rPr>
                <w:rFonts w:cs="Arial"/>
                <w:szCs w:val="20"/>
              </w:rPr>
              <w:t>Ten years</w:t>
            </w:r>
          </w:p>
        </w:tc>
        <w:tc>
          <w:tcPr>
            <w:tcW w:w="1842" w:type="dxa"/>
            <w:vAlign w:val="center"/>
          </w:tcPr>
          <w:p w:rsidR="004D34B8" w:rsidRPr="00A26F93" w:rsidRDefault="004D34B8" w:rsidP="00A4753F">
            <w:pPr>
              <w:pStyle w:val="Tabletext"/>
              <w:rPr>
                <w:rFonts w:cs="Arial"/>
                <w:i/>
                <w:szCs w:val="20"/>
              </w:rPr>
            </w:pPr>
            <w:r w:rsidRPr="00A26F93">
              <w:rPr>
                <w:rFonts w:cs="Arial"/>
                <w:szCs w:val="20"/>
              </w:rPr>
              <w:t>Five years</w:t>
            </w:r>
          </w:p>
        </w:tc>
        <w:tc>
          <w:tcPr>
            <w:tcW w:w="0" w:type="auto"/>
            <w:vAlign w:val="center"/>
          </w:tcPr>
          <w:p w:rsidR="004D34B8" w:rsidRPr="00A26F93" w:rsidRDefault="004D34B8" w:rsidP="00A4753F">
            <w:pPr>
              <w:pStyle w:val="Tabletext"/>
              <w:rPr>
                <w:rFonts w:cs="Arial"/>
                <w:szCs w:val="20"/>
              </w:rPr>
            </w:pPr>
            <w:r w:rsidRPr="00A26F93">
              <w:rPr>
                <w:rFonts w:cs="Arial"/>
                <w:szCs w:val="20"/>
              </w:rPr>
              <w:t>Reasonable</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Health states</w:t>
            </w:r>
          </w:p>
        </w:tc>
        <w:tc>
          <w:tcPr>
            <w:tcW w:w="1841" w:type="dxa"/>
            <w:vAlign w:val="center"/>
          </w:tcPr>
          <w:p w:rsidR="004D34B8" w:rsidRPr="00A26F93" w:rsidRDefault="004D34B8" w:rsidP="00A4753F">
            <w:pPr>
              <w:pStyle w:val="Tabletext"/>
              <w:rPr>
                <w:rFonts w:cs="Arial"/>
                <w:szCs w:val="20"/>
              </w:rPr>
            </w:pPr>
            <w:r w:rsidRPr="00A26F93">
              <w:rPr>
                <w:rFonts w:cs="Arial"/>
                <w:szCs w:val="20"/>
              </w:rPr>
              <w:t>Induction, responder, non-responder, death (where responder was based on EASI-75 response)</w:t>
            </w:r>
          </w:p>
        </w:tc>
        <w:tc>
          <w:tcPr>
            <w:tcW w:w="1842" w:type="dxa"/>
            <w:vAlign w:val="center"/>
          </w:tcPr>
          <w:p w:rsidR="004D34B8" w:rsidRPr="00A26F93" w:rsidRDefault="004D34B8" w:rsidP="00A4753F">
            <w:pPr>
              <w:pStyle w:val="Tabletext"/>
              <w:rPr>
                <w:rFonts w:cs="Arial"/>
                <w:szCs w:val="20"/>
              </w:rPr>
            </w:pPr>
            <w:r w:rsidRPr="00A26F93">
              <w:rPr>
                <w:rFonts w:cs="Arial"/>
                <w:szCs w:val="20"/>
              </w:rPr>
              <w:t>Induction, responder, non-responder, death (where responder was based on IGA or DLQI improvement of 2 or 4 points, respectively).</w:t>
            </w:r>
          </w:p>
        </w:tc>
        <w:tc>
          <w:tcPr>
            <w:tcW w:w="1842" w:type="dxa"/>
            <w:vAlign w:val="center"/>
          </w:tcPr>
          <w:p w:rsidR="004D34B8" w:rsidRPr="00A26F93" w:rsidRDefault="004D34B8" w:rsidP="00A4753F">
            <w:pPr>
              <w:pStyle w:val="Tabletext"/>
              <w:rPr>
                <w:rFonts w:cs="Arial"/>
                <w:szCs w:val="20"/>
              </w:rPr>
            </w:pPr>
            <w:r w:rsidRPr="00A26F93">
              <w:rPr>
                <w:rFonts w:cs="Arial"/>
                <w:szCs w:val="20"/>
              </w:rPr>
              <w:t>Same as July 2019, except with new definition of ‘response’ (see above)</w:t>
            </w:r>
          </w:p>
        </w:tc>
        <w:tc>
          <w:tcPr>
            <w:tcW w:w="0" w:type="auto"/>
            <w:vAlign w:val="center"/>
          </w:tcPr>
          <w:p w:rsidR="004D34B8" w:rsidRPr="00A26F93" w:rsidRDefault="004D34B8" w:rsidP="00A4753F">
            <w:pPr>
              <w:pStyle w:val="Tabletext"/>
              <w:rPr>
                <w:rFonts w:cs="Arial"/>
                <w:szCs w:val="20"/>
              </w:rPr>
            </w:pPr>
            <w:r w:rsidRPr="00A26F93">
              <w:rPr>
                <w:rFonts w:cs="Arial"/>
                <w:szCs w:val="20"/>
              </w:rPr>
              <w:t>Reasonable, if definition of ‘response’ accepted.</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Cycle length</w:t>
            </w:r>
          </w:p>
        </w:tc>
        <w:tc>
          <w:tcPr>
            <w:tcW w:w="1841" w:type="dxa"/>
            <w:vAlign w:val="center"/>
          </w:tcPr>
          <w:p w:rsidR="004D34B8" w:rsidRPr="00A26F93" w:rsidRDefault="004D34B8" w:rsidP="00A4753F">
            <w:pPr>
              <w:pStyle w:val="Tabletext"/>
              <w:rPr>
                <w:rFonts w:cs="Arial"/>
                <w:szCs w:val="20"/>
              </w:rPr>
            </w:pPr>
            <w:r w:rsidRPr="00A26F93">
              <w:rPr>
                <w:rFonts w:cs="Arial"/>
                <w:szCs w:val="20"/>
              </w:rPr>
              <w:t>All 3 months</w:t>
            </w:r>
          </w:p>
        </w:tc>
        <w:tc>
          <w:tcPr>
            <w:tcW w:w="1842" w:type="dxa"/>
            <w:vAlign w:val="center"/>
          </w:tcPr>
          <w:p w:rsidR="004D34B8" w:rsidRPr="00A26F93" w:rsidRDefault="004D34B8" w:rsidP="00A4753F">
            <w:pPr>
              <w:pStyle w:val="Tabletext"/>
              <w:rPr>
                <w:rFonts w:cs="Arial"/>
                <w:szCs w:val="20"/>
              </w:rPr>
            </w:pPr>
            <w:r w:rsidRPr="00A26F93">
              <w:rPr>
                <w:rFonts w:cs="Arial"/>
                <w:szCs w:val="20"/>
              </w:rPr>
              <w:t>First cycle 16 weeks, followed by 6-monthly (26 week) cycles</w:t>
            </w:r>
          </w:p>
        </w:tc>
        <w:tc>
          <w:tcPr>
            <w:tcW w:w="1842" w:type="dxa"/>
            <w:vAlign w:val="center"/>
          </w:tcPr>
          <w:p w:rsidR="004D34B8" w:rsidRPr="00A26F93" w:rsidRDefault="004D34B8" w:rsidP="00A4753F">
            <w:pPr>
              <w:pStyle w:val="Tabletext"/>
              <w:rPr>
                <w:rFonts w:cs="Arial"/>
                <w:i/>
                <w:szCs w:val="20"/>
              </w:rPr>
            </w:pPr>
            <w:r w:rsidRPr="00A26F93">
              <w:rPr>
                <w:rFonts w:cs="Arial"/>
                <w:szCs w:val="20"/>
              </w:rPr>
              <w:t>Same as July 2019</w:t>
            </w:r>
          </w:p>
        </w:tc>
        <w:tc>
          <w:tcPr>
            <w:tcW w:w="0" w:type="auto"/>
            <w:vAlign w:val="center"/>
          </w:tcPr>
          <w:p w:rsidR="004D34B8" w:rsidRPr="00A26F93" w:rsidRDefault="004D34B8" w:rsidP="00A4753F">
            <w:pPr>
              <w:pStyle w:val="Tabletext"/>
              <w:rPr>
                <w:rFonts w:cs="Arial"/>
                <w:szCs w:val="20"/>
              </w:rPr>
            </w:pPr>
            <w:r w:rsidRPr="00A26F93">
              <w:rPr>
                <w:rFonts w:cs="Arial"/>
                <w:szCs w:val="20"/>
              </w:rPr>
              <w:t>Reasonable</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Maintenance of response</w:t>
            </w:r>
          </w:p>
        </w:tc>
        <w:tc>
          <w:tcPr>
            <w:tcW w:w="1841" w:type="dxa"/>
            <w:vAlign w:val="center"/>
          </w:tcPr>
          <w:p w:rsidR="004D34B8" w:rsidRPr="00A26F93" w:rsidRDefault="004D34B8" w:rsidP="00A4753F">
            <w:pPr>
              <w:pStyle w:val="Tabletext"/>
              <w:rPr>
                <w:rFonts w:cs="Arial"/>
                <w:szCs w:val="20"/>
              </w:rPr>
            </w:pPr>
            <w:r w:rsidRPr="00A26F93">
              <w:rPr>
                <w:rFonts w:cs="Arial"/>
                <w:szCs w:val="20"/>
              </w:rPr>
              <w:t>CHRONOS Week 52 EASI-75 response data (for patients who were considered EASI-75 responders at Week 16) and kept constant (i.e. the same loss of response rate per cycle) through the remainder of the model</w:t>
            </w:r>
          </w:p>
          <w:p w:rsidR="004D34B8" w:rsidRPr="00A26F93" w:rsidRDefault="004D34B8" w:rsidP="00A4753F">
            <w:pPr>
              <w:pStyle w:val="Tabletext"/>
              <w:rPr>
                <w:rFonts w:cs="Arial"/>
                <w:szCs w:val="20"/>
              </w:rPr>
            </w:pPr>
            <w:r w:rsidRPr="00A26F93">
              <w:rPr>
                <w:rFonts w:cs="Arial"/>
                <w:szCs w:val="20"/>
              </w:rPr>
              <w:t>Dupilumab = 93.1% and placebo = 88.2% per 3-month cycle</w:t>
            </w:r>
          </w:p>
        </w:tc>
        <w:tc>
          <w:tcPr>
            <w:tcW w:w="1842" w:type="dxa"/>
            <w:vAlign w:val="center"/>
          </w:tcPr>
          <w:p w:rsidR="004D34B8" w:rsidRPr="00A26F93" w:rsidRDefault="004D34B8" w:rsidP="008048D3">
            <w:pPr>
              <w:pStyle w:val="Tabletext"/>
              <w:rPr>
                <w:rFonts w:cs="Arial"/>
                <w:szCs w:val="20"/>
              </w:rPr>
            </w:pPr>
            <w:r w:rsidRPr="00A26F93">
              <w:rPr>
                <w:rFonts w:cs="Arial"/>
                <w:szCs w:val="20"/>
              </w:rPr>
              <w:t>Extrapolation of time-to-event data of treatment withdrawal or use of rescue treatment</w:t>
            </w:r>
            <w:r w:rsidR="008048D3" w:rsidRPr="00A26F93">
              <w:rPr>
                <w:rFonts w:cs="Arial"/>
                <w:szCs w:val="20"/>
              </w:rPr>
              <w:t xml:space="preserve">, considered time to first rescue treatment or treatment discontinuation to be a proxy for loss of effect to estimate loss of response. </w:t>
            </w:r>
            <w:r w:rsidRPr="00A26F93">
              <w:rPr>
                <w:rFonts w:cs="Arial"/>
                <w:szCs w:val="20"/>
              </w:rPr>
              <w:t>Response rates applied as time-dependent estimates that change in Year 2, 3, 4 and 5+</w:t>
            </w:r>
            <w:r w:rsidR="006D5E23" w:rsidRPr="00A26F93">
              <w:rPr>
                <w:rFonts w:cs="Arial"/>
                <w:szCs w:val="20"/>
              </w:rPr>
              <w:t>. Different values assumed for dupilumab and placebo.</w:t>
            </w:r>
          </w:p>
        </w:tc>
        <w:tc>
          <w:tcPr>
            <w:tcW w:w="1842" w:type="dxa"/>
            <w:vAlign w:val="center"/>
          </w:tcPr>
          <w:p w:rsidR="004D34B8" w:rsidRPr="00A26F93" w:rsidRDefault="004D34B8" w:rsidP="00A4753F">
            <w:pPr>
              <w:pStyle w:val="Tabletext"/>
              <w:rPr>
                <w:rFonts w:cs="Arial"/>
                <w:i/>
                <w:szCs w:val="20"/>
              </w:rPr>
            </w:pPr>
            <w:r w:rsidRPr="00A26F93">
              <w:rPr>
                <w:rFonts w:cs="Arial"/>
                <w:szCs w:val="20"/>
              </w:rPr>
              <w:t>Same as July 2019</w:t>
            </w:r>
          </w:p>
        </w:tc>
        <w:tc>
          <w:tcPr>
            <w:tcW w:w="0" w:type="auto"/>
            <w:vAlign w:val="center"/>
          </w:tcPr>
          <w:p w:rsidR="004D34B8" w:rsidRPr="00A26F93" w:rsidRDefault="004D34B8" w:rsidP="00A4753F">
            <w:pPr>
              <w:pStyle w:val="Tabletext"/>
              <w:rPr>
                <w:rFonts w:cs="Arial"/>
                <w:szCs w:val="20"/>
              </w:rPr>
            </w:pPr>
            <w:r w:rsidRPr="00A26F93">
              <w:rPr>
                <w:rFonts w:cs="Arial"/>
                <w:szCs w:val="20"/>
              </w:rPr>
              <w:t xml:space="preserve">Unreasonable. The change in maintenance of response rates used in the model substantially favours dupilumab as compared to the rates used in the July 2018 submission model. The PBAC, in consideration of the July 2019 resubmission, found “the differential maintenance of response rates…were not reasonable” (Dupilumab July 2019 PSD, para 6.40). </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 xml:space="preserve">Utility </w:t>
            </w:r>
          </w:p>
        </w:tc>
        <w:tc>
          <w:tcPr>
            <w:tcW w:w="1841" w:type="dxa"/>
            <w:vAlign w:val="center"/>
          </w:tcPr>
          <w:p w:rsidR="004D34B8" w:rsidRPr="00A26F93" w:rsidRDefault="004D34B8" w:rsidP="00A4753F">
            <w:pPr>
              <w:pStyle w:val="Tabletext"/>
              <w:spacing w:after="40"/>
              <w:rPr>
                <w:rFonts w:cs="Arial"/>
                <w:szCs w:val="20"/>
              </w:rPr>
            </w:pPr>
            <w:r w:rsidRPr="00A26F93">
              <w:rPr>
                <w:rFonts w:cs="Arial"/>
                <w:szCs w:val="20"/>
              </w:rPr>
              <w:t>Source: IGA=4 CAFÉ sub-group EQ-5D data.</w:t>
            </w:r>
          </w:p>
          <w:p w:rsidR="004D34B8" w:rsidRPr="00A26F93" w:rsidRDefault="004D34B8" w:rsidP="00A4753F">
            <w:pPr>
              <w:pStyle w:val="Tabletext"/>
              <w:rPr>
                <w:rFonts w:cs="Arial"/>
                <w:szCs w:val="20"/>
              </w:rPr>
            </w:pPr>
            <w:r w:rsidRPr="00A26F93">
              <w:rPr>
                <w:rFonts w:cs="Arial"/>
                <w:szCs w:val="20"/>
              </w:rPr>
              <w:t>Baseline &amp; non-responder utility: 0.64</w:t>
            </w:r>
          </w:p>
          <w:p w:rsidR="004D34B8" w:rsidRPr="00A26F93" w:rsidRDefault="004D34B8" w:rsidP="00A4753F">
            <w:pPr>
              <w:pStyle w:val="Tabletext"/>
              <w:rPr>
                <w:rFonts w:cs="Arial"/>
                <w:szCs w:val="20"/>
              </w:rPr>
            </w:pPr>
            <w:r w:rsidRPr="00A26F93">
              <w:rPr>
                <w:rFonts w:cs="Arial"/>
                <w:szCs w:val="20"/>
              </w:rPr>
              <w:t>Dupilumab responder: 0.916</w:t>
            </w:r>
          </w:p>
          <w:p w:rsidR="004D34B8" w:rsidRPr="00A26F93" w:rsidRDefault="004D34B8" w:rsidP="00A4753F">
            <w:pPr>
              <w:pStyle w:val="Tabletext"/>
              <w:rPr>
                <w:rFonts w:cs="Arial"/>
                <w:szCs w:val="20"/>
              </w:rPr>
            </w:pPr>
            <w:r w:rsidRPr="00A26F93">
              <w:rPr>
                <w:rFonts w:cs="Arial"/>
                <w:szCs w:val="20"/>
              </w:rPr>
              <w:lastRenderedPageBreak/>
              <w:t>Placebo responder: 0.866</w:t>
            </w:r>
          </w:p>
        </w:tc>
        <w:tc>
          <w:tcPr>
            <w:tcW w:w="1842" w:type="dxa"/>
            <w:vAlign w:val="center"/>
          </w:tcPr>
          <w:p w:rsidR="004D34B8" w:rsidRPr="00A26F93" w:rsidRDefault="004D34B8" w:rsidP="00A4753F">
            <w:pPr>
              <w:pStyle w:val="Tabletext"/>
              <w:spacing w:after="40"/>
              <w:rPr>
                <w:rFonts w:cs="Arial"/>
                <w:i/>
                <w:szCs w:val="20"/>
              </w:rPr>
            </w:pPr>
            <w:r w:rsidRPr="00A26F93">
              <w:rPr>
                <w:rFonts w:cs="Arial"/>
                <w:szCs w:val="20"/>
              </w:rPr>
              <w:lastRenderedPageBreak/>
              <w:t>Source: Pooled analysis of EQ-5D data from CHRONOS, SOLO 1, SOLO 2 &amp; Study 1021 at Week 16, and from CHRONOS at Week 44.</w:t>
            </w:r>
            <w:r w:rsidRPr="00A26F93">
              <w:rPr>
                <w:rFonts w:cs="Arial"/>
                <w:i/>
                <w:szCs w:val="20"/>
              </w:rPr>
              <w:t xml:space="preserve"> </w:t>
            </w:r>
          </w:p>
          <w:p w:rsidR="004D34B8" w:rsidRPr="00A26F93" w:rsidRDefault="004D34B8" w:rsidP="00A4753F">
            <w:pPr>
              <w:pStyle w:val="Tabletext"/>
              <w:rPr>
                <w:rFonts w:cs="Arial"/>
                <w:szCs w:val="20"/>
              </w:rPr>
            </w:pPr>
            <w:r w:rsidRPr="00A26F93">
              <w:rPr>
                <w:rFonts w:cs="Arial"/>
                <w:szCs w:val="20"/>
              </w:rPr>
              <w:lastRenderedPageBreak/>
              <w:t>Baseline to Week 8 &amp; non-responders utility: 0.70</w:t>
            </w:r>
          </w:p>
          <w:p w:rsidR="004D34B8" w:rsidRPr="00A26F93" w:rsidRDefault="004D34B8" w:rsidP="00A4753F">
            <w:pPr>
              <w:pStyle w:val="Tabletext"/>
              <w:rPr>
                <w:rFonts w:cs="Arial"/>
                <w:szCs w:val="20"/>
                <w:vertAlign w:val="superscript"/>
              </w:rPr>
            </w:pPr>
            <w:r w:rsidRPr="00A26F93">
              <w:rPr>
                <w:rFonts w:cs="Arial"/>
                <w:szCs w:val="20"/>
              </w:rPr>
              <w:t>Week 8-16 dupilumab arm patients utility: 0.8741</w:t>
            </w:r>
            <w:r w:rsidRPr="00A26F93">
              <w:rPr>
                <w:rFonts w:cs="Arial"/>
                <w:szCs w:val="20"/>
                <w:vertAlign w:val="superscript"/>
              </w:rPr>
              <w:t>a</w:t>
            </w:r>
          </w:p>
          <w:p w:rsidR="004D34B8" w:rsidRPr="00A26F93" w:rsidRDefault="004D34B8" w:rsidP="00A4753F">
            <w:pPr>
              <w:pStyle w:val="Tabletext"/>
              <w:rPr>
                <w:rFonts w:cs="Arial"/>
                <w:szCs w:val="20"/>
                <w:vertAlign w:val="superscript"/>
              </w:rPr>
            </w:pPr>
            <w:r w:rsidRPr="00A26F93">
              <w:rPr>
                <w:rFonts w:cs="Arial"/>
                <w:szCs w:val="20"/>
              </w:rPr>
              <w:t>Week 8-16 placebo-arm patients utility: 0.7800</w:t>
            </w:r>
            <w:r w:rsidRPr="00A26F93">
              <w:rPr>
                <w:rFonts w:cs="Arial"/>
                <w:szCs w:val="20"/>
                <w:vertAlign w:val="superscript"/>
              </w:rPr>
              <w:t>a</w:t>
            </w:r>
          </w:p>
          <w:p w:rsidR="004D34B8" w:rsidRDefault="004D34B8" w:rsidP="00A4753F">
            <w:pPr>
              <w:pStyle w:val="Tabletext"/>
              <w:rPr>
                <w:rFonts w:cs="Arial"/>
                <w:szCs w:val="20"/>
              </w:rPr>
            </w:pPr>
            <w:r w:rsidRPr="00A26F93">
              <w:rPr>
                <w:rFonts w:cs="Arial"/>
                <w:szCs w:val="20"/>
              </w:rPr>
              <w:t xml:space="preserve">Week 16 responders onwards (regardless of treatment arm) utility: 0.90 </w:t>
            </w:r>
          </w:p>
          <w:p w:rsidR="00FD09B1" w:rsidRPr="00A26F93" w:rsidRDefault="00FD09B1" w:rsidP="00A4753F">
            <w:pPr>
              <w:pStyle w:val="Tabletext"/>
              <w:rPr>
                <w:rFonts w:cs="Arial"/>
                <w:szCs w:val="20"/>
              </w:rPr>
            </w:pPr>
            <w:r>
              <w:rPr>
                <w:rFonts w:cs="Arial"/>
                <w:i/>
                <w:szCs w:val="20"/>
              </w:rPr>
              <w:t>See footnote b</w:t>
            </w:r>
          </w:p>
        </w:tc>
        <w:tc>
          <w:tcPr>
            <w:tcW w:w="1842" w:type="dxa"/>
          </w:tcPr>
          <w:p w:rsidR="004D34B8" w:rsidRPr="00A26F93" w:rsidRDefault="004D34B8" w:rsidP="00A4753F">
            <w:pPr>
              <w:pStyle w:val="Tabletext"/>
              <w:spacing w:after="40"/>
              <w:rPr>
                <w:rFonts w:cs="Arial"/>
                <w:i/>
                <w:szCs w:val="20"/>
              </w:rPr>
            </w:pPr>
            <w:r w:rsidRPr="00A26F93">
              <w:rPr>
                <w:rFonts w:cs="Arial"/>
                <w:szCs w:val="20"/>
              </w:rPr>
              <w:lastRenderedPageBreak/>
              <w:t xml:space="preserve">Source: Pooled analysis of EQ-5D data from CHRONOS, SOLO 1, SOLO 2 &amp; Study 1021 at Week 16, and from CHRONOS at Week 44, </w:t>
            </w:r>
            <w:r w:rsidRPr="00A26F93">
              <w:rPr>
                <w:rFonts w:cs="Arial"/>
                <w:szCs w:val="20"/>
              </w:rPr>
              <w:lastRenderedPageBreak/>
              <w:t>for PGA=4 and EASI ≥20 baseline sub-groups</w:t>
            </w:r>
          </w:p>
          <w:p w:rsidR="004D34B8" w:rsidRPr="00A26F93" w:rsidRDefault="004D34B8" w:rsidP="00A4753F">
            <w:pPr>
              <w:pStyle w:val="Tabletext"/>
              <w:rPr>
                <w:rFonts w:cs="Arial"/>
                <w:szCs w:val="20"/>
              </w:rPr>
            </w:pPr>
            <w:r w:rsidRPr="00A26F93">
              <w:rPr>
                <w:rFonts w:cs="Arial"/>
                <w:szCs w:val="20"/>
              </w:rPr>
              <w:t>Baseline to Week 8 &amp; non-responders utility: 0.60</w:t>
            </w:r>
          </w:p>
          <w:p w:rsidR="004D34B8" w:rsidRPr="00A26F93" w:rsidRDefault="004D34B8" w:rsidP="00A4753F">
            <w:pPr>
              <w:pStyle w:val="Tabletext"/>
              <w:rPr>
                <w:rFonts w:cs="Arial"/>
                <w:szCs w:val="20"/>
                <w:vertAlign w:val="superscript"/>
              </w:rPr>
            </w:pPr>
            <w:r w:rsidRPr="00A26F93">
              <w:rPr>
                <w:rFonts w:cs="Arial"/>
                <w:szCs w:val="20"/>
              </w:rPr>
              <w:t>Week 8-16 dupilumab arm patients utility: 0.847</w:t>
            </w:r>
            <w:r w:rsidRPr="00A26F93">
              <w:rPr>
                <w:rFonts w:cs="Arial"/>
                <w:szCs w:val="20"/>
                <w:vertAlign w:val="superscript"/>
              </w:rPr>
              <w:t>a</w:t>
            </w:r>
          </w:p>
          <w:p w:rsidR="004D34B8" w:rsidRPr="00A26F93" w:rsidRDefault="004D34B8" w:rsidP="00A4753F">
            <w:pPr>
              <w:pStyle w:val="Tabletext"/>
              <w:rPr>
                <w:rFonts w:cs="Arial"/>
                <w:szCs w:val="20"/>
                <w:vertAlign w:val="superscript"/>
              </w:rPr>
            </w:pPr>
            <w:r w:rsidRPr="00A26F93">
              <w:rPr>
                <w:rFonts w:cs="Arial"/>
                <w:szCs w:val="20"/>
              </w:rPr>
              <w:t>Week 8-16 placebo-arm patients utility: 0.686</w:t>
            </w:r>
            <w:r w:rsidRPr="00A26F93">
              <w:rPr>
                <w:rFonts w:cs="Arial"/>
                <w:szCs w:val="20"/>
                <w:vertAlign w:val="superscript"/>
              </w:rPr>
              <w:t>a</w:t>
            </w:r>
          </w:p>
          <w:p w:rsidR="004D34B8" w:rsidRPr="00A26F93" w:rsidRDefault="004D34B8" w:rsidP="00A4753F">
            <w:pPr>
              <w:pStyle w:val="Tabletext"/>
              <w:spacing w:after="40"/>
              <w:rPr>
                <w:rFonts w:cs="Arial"/>
                <w:szCs w:val="20"/>
              </w:rPr>
            </w:pPr>
            <w:r w:rsidRPr="00A26F93">
              <w:rPr>
                <w:rFonts w:cs="Arial"/>
                <w:szCs w:val="20"/>
              </w:rPr>
              <w:t>Week 16-42 responders (regardless of treatment arm) utility: 0.91</w:t>
            </w:r>
          </w:p>
          <w:p w:rsidR="004D34B8" w:rsidRDefault="004D34B8" w:rsidP="00A4753F">
            <w:pPr>
              <w:pStyle w:val="Tabletext"/>
              <w:spacing w:after="40"/>
              <w:rPr>
                <w:rFonts w:cs="Arial"/>
                <w:szCs w:val="20"/>
              </w:rPr>
            </w:pPr>
            <w:r w:rsidRPr="00A26F93">
              <w:rPr>
                <w:rFonts w:cs="Arial"/>
                <w:szCs w:val="20"/>
              </w:rPr>
              <w:t>Post week 42 responders onwards (regardless of treatment arm): 0.79</w:t>
            </w:r>
          </w:p>
          <w:p w:rsidR="00FD09B1" w:rsidRPr="00A26F93" w:rsidRDefault="00FD09B1" w:rsidP="00A4753F">
            <w:pPr>
              <w:pStyle w:val="Tabletext"/>
              <w:spacing w:after="40"/>
              <w:rPr>
                <w:rFonts w:cs="Arial"/>
                <w:szCs w:val="20"/>
              </w:rPr>
            </w:pPr>
            <w:r>
              <w:rPr>
                <w:rFonts w:cs="Arial"/>
                <w:i/>
                <w:szCs w:val="20"/>
              </w:rPr>
              <w:t>See footnote b</w:t>
            </w:r>
          </w:p>
        </w:tc>
        <w:tc>
          <w:tcPr>
            <w:tcW w:w="0" w:type="auto"/>
            <w:vAlign w:val="center"/>
          </w:tcPr>
          <w:p w:rsidR="004D34B8" w:rsidRPr="00A26F93" w:rsidRDefault="004D34B8" w:rsidP="00A4753F">
            <w:pPr>
              <w:pStyle w:val="Tabletext"/>
              <w:spacing w:after="40"/>
              <w:rPr>
                <w:rFonts w:cs="Arial"/>
                <w:szCs w:val="20"/>
              </w:rPr>
            </w:pPr>
            <w:r w:rsidRPr="00A26F93">
              <w:rPr>
                <w:rFonts w:cs="Arial"/>
                <w:szCs w:val="20"/>
              </w:rPr>
              <w:lastRenderedPageBreak/>
              <w:t>A decrease in baseline utility is consistent with a severe AD group.</w:t>
            </w:r>
          </w:p>
          <w:p w:rsidR="004D34B8" w:rsidRPr="00A26F93" w:rsidRDefault="004D34B8" w:rsidP="00A4753F">
            <w:pPr>
              <w:pStyle w:val="Tabletext"/>
              <w:spacing w:after="40"/>
              <w:rPr>
                <w:rFonts w:cs="Arial"/>
                <w:szCs w:val="20"/>
              </w:rPr>
            </w:pPr>
            <w:r w:rsidRPr="00A26F93">
              <w:rPr>
                <w:rFonts w:cs="Arial"/>
                <w:szCs w:val="20"/>
              </w:rPr>
              <w:t xml:space="preserve">The current resubmission no longer applies Week 44 CHRONOS utility values at </w:t>
            </w:r>
            <w:r w:rsidRPr="00A26F93">
              <w:rPr>
                <w:rFonts w:cs="Arial"/>
                <w:szCs w:val="20"/>
              </w:rPr>
              <w:lastRenderedPageBreak/>
              <w:t xml:space="preserve">Week 16 onwards in the model (unlike the previous resubmission). Instead, the Week 44 utilities are appropriately applied at Week 42 onwards in the model. </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lastRenderedPageBreak/>
              <w:t>Cost of dupilumab</w:t>
            </w:r>
          </w:p>
        </w:tc>
        <w:tc>
          <w:tcPr>
            <w:tcW w:w="1841" w:type="dxa"/>
            <w:vAlign w:val="center"/>
          </w:tcPr>
          <w:p w:rsidR="004D34B8" w:rsidRPr="00A26F93" w:rsidRDefault="004D34B8" w:rsidP="00A4753F">
            <w:pPr>
              <w:pStyle w:val="Tabletext"/>
              <w:rPr>
                <w:rFonts w:cs="Arial"/>
                <w:szCs w:val="20"/>
              </w:rPr>
            </w:pPr>
            <w:r w:rsidRPr="00A26F93">
              <w:rPr>
                <w:rFonts w:cs="Arial"/>
                <w:szCs w:val="20"/>
              </w:rPr>
              <w:t>$</w:t>
            </w:r>
            <w:r w:rsidR="00BB6CB6">
              <w:rPr>
                <w:rFonts w:cs="Arial"/>
                <w:noProof/>
                <w:color w:val="000000"/>
                <w:szCs w:val="20"/>
                <w:highlight w:val="black"/>
              </w:rPr>
              <w:t>''''''''''''''''''''</w:t>
            </w:r>
            <w:r w:rsidRPr="00A26F93">
              <w:rPr>
                <w:rFonts w:cs="Arial"/>
                <w:szCs w:val="20"/>
              </w:rPr>
              <w:t xml:space="preserve"> (requested effective price)</w:t>
            </w:r>
          </w:p>
        </w:tc>
        <w:tc>
          <w:tcPr>
            <w:tcW w:w="1842" w:type="dxa"/>
            <w:vAlign w:val="center"/>
          </w:tcPr>
          <w:p w:rsidR="004D34B8" w:rsidRPr="00A26F93" w:rsidRDefault="004D34B8" w:rsidP="00A4753F">
            <w:pPr>
              <w:pStyle w:val="Tabletext"/>
              <w:rPr>
                <w:rFonts w:cs="Arial"/>
                <w:szCs w:val="20"/>
              </w:rPr>
            </w:pPr>
            <w:r w:rsidRPr="00A26F93">
              <w:rPr>
                <w:rFonts w:cs="Arial"/>
                <w:szCs w:val="20"/>
              </w:rPr>
              <w:t>$</w:t>
            </w:r>
            <w:r w:rsidR="00BB6CB6">
              <w:rPr>
                <w:rFonts w:cs="Arial"/>
                <w:noProof/>
                <w:color w:val="000000"/>
                <w:szCs w:val="20"/>
                <w:highlight w:val="black"/>
              </w:rPr>
              <w:t>'''''''''''''''''''''</w:t>
            </w:r>
            <w:r w:rsidRPr="00A26F93">
              <w:rPr>
                <w:rFonts w:cs="Arial"/>
                <w:szCs w:val="20"/>
              </w:rPr>
              <w:t xml:space="preserve"> (requested effective price)</w:t>
            </w:r>
          </w:p>
        </w:tc>
        <w:tc>
          <w:tcPr>
            <w:tcW w:w="1842" w:type="dxa"/>
            <w:vAlign w:val="center"/>
          </w:tcPr>
          <w:p w:rsidR="004D34B8" w:rsidRPr="00A26F93" w:rsidRDefault="004D34B8" w:rsidP="00A4753F">
            <w:pPr>
              <w:pStyle w:val="Tabletext"/>
              <w:rPr>
                <w:rFonts w:cs="Arial"/>
                <w:szCs w:val="20"/>
              </w:rPr>
            </w:pPr>
            <w:r w:rsidRPr="00A26F93">
              <w:rPr>
                <w:rFonts w:cs="Arial"/>
                <w:szCs w:val="20"/>
              </w:rPr>
              <w:t>$</w:t>
            </w:r>
            <w:r w:rsidR="00BB6CB6">
              <w:rPr>
                <w:rFonts w:cs="Arial"/>
                <w:noProof/>
                <w:color w:val="000000"/>
                <w:szCs w:val="20"/>
                <w:highlight w:val="black"/>
              </w:rPr>
              <w:t>'''''''''''''''''''''</w:t>
            </w:r>
            <w:r w:rsidRPr="00A26F93">
              <w:rPr>
                <w:rFonts w:cs="Arial"/>
                <w:szCs w:val="20"/>
              </w:rPr>
              <w:t xml:space="preserve"> (requested effective price)</w:t>
            </w:r>
          </w:p>
        </w:tc>
        <w:tc>
          <w:tcPr>
            <w:tcW w:w="0" w:type="auto"/>
            <w:vAlign w:val="center"/>
          </w:tcPr>
          <w:p w:rsidR="004D34B8" w:rsidRPr="00A26F93" w:rsidRDefault="004D34B8" w:rsidP="00A4753F">
            <w:pPr>
              <w:pStyle w:val="Tabletext"/>
              <w:rPr>
                <w:rFonts w:cs="Arial"/>
                <w:szCs w:val="20"/>
              </w:rPr>
            </w:pPr>
            <w:r w:rsidRPr="00A26F93">
              <w:rPr>
                <w:rFonts w:cs="Arial"/>
                <w:szCs w:val="20"/>
              </w:rPr>
              <w:t>As requested</w:t>
            </w:r>
            <w:r w:rsidR="00022152" w:rsidRPr="00A26F93">
              <w:rPr>
                <w:rFonts w:cs="Arial"/>
                <w:szCs w:val="20"/>
              </w:rPr>
              <w:t xml:space="preserve"> by the sponsor</w:t>
            </w:r>
          </w:p>
        </w:tc>
      </w:tr>
      <w:tr w:rsidR="004D34B8" w:rsidRPr="00A26F93" w:rsidTr="00A4753F">
        <w:tc>
          <w:tcPr>
            <w:tcW w:w="0" w:type="auto"/>
            <w:vAlign w:val="center"/>
          </w:tcPr>
          <w:p w:rsidR="004D34B8" w:rsidRPr="00A26F93" w:rsidRDefault="004D34B8" w:rsidP="00A4753F">
            <w:pPr>
              <w:pStyle w:val="Tabletext"/>
              <w:rPr>
                <w:rFonts w:cs="Arial"/>
                <w:szCs w:val="20"/>
              </w:rPr>
            </w:pPr>
            <w:r w:rsidRPr="00A26F93">
              <w:rPr>
                <w:rFonts w:cs="Arial"/>
                <w:szCs w:val="20"/>
              </w:rPr>
              <w:t>Other health care costs</w:t>
            </w:r>
          </w:p>
        </w:tc>
        <w:tc>
          <w:tcPr>
            <w:tcW w:w="1841" w:type="dxa"/>
            <w:vAlign w:val="center"/>
          </w:tcPr>
          <w:p w:rsidR="004D34B8" w:rsidRPr="00A26F93" w:rsidRDefault="004D34B8" w:rsidP="00A4753F">
            <w:pPr>
              <w:pStyle w:val="Tabletext"/>
              <w:spacing w:after="40"/>
              <w:rPr>
                <w:rFonts w:cs="Arial"/>
                <w:i/>
                <w:szCs w:val="20"/>
              </w:rPr>
            </w:pPr>
            <w:r w:rsidRPr="00A26F93">
              <w:rPr>
                <w:rFonts w:cs="Arial"/>
                <w:szCs w:val="20"/>
              </w:rPr>
              <w:t>Derived from a 2005 economic evaluation and a 1997 Australian outpatient survey (n=48).</w:t>
            </w:r>
          </w:p>
          <w:p w:rsidR="004D34B8" w:rsidRPr="00A26F93" w:rsidRDefault="004D34B8" w:rsidP="00A4753F">
            <w:pPr>
              <w:pStyle w:val="Tabletext"/>
              <w:spacing w:after="40"/>
              <w:rPr>
                <w:rFonts w:cs="Arial"/>
                <w:szCs w:val="20"/>
              </w:rPr>
            </w:pPr>
            <w:r w:rsidRPr="00A26F93">
              <w:rPr>
                <w:rFonts w:cs="Arial"/>
                <w:szCs w:val="20"/>
              </w:rPr>
              <w:t>Annual responder health-state cost: $1,509.50</w:t>
            </w:r>
          </w:p>
          <w:p w:rsidR="004D34B8" w:rsidRPr="00A26F93" w:rsidRDefault="004D34B8" w:rsidP="00A4753F">
            <w:pPr>
              <w:pStyle w:val="Tabletext"/>
              <w:spacing w:after="40"/>
              <w:rPr>
                <w:rFonts w:cs="Arial"/>
                <w:szCs w:val="20"/>
              </w:rPr>
            </w:pPr>
            <w:r w:rsidRPr="00A26F93">
              <w:rPr>
                <w:rFonts w:cs="Arial"/>
                <w:szCs w:val="20"/>
              </w:rPr>
              <w:t>Annual non-responder health-state cost: $3,292.61</w:t>
            </w:r>
          </w:p>
          <w:p w:rsidR="004D34B8" w:rsidRPr="00A26F93" w:rsidRDefault="004D34B8" w:rsidP="00A4753F">
            <w:pPr>
              <w:pStyle w:val="Tabletext"/>
              <w:spacing w:after="40"/>
              <w:rPr>
                <w:rFonts w:cs="Arial"/>
                <w:szCs w:val="20"/>
              </w:rPr>
            </w:pPr>
            <w:r w:rsidRPr="00A26F93">
              <w:rPr>
                <w:rFonts w:cs="Arial"/>
                <w:szCs w:val="20"/>
              </w:rPr>
              <w:t xml:space="preserve">Conjunctivitis costs </w:t>
            </w:r>
            <w:r w:rsidRPr="00A26F93">
              <w:rPr>
                <w:rFonts w:cs="Arial"/>
                <w:szCs w:val="20"/>
                <w:u w:val="single"/>
              </w:rPr>
              <w:t>not</w:t>
            </w:r>
            <w:r w:rsidRPr="00A26F93">
              <w:rPr>
                <w:rFonts w:cs="Arial"/>
                <w:szCs w:val="20"/>
              </w:rPr>
              <w:t xml:space="preserve"> included</w:t>
            </w:r>
          </w:p>
        </w:tc>
        <w:tc>
          <w:tcPr>
            <w:tcW w:w="1842" w:type="dxa"/>
            <w:vAlign w:val="center"/>
          </w:tcPr>
          <w:p w:rsidR="004D34B8" w:rsidRPr="00A26F93" w:rsidRDefault="004D34B8" w:rsidP="00A4753F">
            <w:pPr>
              <w:pStyle w:val="Tabletext"/>
              <w:spacing w:after="40"/>
              <w:rPr>
                <w:rFonts w:cs="Arial"/>
                <w:i/>
                <w:szCs w:val="20"/>
              </w:rPr>
            </w:pPr>
            <w:r w:rsidRPr="00A26F93">
              <w:rPr>
                <w:rFonts w:cs="Arial"/>
                <w:szCs w:val="20"/>
              </w:rPr>
              <w:t xml:space="preserve">Derived from a survey of Australian dermatologists and immunologists (n=13). </w:t>
            </w:r>
            <w:r w:rsidRPr="00A26F93">
              <w:rPr>
                <w:rFonts w:cs="Arial"/>
                <w:i/>
                <w:szCs w:val="20"/>
              </w:rPr>
              <w:t xml:space="preserve"> </w:t>
            </w:r>
          </w:p>
          <w:p w:rsidR="004D34B8" w:rsidRPr="00A26F93" w:rsidRDefault="004D34B8" w:rsidP="00A4753F">
            <w:pPr>
              <w:pStyle w:val="Tabletext"/>
              <w:spacing w:after="40"/>
              <w:rPr>
                <w:rFonts w:cs="Arial"/>
                <w:szCs w:val="20"/>
              </w:rPr>
            </w:pPr>
            <w:r w:rsidRPr="00A26F93">
              <w:rPr>
                <w:rFonts w:cs="Arial"/>
                <w:szCs w:val="20"/>
              </w:rPr>
              <w:t>Annual responder health-state cost: $1,168.16</w:t>
            </w:r>
            <w:r w:rsidRPr="00A26F93">
              <w:rPr>
                <w:rFonts w:cs="Arial"/>
                <w:i/>
                <w:szCs w:val="20"/>
              </w:rPr>
              <w:t xml:space="preserve">  </w:t>
            </w:r>
          </w:p>
          <w:p w:rsidR="004D34B8" w:rsidRPr="00A26F93" w:rsidRDefault="004D34B8" w:rsidP="00A4753F">
            <w:pPr>
              <w:pStyle w:val="Tabletext"/>
              <w:spacing w:after="40"/>
              <w:rPr>
                <w:rFonts w:cs="Arial"/>
                <w:szCs w:val="20"/>
              </w:rPr>
            </w:pPr>
            <w:r w:rsidRPr="00A26F93">
              <w:rPr>
                <w:rFonts w:cs="Arial"/>
                <w:szCs w:val="20"/>
              </w:rPr>
              <w:t>Annual non-responder health state cost: $11,067.72</w:t>
            </w:r>
          </w:p>
          <w:p w:rsidR="004D34B8" w:rsidRPr="00A26F93" w:rsidRDefault="004D34B8" w:rsidP="00A4753F">
            <w:pPr>
              <w:pStyle w:val="Tabletext"/>
              <w:spacing w:after="40"/>
              <w:rPr>
                <w:rFonts w:cs="Arial"/>
                <w:szCs w:val="20"/>
              </w:rPr>
            </w:pPr>
            <w:r w:rsidRPr="00A26F93">
              <w:rPr>
                <w:rFonts w:cs="Arial"/>
                <w:szCs w:val="20"/>
              </w:rPr>
              <w:t xml:space="preserve">Conjunctivitis costs </w:t>
            </w:r>
            <w:r w:rsidRPr="00A26F93">
              <w:rPr>
                <w:rFonts w:cs="Arial"/>
                <w:szCs w:val="20"/>
                <w:u w:val="single"/>
              </w:rPr>
              <w:t>not</w:t>
            </w:r>
            <w:r w:rsidRPr="00A26F93">
              <w:rPr>
                <w:rFonts w:cs="Arial"/>
                <w:szCs w:val="20"/>
              </w:rPr>
              <w:t xml:space="preserve"> included</w:t>
            </w:r>
          </w:p>
          <w:p w:rsidR="004D34B8" w:rsidRPr="00A26F93" w:rsidRDefault="004D34B8" w:rsidP="00A4753F">
            <w:pPr>
              <w:pStyle w:val="Tabletext"/>
              <w:spacing w:after="40"/>
              <w:rPr>
                <w:rFonts w:cs="Arial"/>
                <w:i/>
                <w:szCs w:val="20"/>
              </w:rPr>
            </w:pPr>
            <w:r w:rsidRPr="00A26F93">
              <w:rPr>
                <w:rFonts w:cs="Arial"/>
                <w:szCs w:val="20"/>
              </w:rPr>
              <w:t xml:space="preserve">Phototherapy and TCS/TCI costs </w:t>
            </w:r>
            <w:r w:rsidRPr="00A26F93">
              <w:rPr>
                <w:rFonts w:cs="Arial"/>
                <w:szCs w:val="20"/>
                <w:u w:val="single"/>
              </w:rPr>
              <w:t>not</w:t>
            </w:r>
            <w:r w:rsidRPr="00A26F93">
              <w:rPr>
                <w:rFonts w:cs="Arial"/>
                <w:szCs w:val="20"/>
              </w:rPr>
              <w:t xml:space="preserve"> included</w:t>
            </w:r>
          </w:p>
        </w:tc>
        <w:tc>
          <w:tcPr>
            <w:tcW w:w="1842" w:type="dxa"/>
            <w:vAlign w:val="center"/>
          </w:tcPr>
          <w:p w:rsidR="004D34B8" w:rsidRPr="00A26F93" w:rsidRDefault="004D34B8" w:rsidP="00A4753F">
            <w:pPr>
              <w:pStyle w:val="Tabletext"/>
              <w:spacing w:after="40"/>
              <w:rPr>
                <w:rFonts w:cs="Arial"/>
                <w:szCs w:val="20"/>
              </w:rPr>
            </w:pPr>
            <w:r w:rsidRPr="00A26F93">
              <w:rPr>
                <w:rFonts w:cs="Arial"/>
                <w:szCs w:val="20"/>
              </w:rPr>
              <w:t>Derived from an updated clinician survey to that used in the July 2019 resubmission, with a larger sample size (n=61).</w:t>
            </w:r>
          </w:p>
          <w:p w:rsidR="004D34B8" w:rsidRPr="00A26F93" w:rsidRDefault="004D34B8" w:rsidP="00A4753F">
            <w:pPr>
              <w:pStyle w:val="Tabletext"/>
              <w:spacing w:after="40"/>
              <w:rPr>
                <w:rFonts w:cs="Arial"/>
                <w:szCs w:val="20"/>
              </w:rPr>
            </w:pPr>
            <w:r w:rsidRPr="00A26F93">
              <w:rPr>
                <w:rFonts w:cs="Arial"/>
                <w:szCs w:val="20"/>
              </w:rPr>
              <w:t>Annual responder health-state cost: $3,975.90</w:t>
            </w:r>
            <w:r w:rsidRPr="00A26F93">
              <w:rPr>
                <w:rFonts w:cs="Arial"/>
                <w:i/>
                <w:szCs w:val="20"/>
              </w:rPr>
              <w:t xml:space="preserve">  </w:t>
            </w:r>
          </w:p>
          <w:p w:rsidR="004D34B8" w:rsidRPr="00A26F93" w:rsidRDefault="004D34B8" w:rsidP="00A4753F">
            <w:pPr>
              <w:pStyle w:val="Tabletext"/>
              <w:spacing w:after="40"/>
              <w:rPr>
                <w:rFonts w:cs="Arial"/>
                <w:szCs w:val="20"/>
              </w:rPr>
            </w:pPr>
            <w:r w:rsidRPr="00A26F93">
              <w:rPr>
                <w:rFonts w:cs="Arial"/>
                <w:szCs w:val="20"/>
              </w:rPr>
              <w:t>Annual non-responder health state cost: $13,439.15</w:t>
            </w:r>
          </w:p>
          <w:p w:rsidR="004D34B8" w:rsidRPr="00A26F93" w:rsidRDefault="004D34B8" w:rsidP="00A4753F">
            <w:pPr>
              <w:pStyle w:val="Tabletext"/>
              <w:spacing w:after="40"/>
              <w:rPr>
                <w:rFonts w:cs="Arial"/>
                <w:szCs w:val="20"/>
              </w:rPr>
            </w:pPr>
            <w:r w:rsidRPr="00A26F93">
              <w:rPr>
                <w:rFonts w:cs="Arial"/>
                <w:szCs w:val="20"/>
              </w:rPr>
              <w:t>Conjunctivitis costs included</w:t>
            </w:r>
          </w:p>
          <w:p w:rsidR="004D34B8" w:rsidRPr="00A26F93" w:rsidRDefault="004D34B8" w:rsidP="00A4753F">
            <w:pPr>
              <w:pStyle w:val="Tabletext"/>
              <w:spacing w:after="40"/>
              <w:rPr>
                <w:rFonts w:cs="Arial"/>
                <w:szCs w:val="20"/>
              </w:rPr>
            </w:pPr>
            <w:r w:rsidRPr="00A26F93">
              <w:rPr>
                <w:rFonts w:cs="Arial"/>
                <w:szCs w:val="20"/>
              </w:rPr>
              <w:t>Phototherapy and TCS/TCI costs included</w:t>
            </w:r>
          </w:p>
        </w:tc>
        <w:tc>
          <w:tcPr>
            <w:tcW w:w="0" w:type="auto"/>
            <w:vAlign w:val="center"/>
          </w:tcPr>
          <w:p w:rsidR="004D34B8" w:rsidRPr="00A26F93" w:rsidRDefault="004D34B8" w:rsidP="00A4753F">
            <w:pPr>
              <w:pStyle w:val="Tabletext"/>
              <w:spacing w:after="40"/>
              <w:rPr>
                <w:rFonts w:cs="Arial"/>
                <w:szCs w:val="20"/>
              </w:rPr>
            </w:pPr>
            <w:r w:rsidRPr="00A26F93">
              <w:rPr>
                <w:rFonts w:cs="Arial"/>
                <w:szCs w:val="20"/>
              </w:rPr>
              <w:t xml:space="preserve">A clinician survey with a larger sample size was included to </w:t>
            </w:r>
            <w:r w:rsidR="002C19C4" w:rsidRPr="00A26F93">
              <w:rPr>
                <w:rFonts w:cs="Arial"/>
                <w:szCs w:val="20"/>
              </w:rPr>
              <w:t>address</w:t>
            </w:r>
            <w:r w:rsidRPr="00A26F93">
              <w:rPr>
                <w:rFonts w:cs="Arial"/>
                <w:szCs w:val="20"/>
              </w:rPr>
              <w:t xml:space="preserve"> issues with the low sample size of the clinician survey in the previous resubmission. Incremental changes to responder and non-responder annual health state costs (estimated from this survey) are of similar magnitude and direction compared to the previous resubmission.</w:t>
            </w:r>
          </w:p>
          <w:p w:rsidR="004D34B8" w:rsidRPr="00A26F93" w:rsidRDefault="004D34B8" w:rsidP="00911600">
            <w:pPr>
              <w:pStyle w:val="Tabletext"/>
              <w:rPr>
                <w:rFonts w:cs="Arial"/>
                <w:szCs w:val="20"/>
              </w:rPr>
            </w:pPr>
            <w:r w:rsidRPr="00A26F93">
              <w:rPr>
                <w:rFonts w:cs="Arial"/>
                <w:szCs w:val="20"/>
              </w:rPr>
              <w:t xml:space="preserve">The inclusion of phototherapy costs is </w:t>
            </w:r>
            <w:r w:rsidR="00911600" w:rsidRPr="00A26F93">
              <w:rPr>
                <w:rFonts w:cs="Arial"/>
                <w:szCs w:val="20"/>
              </w:rPr>
              <w:t>a significant</w:t>
            </w:r>
            <w:r w:rsidRPr="00A26F93">
              <w:rPr>
                <w:rFonts w:cs="Arial"/>
                <w:szCs w:val="20"/>
              </w:rPr>
              <w:t xml:space="preserve"> driver of the model. The phototherapy cost values used in the resubmission may not be plausible or appropriate. The previous submissions did not include phototherapy costs in the base-case.</w:t>
            </w:r>
          </w:p>
        </w:tc>
      </w:tr>
    </w:tbl>
    <w:p w:rsidR="004D34B8" w:rsidRDefault="004D34B8" w:rsidP="00F523CF">
      <w:pPr>
        <w:tabs>
          <w:tab w:val="left" w:pos="284"/>
        </w:tabs>
        <w:spacing w:after="120"/>
        <w:ind w:left="284" w:hanging="284"/>
        <w:rPr>
          <w:rFonts w:ascii="Arial Narrow" w:hAnsi="Arial Narrow"/>
          <w:sz w:val="18"/>
        </w:rPr>
      </w:pPr>
      <w:r w:rsidRPr="00B1054A">
        <w:rPr>
          <w:rFonts w:ascii="Arial Narrow" w:hAnsi="Arial Narrow"/>
          <w:sz w:val="18"/>
          <w:vertAlign w:val="superscript"/>
        </w:rPr>
        <w:t>a</w:t>
      </w:r>
      <w:r w:rsidRPr="00B1054A">
        <w:rPr>
          <w:rFonts w:ascii="Arial Narrow" w:hAnsi="Arial Narrow"/>
          <w:sz w:val="18"/>
        </w:rPr>
        <w:tab/>
        <w:t>response measured at 16 weeks, utilities for 8-16 weeks in the model are “half-cycle corrected” between baseline non-response and proportion who become responders at Week 16</w:t>
      </w:r>
    </w:p>
    <w:p w:rsidR="00FD09B1" w:rsidRPr="00044700" w:rsidRDefault="00FD09B1" w:rsidP="00FD09B1">
      <w:pPr>
        <w:keepNext/>
        <w:keepLines/>
        <w:tabs>
          <w:tab w:val="left" w:pos="284"/>
        </w:tabs>
        <w:spacing w:after="120"/>
        <w:ind w:left="284" w:hanging="284"/>
        <w:rPr>
          <w:rStyle w:val="CommentReference"/>
          <w:b w:val="0"/>
          <w:sz w:val="18"/>
          <w:szCs w:val="18"/>
        </w:rPr>
      </w:pPr>
      <w:r w:rsidRPr="00FD09B1">
        <w:rPr>
          <w:rStyle w:val="CommentReference"/>
          <w:b w:val="0"/>
          <w:i/>
          <w:sz w:val="18"/>
          <w:szCs w:val="18"/>
          <w:vertAlign w:val="superscript"/>
        </w:rPr>
        <w:t>b</w:t>
      </w:r>
      <w:r w:rsidRPr="00044700">
        <w:rPr>
          <w:rStyle w:val="CommentReference"/>
          <w:b w:val="0"/>
          <w:i/>
          <w:sz w:val="18"/>
          <w:szCs w:val="18"/>
        </w:rPr>
        <w:t xml:space="preserve"> </w:t>
      </w:r>
      <w:r>
        <w:rPr>
          <w:rStyle w:val="CommentReference"/>
          <w:b w:val="0"/>
          <w:i/>
          <w:sz w:val="18"/>
          <w:szCs w:val="18"/>
        </w:rPr>
        <w:tab/>
      </w:r>
      <w:r w:rsidRPr="00044700">
        <w:rPr>
          <w:rStyle w:val="CommentReference"/>
          <w:b w:val="0"/>
          <w:i/>
          <w:sz w:val="18"/>
          <w:szCs w:val="18"/>
        </w:rPr>
        <w:t xml:space="preserve">Note that the results presented in </w:t>
      </w:r>
      <w:r w:rsidR="0015064D">
        <w:rPr>
          <w:rStyle w:val="CommentReference"/>
          <w:b w:val="0"/>
          <w:i/>
          <w:sz w:val="18"/>
          <w:szCs w:val="18"/>
        </w:rPr>
        <w:t xml:space="preserve">these cells </w:t>
      </w:r>
      <w:r w:rsidRPr="00044700">
        <w:rPr>
          <w:rStyle w:val="CommentReference"/>
          <w:b w:val="0"/>
          <w:i/>
          <w:sz w:val="18"/>
          <w:szCs w:val="18"/>
        </w:rPr>
        <w:t>are derived from post-hoc analyses conducted by the applican</w:t>
      </w:r>
      <w:r>
        <w:rPr>
          <w:rStyle w:val="CommentReference"/>
          <w:b w:val="0"/>
          <w:i/>
          <w:sz w:val="18"/>
          <w:szCs w:val="18"/>
        </w:rPr>
        <w:t>t</w:t>
      </w:r>
      <w:r w:rsidRPr="00044700">
        <w:rPr>
          <w:rStyle w:val="CommentReference"/>
          <w:b w:val="0"/>
          <w:i/>
          <w:sz w:val="18"/>
          <w:szCs w:val="18"/>
        </w:rPr>
        <w:t xml:space="preserve"> specifically for the purposes of informing the PBAC consideration. These analyses were not part of the pre-specified statistical plan</w:t>
      </w:r>
      <w:r w:rsidR="00993CC6">
        <w:rPr>
          <w:rStyle w:val="CommentReference"/>
          <w:b w:val="0"/>
          <w:i/>
          <w:sz w:val="18"/>
          <w:szCs w:val="18"/>
        </w:rPr>
        <w:t>s</w:t>
      </w:r>
      <w:r w:rsidRPr="00044700">
        <w:rPr>
          <w:rStyle w:val="CommentReference"/>
          <w:b w:val="0"/>
          <w:i/>
          <w:sz w:val="18"/>
          <w:szCs w:val="18"/>
        </w:rPr>
        <w:t xml:space="preserve"> for </w:t>
      </w:r>
      <w:r>
        <w:rPr>
          <w:rStyle w:val="CommentReference"/>
          <w:b w:val="0"/>
          <w:i/>
          <w:sz w:val="18"/>
          <w:szCs w:val="18"/>
        </w:rPr>
        <w:t xml:space="preserve">Studies </w:t>
      </w:r>
      <w:r w:rsidRPr="00044700">
        <w:rPr>
          <w:rStyle w:val="CommentReference"/>
          <w:b w:val="0"/>
          <w:i/>
          <w:sz w:val="18"/>
          <w:szCs w:val="18"/>
        </w:rPr>
        <w:t>1021, SOLO 1, SOLO 2</w:t>
      </w:r>
      <w:r>
        <w:rPr>
          <w:rStyle w:val="CommentReference"/>
          <w:b w:val="0"/>
          <w:i/>
          <w:sz w:val="18"/>
          <w:szCs w:val="18"/>
        </w:rPr>
        <w:t xml:space="preserve"> and</w:t>
      </w:r>
      <w:r w:rsidRPr="00044700">
        <w:rPr>
          <w:rStyle w:val="CommentReference"/>
          <w:b w:val="0"/>
          <w:i/>
          <w:sz w:val="18"/>
          <w:szCs w:val="18"/>
        </w:rPr>
        <w:t xml:space="preserve"> CHRONOS. Interpretation of the results and their application should therefore be limited to seeking to understand the basis for the PBAC outcome and should not be used for any other purpose.</w:t>
      </w:r>
    </w:p>
    <w:p w:rsidR="00FD09B1" w:rsidRPr="00B1054A" w:rsidRDefault="00FD09B1" w:rsidP="00F523CF">
      <w:pPr>
        <w:tabs>
          <w:tab w:val="left" w:pos="284"/>
        </w:tabs>
        <w:spacing w:after="120"/>
        <w:ind w:left="284" w:hanging="284"/>
        <w:rPr>
          <w:rFonts w:ascii="Arial Narrow" w:hAnsi="Arial Narrow"/>
          <w:sz w:val="18"/>
        </w:rPr>
      </w:pPr>
    </w:p>
    <w:p w:rsidR="00490B17" w:rsidRPr="00B1054A" w:rsidRDefault="00F523CF" w:rsidP="002E1071">
      <w:pPr>
        <w:pStyle w:val="3-BodyText"/>
      </w:pPr>
      <w:r w:rsidRPr="00B1054A">
        <w:t xml:space="preserve">The resubmission presented a stepped cost-utility analysis based on direct randomised trial evidence. The Markov model included an initial decision tree for </w:t>
      </w:r>
      <w:r w:rsidRPr="00B1054A">
        <w:lastRenderedPageBreak/>
        <w:t>induction treatment (16 weeks) and the first cycle (26 weeks) of maintenance treatment prior to the Markov component (all subsequent maintenance treatment cycles). Patients began the model in the induction health state (considered to be non-responders), and could not transition back to induction treatment at any point in the model. Patients could transition to be responders, non-responders or die (death was only relevant in the Markov component of the model), accumulating relevant costs and utilities for each health state. Patients in the responder health state could remain a responder or transition to non-responder or die. Patients in the non-responder health state could not transition to the responder health state at any point in the model, but could transition to death.</w:t>
      </w:r>
    </w:p>
    <w:p w:rsidR="002F6ADE" w:rsidRPr="00B1054A" w:rsidRDefault="002F6ADE" w:rsidP="002E1071">
      <w:pPr>
        <w:pStyle w:val="3-BodyText"/>
      </w:pPr>
      <w:r w:rsidRPr="00B1054A">
        <w:t xml:space="preserve">The ESC noted that baseline utilities were lower than those used in the previous submission and considered this is likely to be appropriate, given the more severe patient population. The ESC also noted that the responder utilities were higher than the values used in the previous resubmission and </w:t>
      </w:r>
      <w:r w:rsidR="006A5169" w:rsidRPr="00B1054A">
        <w:t>considered these utilities appeared implausibly high for a chronic disease</w:t>
      </w:r>
      <w:r w:rsidRPr="00B1054A">
        <w:t xml:space="preserve">. The ESC noted that the PSCR did not clarify </w:t>
      </w:r>
      <w:r w:rsidR="006A5169" w:rsidRPr="00B1054A">
        <w:t>what</w:t>
      </w:r>
      <w:r w:rsidRPr="00B1054A">
        <w:t xml:space="preserve"> patient population was the basis of the utility values used in the resubmission. The ESC also noted that the commentary suggested that it may not be appropriate to attribute any utility from baseline to week 16, however the ESC considered that it may be appropriate to attribute half </w:t>
      </w:r>
      <w:r w:rsidR="006A5169" w:rsidRPr="00B1054A">
        <w:t xml:space="preserve">the </w:t>
      </w:r>
      <w:r w:rsidRPr="00B1054A">
        <w:t xml:space="preserve">utility benefit over this time. </w:t>
      </w:r>
    </w:p>
    <w:p w:rsidR="00F523CF" w:rsidRPr="00B1054A" w:rsidRDefault="00F523CF" w:rsidP="00F20954">
      <w:pPr>
        <w:pStyle w:val="ListParagraph"/>
        <w:numPr>
          <w:ilvl w:val="1"/>
          <w:numId w:val="1"/>
        </w:numPr>
        <w:spacing w:after="160"/>
      </w:pPr>
      <w:r w:rsidRPr="00B1054A">
        <w:t xml:space="preserve">A summary of the key model drivers is presented in </w:t>
      </w:r>
      <w:r w:rsidR="00F20954" w:rsidRPr="00B1054A">
        <w:t>Table 14</w:t>
      </w:r>
      <w:r w:rsidRPr="00B1054A">
        <w:t xml:space="preserve">. The extrapolation of loss of response and the time horizon were also key model drivers in the previous </w:t>
      </w:r>
      <w:r w:rsidR="00F20954" w:rsidRPr="00B1054A">
        <w:t>(re)</w:t>
      </w:r>
      <w:r w:rsidRPr="00B1054A">
        <w:t>submission</w:t>
      </w:r>
      <w:r w:rsidR="00F20954" w:rsidRPr="00B1054A">
        <w:t>s</w:t>
      </w:r>
      <w:r w:rsidRPr="00B1054A">
        <w:t xml:space="preserve">. Non-responder health state costs were not considered a key model driver in the </w:t>
      </w:r>
      <w:r w:rsidR="00F20954" w:rsidRPr="00B1054A">
        <w:t>July 2018</w:t>
      </w:r>
      <w:r w:rsidRPr="00B1054A">
        <w:t xml:space="preserve"> submission; however, the </w:t>
      </w:r>
      <w:r w:rsidR="00F20954" w:rsidRPr="00B1054A">
        <w:t xml:space="preserve">July 2019 </w:t>
      </w:r>
      <w:r w:rsidRPr="00B1054A">
        <w:t xml:space="preserve">resubmission </w:t>
      </w:r>
      <w:r w:rsidR="00F20954" w:rsidRPr="00B1054A">
        <w:t xml:space="preserve">and this resubmission’s </w:t>
      </w:r>
      <w:r w:rsidRPr="00B1054A">
        <w:t>model</w:t>
      </w:r>
      <w:r w:rsidR="00F20954" w:rsidRPr="00B1054A">
        <w:t>s</w:t>
      </w:r>
      <w:r w:rsidRPr="00B1054A">
        <w:t xml:space="preserve"> w</w:t>
      </w:r>
      <w:r w:rsidR="00F20954" w:rsidRPr="00B1054A">
        <w:t>ere</w:t>
      </w:r>
      <w:r w:rsidRPr="00B1054A">
        <w:t xml:space="preserve"> sensitive to health state costs.</w:t>
      </w:r>
      <w:r w:rsidR="00434057" w:rsidRPr="00B1054A">
        <w:t xml:space="preserve"> </w:t>
      </w:r>
    </w:p>
    <w:p w:rsidR="00F523CF" w:rsidRPr="00B1054A" w:rsidRDefault="00F523CF" w:rsidP="00F20954">
      <w:pPr>
        <w:pStyle w:val="TableFigureHeading"/>
        <w:rPr>
          <w:rStyle w:val="CommentReference"/>
          <w:b/>
          <w:szCs w:val="24"/>
        </w:rPr>
      </w:pPr>
      <w:bookmarkStart w:id="35" w:name="_Ref27436396"/>
      <w:r w:rsidRPr="00B1054A">
        <w:rPr>
          <w:rStyle w:val="CommentReference"/>
          <w:b/>
          <w:szCs w:val="24"/>
        </w:rPr>
        <w:t xml:space="preserve">Table </w:t>
      </w:r>
      <w:r w:rsidR="00B20399" w:rsidRPr="00B1054A">
        <w:rPr>
          <w:rStyle w:val="CommentReference"/>
          <w:b/>
          <w:szCs w:val="24"/>
        </w:rPr>
        <w:t>14</w:t>
      </w:r>
      <w:bookmarkEnd w:id="35"/>
      <w:r w:rsidRPr="00B1054A">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drivers of the model"/>
      </w:tblPr>
      <w:tblGrid>
        <w:gridCol w:w="1713"/>
        <w:gridCol w:w="4619"/>
        <w:gridCol w:w="2685"/>
      </w:tblGrid>
      <w:tr w:rsidR="00F523CF" w:rsidRPr="00B1054A" w:rsidTr="00A4753F">
        <w:trPr>
          <w:tblHeader/>
        </w:trPr>
        <w:tc>
          <w:tcPr>
            <w:tcW w:w="950" w:type="pct"/>
            <w:shd w:val="clear" w:color="auto" w:fill="auto"/>
            <w:vAlign w:val="center"/>
          </w:tcPr>
          <w:p w:rsidR="00F523CF" w:rsidRPr="00B1054A" w:rsidRDefault="00F523CF" w:rsidP="00A4753F">
            <w:pPr>
              <w:pStyle w:val="Tabletext"/>
              <w:keepNext/>
              <w:keepLines/>
              <w:rPr>
                <w:b/>
              </w:rPr>
            </w:pPr>
            <w:r w:rsidRPr="00B1054A">
              <w:rPr>
                <w:b/>
              </w:rPr>
              <w:t>Description</w:t>
            </w:r>
          </w:p>
        </w:tc>
        <w:tc>
          <w:tcPr>
            <w:tcW w:w="2561" w:type="pct"/>
            <w:shd w:val="clear" w:color="auto" w:fill="auto"/>
            <w:vAlign w:val="center"/>
          </w:tcPr>
          <w:p w:rsidR="00F523CF" w:rsidRPr="00B1054A" w:rsidRDefault="00F523CF" w:rsidP="00A4753F">
            <w:pPr>
              <w:pStyle w:val="Tabletext"/>
              <w:keepNext/>
              <w:keepLines/>
              <w:jc w:val="center"/>
              <w:rPr>
                <w:b/>
              </w:rPr>
            </w:pPr>
            <w:r w:rsidRPr="00B1054A">
              <w:rPr>
                <w:b/>
              </w:rPr>
              <w:t>Method/Value</w:t>
            </w:r>
          </w:p>
        </w:tc>
        <w:tc>
          <w:tcPr>
            <w:tcW w:w="1489" w:type="pct"/>
            <w:shd w:val="clear" w:color="auto" w:fill="auto"/>
            <w:vAlign w:val="center"/>
          </w:tcPr>
          <w:p w:rsidR="00F523CF" w:rsidRPr="00B1054A" w:rsidRDefault="00F523CF" w:rsidP="00A4753F">
            <w:pPr>
              <w:pStyle w:val="Tabletext"/>
              <w:keepNext/>
              <w:keepLines/>
              <w:jc w:val="center"/>
              <w:rPr>
                <w:b/>
              </w:rPr>
            </w:pPr>
            <w:r w:rsidRPr="00B1054A">
              <w:rPr>
                <w:b/>
              </w:rPr>
              <w:t>Impact</w:t>
            </w:r>
          </w:p>
        </w:tc>
      </w:tr>
      <w:tr w:rsidR="00F523CF" w:rsidRPr="00B1054A" w:rsidTr="00A4753F">
        <w:tc>
          <w:tcPr>
            <w:tcW w:w="950" w:type="pct"/>
            <w:shd w:val="clear" w:color="auto" w:fill="auto"/>
            <w:vAlign w:val="center"/>
          </w:tcPr>
          <w:p w:rsidR="00F523CF" w:rsidRPr="00B1054A" w:rsidRDefault="00F523CF" w:rsidP="00A4753F">
            <w:pPr>
              <w:pStyle w:val="Tabletext"/>
              <w:keepNext/>
              <w:keepLines/>
            </w:pPr>
            <w:r w:rsidRPr="00B1054A">
              <w:t>Time horizon</w:t>
            </w:r>
          </w:p>
        </w:tc>
        <w:tc>
          <w:tcPr>
            <w:tcW w:w="2561" w:type="pct"/>
            <w:shd w:val="clear" w:color="auto" w:fill="auto"/>
            <w:vAlign w:val="center"/>
          </w:tcPr>
          <w:p w:rsidR="00F523CF" w:rsidRPr="00B1054A" w:rsidRDefault="00F523CF" w:rsidP="00F20954">
            <w:pPr>
              <w:pStyle w:val="Tabletext"/>
              <w:keepNext/>
              <w:keepLines/>
            </w:pPr>
            <w:r w:rsidRPr="00B1054A">
              <w:t xml:space="preserve">Base-case of </w:t>
            </w:r>
            <w:r w:rsidR="00F20954" w:rsidRPr="00B1054A">
              <w:t>5 years. This was decreased from 10</w:t>
            </w:r>
            <w:r w:rsidRPr="00B1054A">
              <w:t xml:space="preserve"> years in the </w:t>
            </w:r>
            <w:r w:rsidR="00F20954" w:rsidRPr="00B1054A">
              <w:t>previous resubmission</w:t>
            </w:r>
            <w:r w:rsidRPr="00B1054A">
              <w:t xml:space="preserve">. </w:t>
            </w:r>
          </w:p>
        </w:tc>
        <w:tc>
          <w:tcPr>
            <w:tcW w:w="1489" w:type="pct"/>
            <w:shd w:val="clear" w:color="auto" w:fill="auto"/>
            <w:vAlign w:val="center"/>
          </w:tcPr>
          <w:p w:rsidR="00F523CF" w:rsidRPr="00B1054A" w:rsidRDefault="00F523CF" w:rsidP="00F20954">
            <w:pPr>
              <w:pStyle w:val="Tabletext"/>
              <w:keepNext/>
              <w:keepLines/>
            </w:pPr>
            <w:r w:rsidRPr="00B1054A">
              <w:t>High, favours dupilumab. A one-year time horizon results in an 8</w:t>
            </w:r>
            <w:r w:rsidR="00F20954" w:rsidRPr="00B1054A">
              <w:t>3</w:t>
            </w:r>
            <w:r w:rsidRPr="00B1054A">
              <w:t>% increase in base-case ICER.</w:t>
            </w:r>
          </w:p>
        </w:tc>
      </w:tr>
      <w:tr w:rsidR="00F523CF" w:rsidRPr="00B1054A" w:rsidTr="00A4753F">
        <w:tc>
          <w:tcPr>
            <w:tcW w:w="950" w:type="pct"/>
            <w:shd w:val="clear" w:color="auto" w:fill="auto"/>
            <w:vAlign w:val="center"/>
          </w:tcPr>
          <w:p w:rsidR="00F523CF" w:rsidRPr="00B1054A" w:rsidRDefault="006D5E23" w:rsidP="00A4753F">
            <w:pPr>
              <w:pStyle w:val="Tabletext"/>
              <w:keepNext/>
              <w:keepLines/>
            </w:pPr>
            <w:r w:rsidRPr="00B1054A">
              <w:t>Maintenance</w:t>
            </w:r>
            <w:r w:rsidR="00F523CF" w:rsidRPr="00B1054A">
              <w:t xml:space="preserve"> of response</w:t>
            </w:r>
            <w:r w:rsidR="008048D3" w:rsidRPr="00B1054A">
              <w:t xml:space="preserve"> (Year 2+)</w:t>
            </w:r>
          </w:p>
        </w:tc>
        <w:tc>
          <w:tcPr>
            <w:tcW w:w="2561" w:type="pct"/>
            <w:shd w:val="clear" w:color="auto" w:fill="auto"/>
            <w:vAlign w:val="center"/>
          </w:tcPr>
          <w:p w:rsidR="00F523CF" w:rsidRPr="00B1054A" w:rsidRDefault="00F523CF" w:rsidP="00A4753F">
            <w:pPr>
              <w:pStyle w:val="Tabletext"/>
              <w:keepNext/>
              <w:keepLines/>
            </w:pPr>
            <w:r w:rsidRPr="00B1054A">
              <w:t xml:space="preserve">Derived from time-to-event regression analyses from CHRONOS time-to-rescue treatment or treatment withdrawal data. </w:t>
            </w:r>
          </w:p>
        </w:tc>
        <w:tc>
          <w:tcPr>
            <w:tcW w:w="1489" w:type="pct"/>
            <w:shd w:val="clear" w:color="auto" w:fill="auto"/>
            <w:vAlign w:val="center"/>
          </w:tcPr>
          <w:p w:rsidR="00F523CF" w:rsidRPr="00B1054A" w:rsidRDefault="00F523CF" w:rsidP="00A4753F">
            <w:pPr>
              <w:pStyle w:val="Tabletext"/>
              <w:keepNext/>
              <w:keepLines/>
            </w:pPr>
            <w:r w:rsidRPr="00B1054A">
              <w:t>High, favours dupilumab.</w:t>
            </w:r>
          </w:p>
        </w:tc>
      </w:tr>
      <w:tr w:rsidR="00F523CF" w:rsidRPr="00B1054A" w:rsidTr="00A4753F">
        <w:tc>
          <w:tcPr>
            <w:tcW w:w="950" w:type="pct"/>
            <w:shd w:val="clear" w:color="auto" w:fill="auto"/>
            <w:vAlign w:val="center"/>
          </w:tcPr>
          <w:p w:rsidR="00F523CF" w:rsidRPr="00B1054A" w:rsidRDefault="00F20954" w:rsidP="00A4753F">
            <w:pPr>
              <w:pStyle w:val="Tabletext"/>
              <w:keepNext/>
              <w:keepLines/>
            </w:pPr>
            <w:r w:rsidRPr="00B1054A">
              <w:t>H</w:t>
            </w:r>
            <w:r w:rsidR="00F523CF" w:rsidRPr="00B1054A">
              <w:t>ealth state costs</w:t>
            </w:r>
            <w:r w:rsidRPr="00B1054A">
              <w:t xml:space="preserve"> including phototherapy</w:t>
            </w:r>
          </w:p>
        </w:tc>
        <w:tc>
          <w:tcPr>
            <w:tcW w:w="2561" w:type="pct"/>
            <w:shd w:val="clear" w:color="auto" w:fill="auto"/>
            <w:vAlign w:val="center"/>
          </w:tcPr>
          <w:p w:rsidR="00F523CF" w:rsidRPr="00B1054A" w:rsidRDefault="002722EC" w:rsidP="002E7201">
            <w:pPr>
              <w:pStyle w:val="Tabletext"/>
              <w:keepNext/>
              <w:keepLines/>
            </w:pPr>
            <w:r w:rsidRPr="00B1054A">
              <w:t xml:space="preserve">Assumed three sessions of phototherapy per week on the basis of a study (Patrizi et al 2015) </w:t>
            </w:r>
          </w:p>
        </w:tc>
        <w:tc>
          <w:tcPr>
            <w:tcW w:w="1489" w:type="pct"/>
            <w:shd w:val="clear" w:color="auto" w:fill="auto"/>
            <w:vAlign w:val="center"/>
          </w:tcPr>
          <w:p w:rsidR="00F523CF" w:rsidRPr="00B1054A" w:rsidRDefault="00F523CF" w:rsidP="00F20954">
            <w:pPr>
              <w:pStyle w:val="Tabletext"/>
              <w:keepNext/>
              <w:keepLines/>
            </w:pPr>
            <w:r w:rsidRPr="00B1054A">
              <w:t xml:space="preserve">High, favours dupilumab. </w:t>
            </w:r>
            <w:r w:rsidR="00F20954" w:rsidRPr="00B1054A">
              <w:t>Removing phototherapy costs</w:t>
            </w:r>
            <w:r w:rsidRPr="00B1054A">
              <w:t xml:space="preserve"> </w:t>
            </w:r>
            <w:r w:rsidR="00F20954" w:rsidRPr="00B1054A">
              <w:t>increased the ICER by</w:t>
            </w:r>
            <w:r w:rsidRPr="00B1054A">
              <w:t xml:space="preserve"> </w:t>
            </w:r>
            <w:r w:rsidR="00F20954" w:rsidRPr="00B1054A">
              <w:t>47%.</w:t>
            </w:r>
          </w:p>
        </w:tc>
      </w:tr>
    </w:tbl>
    <w:p w:rsidR="00F523CF" w:rsidRPr="00B1054A" w:rsidRDefault="00F523CF" w:rsidP="004A7C1E">
      <w:pPr>
        <w:pStyle w:val="TableFooter"/>
        <w:spacing w:after="120"/>
      </w:pPr>
      <w:r w:rsidRPr="00B1054A">
        <w:t>Source: Evaluation of Section 3 of the resubmission</w:t>
      </w:r>
    </w:p>
    <w:p w:rsidR="002722EC" w:rsidRPr="00B1054A" w:rsidRDefault="003F3151" w:rsidP="00BB00B3">
      <w:pPr>
        <w:pStyle w:val="3-BodyText"/>
      </w:pPr>
      <w:r w:rsidRPr="00B1054A">
        <w:t xml:space="preserve">As for </w:t>
      </w:r>
      <w:r w:rsidR="001116F0" w:rsidRPr="00B1054A">
        <w:t>the model presented in the July 2019 resubmission, this resubmission assume</w:t>
      </w:r>
      <w:r w:rsidRPr="00B1054A">
        <w:t>d a</w:t>
      </w:r>
      <w:r w:rsidR="001116F0" w:rsidRPr="00B1054A">
        <w:t xml:space="preserve"> differential maintenance of response for dupilumab and placebo</w:t>
      </w:r>
      <w:r w:rsidR="006D5E23" w:rsidRPr="00B1054A">
        <w:t>, see Figure 1</w:t>
      </w:r>
      <w:r w:rsidR="001116F0" w:rsidRPr="00B1054A">
        <w:t xml:space="preserve">. The PBAC </w:t>
      </w:r>
      <w:r w:rsidRPr="00B1054A">
        <w:t xml:space="preserve">previously </w:t>
      </w:r>
      <w:r w:rsidR="001116F0" w:rsidRPr="00B1054A">
        <w:t>stated that “the differential maintenance of response rates applied to treatment arms in the model were not reasonable” (Dupilumab July 2019 PSD, paragraph 6.40). However, the current resubmission (p123) ‘maintains that it is appropriate that differential rates of maintenance of response beyond Week 42 should be applied to the dupilumab and SoC arms’ based on the same justifications provided in the July 2019 resubmission</w:t>
      </w:r>
      <w:r w:rsidR="00A347DC" w:rsidRPr="00B1054A">
        <w:t>:</w:t>
      </w:r>
      <w:r w:rsidR="001116F0" w:rsidRPr="00B1054A">
        <w:t xml:space="preserve"> </w:t>
      </w:r>
      <w:r w:rsidR="00017A9E" w:rsidRPr="00B1054A">
        <w:t>n</w:t>
      </w:r>
      <w:r w:rsidR="006D5E23" w:rsidRPr="00B1054A">
        <w:t xml:space="preserve">amely, (i) </w:t>
      </w:r>
      <w:r w:rsidR="00A347DC" w:rsidRPr="00B1054A">
        <w:t xml:space="preserve">a panel of dermatologists and </w:t>
      </w:r>
      <w:r w:rsidR="00A347DC" w:rsidRPr="00B1054A">
        <w:lastRenderedPageBreak/>
        <w:t xml:space="preserve">interviews with eight AD patients lead to a list of behavioural and clinical factors that justified the need for clinical and utility benefit used in the model to be considered separately for dupilumab and SoC arms; and (ii) </w:t>
      </w:r>
      <w:r w:rsidR="006D5E23" w:rsidRPr="00B1054A">
        <w:t>UK HTA appraisals (by NICE and the SMC) accepted that SoC patients would revert to pre-trial health within less than one year</w:t>
      </w:r>
      <w:r w:rsidR="00A347DC" w:rsidRPr="00B1054A">
        <w:t xml:space="preserve">. </w:t>
      </w:r>
      <w:r w:rsidR="006D5E23" w:rsidRPr="00B1054A">
        <w:t xml:space="preserve"> </w:t>
      </w:r>
      <w:r w:rsidR="006B51C2" w:rsidRPr="00B1054A">
        <w:t>The PBAC considered that</w:t>
      </w:r>
      <w:r w:rsidR="001116F0" w:rsidRPr="00B1054A">
        <w:t xml:space="preserve"> the same issues and uncertainty associated with these values as applied in the previous resubmission remain.</w:t>
      </w:r>
    </w:p>
    <w:p w:rsidR="00F4436D" w:rsidRPr="00B1054A" w:rsidRDefault="00017A9E" w:rsidP="00BB00B3">
      <w:pPr>
        <w:pStyle w:val="3-BodyText"/>
      </w:pPr>
      <w:r w:rsidRPr="00B1054A">
        <w:t xml:space="preserve">The ESC maintained that the approach to </w:t>
      </w:r>
      <w:r w:rsidR="0007048C" w:rsidRPr="00B1054A">
        <w:t xml:space="preserve">modelling </w:t>
      </w:r>
      <w:r w:rsidR="003D2E9F" w:rsidRPr="00B1054A">
        <w:t>of maintenance</w:t>
      </w:r>
      <w:r w:rsidRPr="00B1054A">
        <w:t xml:space="preserve"> of response rates was not appropriate</w:t>
      </w:r>
      <w:r w:rsidR="00F4436D" w:rsidRPr="00B1054A">
        <w:t xml:space="preserve">. The ESC considered that </w:t>
      </w:r>
      <w:r w:rsidR="004D02B4" w:rsidRPr="00B1054A">
        <w:t>the application of differential maintenance of response</w:t>
      </w:r>
      <w:r w:rsidR="00F4436D" w:rsidRPr="00B1054A">
        <w:t xml:space="preserve"> highly favoured dupilumab </w:t>
      </w:r>
      <w:r w:rsidR="004D02B4" w:rsidRPr="00B1054A">
        <w:t xml:space="preserve">and was not justified </w:t>
      </w:r>
      <w:r w:rsidR="00F4436D" w:rsidRPr="00B1054A">
        <w:t>for the following reasons</w:t>
      </w:r>
      <w:r w:rsidR="00442653" w:rsidRPr="00B1054A">
        <w:t>:</w:t>
      </w:r>
      <w:r w:rsidR="00F4436D" w:rsidRPr="00B1054A">
        <w:t xml:space="preserve"> </w:t>
      </w:r>
      <w:r w:rsidRPr="00B1054A">
        <w:t xml:space="preserve"> </w:t>
      </w:r>
    </w:p>
    <w:p w:rsidR="00F4436D" w:rsidRPr="00B1054A" w:rsidRDefault="00F4436D" w:rsidP="004D02B4">
      <w:pPr>
        <w:pStyle w:val="ListParagraph"/>
        <w:ind w:left="1134"/>
      </w:pPr>
      <w:r w:rsidRPr="00B1054A">
        <w:t>T</w:t>
      </w:r>
      <w:r w:rsidR="00017A9E" w:rsidRPr="00B1054A">
        <w:t xml:space="preserve">he financial estimates assumed that there was a proportion of patients with severe AD who were adequately controlled without systemic treatment (32%) and this was inconsistent with assuming that all placebo-treated patients would revert to pre-trial health within less than one year. </w:t>
      </w:r>
    </w:p>
    <w:p w:rsidR="004D02B4" w:rsidRPr="00B1054A" w:rsidRDefault="00017A9E" w:rsidP="004D02B4">
      <w:pPr>
        <w:pStyle w:val="ListParagraph"/>
        <w:ind w:left="1134"/>
      </w:pPr>
      <w:r w:rsidRPr="00B1054A">
        <w:t xml:space="preserve">The ESC noted that the PSCR argued that </w:t>
      </w:r>
      <w:r w:rsidR="00F4436D" w:rsidRPr="00B1054A">
        <w:t>differences</w:t>
      </w:r>
      <w:r w:rsidRPr="00B1054A">
        <w:t xml:space="preserve"> between the trial setting and the real-world clinical setting would result in patients </w:t>
      </w:r>
      <w:r w:rsidR="00930E09" w:rsidRPr="00B1054A">
        <w:t xml:space="preserve">in the SoC arm </w:t>
      </w:r>
      <w:r w:rsidR="005014FF" w:rsidRPr="00B1054A">
        <w:t xml:space="preserve">rapidly </w:t>
      </w:r>
      <w:r w:rsidRPr="00B1054A">
        <w:t>reverting to pre-trial health, however the ESC considered that there would also be differences between the trial setting and the real-world setting for patients treated with dupilumab and this was not accounted for in the submission’s approach to maintenance of response.</w:t>
      </w:r>
      <w:r w:rsidR="00F4436D" w:rsidRPr="00B1054A">
        <w:t xml:space="preserve"> </w:t>
      </w:r>
    </w:p>
    <w:p w:rsidR="00017A9E" w:rsidRPr="00B1054A" w:rsidRDefault="00017A9E" w:rsidP="004D02B4">
      <w:pPr>
        <w:pStyle w:val="ListParagraph"/>
        <w:ind w:left="1134"/>
      </w:pPr>
      <w:r w:rsidRPr="00B1054A">
        <w:t>The ESC noted that</w:t>
      </w:r>
      <w:r w:rsidR="00140849" w:rsidRPr="00B1054A">
        <w:t>,</w:t>
      </w:r>
      <w:r w:rsidRPr="00B1054A">
        <w:t xml:space="preserve"> </w:t>
      </w:r>
      <w:r w:rsidR="00140849" w:rsidRPr="00B1054A">
        <w:t xml:space="preserve">in </w:t>
      </w:r>
      <w:r w:rsidRPr="00B1054A">
        <w:t xml:space="preserve">the regression </w:t>
      </w:r>
      <w:r w:rsidR="00177B0A" w:rsidRPr="00B1054A">
        <w:t>analysis</w:t>
      </w:r>
      <w:r w:rsidRPr="00B1054A">
        <w:t xml:space="preserve"> </w:t>
      </w:r>
      <w:r w:rsidR="00177B0A" w:rsidRPr="00B1054A">
        <w:t xml:space="preserve">used to estimate </w:t>
      </w:r>
      <w:r w:rsidR="00140849" w:rsidRPr="00B1054A">
        <w:t>continued</w:t>
      </w:r>
      <w:r w:rsidR="00177B0A" w:rsidRPr="00B1054A">
        <w:t xml:space="preserve"> response from time to first rescue treatment or discontinuation</w:t>
      </w:r>
      <w:r w:rsidR="00140849" w:rsidRPr="00B1054A">
        <w:t xml:space="preserve">, the full data set from CHRONOS from baseline was applied for the SOC arm, whereas only the data for patients who met the efficacy endpoint at 16 weeks was used for the </w:t>
      </w:r>
      <w:r w:rsidR="00B1054A" w:rsidRPr="00B1054A">
        <w:t>dupilumab</w:t>
      </w:r>
      <w:r w:rsidR="00140849" w:rsidRPr="00B1054A">
        <w:t xml:space="preserve"> arm. The ESC considered the maintenance of response rates from these different approaches was not comparable and this approach favoured dupilumab.</w:t>
      </w:r>
    </w:p>
    <w:p w:rsidR="004F6BE3" w:rsidRPr="00B1054A" w:rsidRDefault="004F6BE3" w:rsidP="004F6BE3">
      <w:pPr>
        <w:pStyle w:val="3-BodyText"/>
      </w:pPr>
      <w:r w:rsidRPr="00B1054A">
        <w:t>The pre-PBAC response argued that patients with severe AD accounted for in the financial estimates were not relevant to consideration of duration of response as all patients in the clinical trials demonstrated inadequate response to topical medications or CsA. The pre-PBAC response also acknowledged that the efficacy of dupilumab outside the clinical trial setting may also differ from that seen within the trial</w:t>
      </w:r>
      <w:r w:rsidR="0059793A" w:rsidRPr="00B1054A">
        <w:t xml:space="preserve"> but argued that it is “it is implausible that the response rate for dupilumab-treated patients would decline to the same extent over the same time period as placebo-treated patients”.</w:t>
      </w:r>
      <w:r w:rsidRPr="00B1054A">
        <w:t xml:space="preserve"> </w:t>
      </w:r>
    </w:p>
    <w:p w:rsidR="00140849" w:rsidRPr="00B1054A" w:rsidRDefault="00261403" w:rsidP="00F2061F">
      <w:pPr>
        <w:pStyle w:val="3-BodyText"/>
      </w:pPr>
      <w:r w:rsidRPr="00B1054A">
        <w:t>The ESC noted that the discontinuation due to “other” reasons for dupilumab (3.7%) was applied from year 2 onwards. The ESC noted that</w:t>
      </w:r>
      <w:r w:rsidR="002765A2" w:rsidRPr="00B1054A">
        <w:t xml:space="preserve"> the source for this rate could not be verified </w:t>
      </w:r>
      <w:r w:rsidRPr="00B1054A">
        <w:t xml:space="preserve">and it was unclear whether </w:t>
      </w:r>
      <w:r w:rsidR="00C546AA" w:rsidRPr="00B1054A">
        <w:t>application of this</w:t>
      </w:r>
      <w:r w:rsidRPr="00B1054A">
        <w:t xml:space="preserve"> rate was appropriate.</w:t>
      </w:r>
    </w:p>
    <w:p w:rsidR="006D5E23" w:rsidRPr="00B1054A" w:rsidRDefault="006D5E23" w:rsidP="00A26F93">
      <w:pPr>
        <w:pStyle w:val="TableFigureHeading"/>
      </w:pPr>
      <w:bookmarkStart w:id="36" w:name="_Ref30419081"/>
      <w:r w:rsidRPr="00B1054A">
        <w:lastRenderedPageBreak/>
        <w:t>Figure 1</w:t>
      </w:r>
      <w:bookmarkEnd w:id="36"/>
      <w:r w:rsidRPr="00B1054A">
        <w:t>: Trace of proportion of modelled cohort in responder health state</w:t>
      </w:r>
    </w:p>
    <w:p w:rsidR="006D5E23" w:rsidRPr="00B1054A" w:rsidRDefault="006D5E23" w:rsidP="006D5E23">
      <w:r w:rsidRPr="00B1054A">
        <w:rPr>
          <w:noProof/>
        </w:rPr>
        <w:drawing>
          <wp:inline distT="0" distB="0" distL="0" distR="0" wp14:anchorId="22A19247" wp14:editId="2B758011">
            <wp:extent cx="5727700" cy="2816225"/>
            <wp:effectExtent l="0" t="0" r="6350" b="3175"/>
            <wp:docPr id="5" name="Picture 5" title="Figure 1: Trace of proportion of modelled cohort in responder health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2816225"/>
                    </a:xfrm>
                    <a:prstGeom prst="rect">
                      <a:avLst/>
                    </a:prstGeom>
                  </pic:spPr>
                </pic:pic>
              </a:graphicData>
            </a:graphic>
          </wp:inline>
        </w:drawing>
      </w:r>
    </w:p>
    <w:p w:rsidR="006D5E23" w:rsidRPr="00B1054A" w:rsidRDefault="006D5E23" w:rsidP="00A26F93">
      <w:pPr>
        <w:pStyle w:val="TableFigureFooter"/>
      </w:pPr>
      <w:r w:rsidRPr="00B1054A">
        <w:t>Source: Figure 3.</w:t>
      </w:r>
      <w:r w:rsidR="00164436" w:rsidRPr="00B1054A">
        <w:t>7.1 (p130) of the re-submission</w:t>
      </w:r>
    </w:p>
    <w:p w:rsidR="002524D5" w:rsidRPr="00B1054A" w:rsidRDefault="002722EC" w:rsidP="008D0083">
      <w:pPr>
        <w:pStyle w:val="3-BodyText"/>
        <w:spacing w:before="120"/>
      </w:pPr>
      <w:r w:rsidRPr="00B1054A">
        <w:t>The resubmission presented and applied annual healthcare resource-use estimates for responders and non-responders from a revised clinician survey from September 2019 with a larger sample size (n=61)</w:t>
      </w:r>
      <w:r w:rsidR="00D52FB8" w:rsidRPr="00B1054A">
        <w:t xml:space="preserve"> compared t</w:t>
      </w:r>
      <w:r w:rsidR="00216EF1" w:rsidRPr="00B1054A">
        <w:t>o the previous resubmission (n=13</w:t>
      </w:r>
      <w:r w:rsidR="00D52FB8" w:rsidRPr="00B1054A">
        <w:t>)</w:t>
      </w:r>
      <w:r w:rsidRPr="00B1054A">
        <w:t>. The annual responder and non-responder health state costs applied in the model ha</w:t>
      </w:r>
      <w:r w:rsidR="00F7148B" w:rsidRPr="00B1054A">
        <w:t>ve</w:t>
      </w:r>
      <w:r w:rsidRPr="00B1054A">
        <w:t xml:space="preserve"> increased by $2,711.86 and $1</w:t>
      </w:r>
      <w:r w:rsidR="00D52FB8" w:rsidRPr="00B1054A">
        <w:t>,</w:t>
      </w:r>
      <w:r w:rsidRPr="00B1054A">
        <w:t xml:space="preserve">788.23 respectively as compared to the July 2019 resubmission. Increases to both estimates are to be expected given the targeting of severe AD patients in the current resubmission (versus </w:t>
      </w:r>
      <w:r w:rsidR="00AB419F" w:rsidRPr="00B1054A">
        <w:t>moderate to severe</w:t>
      </w:r>
      <w:r w:rsidRPr="00B1054A">
        <w:t xml:space="preserve"> in the previous resubmission). These increases benefit the SoC arm (compared to the previous resubmission) given a larger cost increase for responders as compared to non-responders. Importantly, as compared to the previous resubmission, the mean annual frequency estimates for hospitalisations and ED visits have remained approximately the same for responders in the current resubmission, whilst noticeably decreasing (from 2.49 to 1.0 for hospitalisations and from 3.12 to 1.5 for ED visits) for non-responders. This addresses </w:t>
      </w:r>
      <w:r w:rsidR="00F7148B" w:rsidRPr="00B1054A">
        <w:t xml:space="preserve">the </w:t>
      </w:r>
      <w:r w:rsidRPr="00B1054A">
        <w:t>PBAC</w:t>
      </w:r>
      <w:r w:rsidR="00F7148B" w:rsidRPr="00B1054A">
        <w:t>’s</w:t>
      </w:r>
      <w:r w:rsidRPr="00B1054A">
        <w:t xml:space="preserve"> concerns about the implausibility of hospitalisation and ED visit frequencies (see Table 2).</w:t>
      </w:r>
    </w:p>
    <w:p w:rsidR="002722EC" w:rsidRPr="004E6EDE" w:rsidRDefault="002722EC" w:rsidP="004E6EDE">
      <w:pPr>
        <w:pStyle w:val="3-BodyText"/>
      </w:pPr>
      <w:r w:rsidRPr="00B1054A">
        <w:t>The revised clinician survey benefits from an increased sample size, thereby reducing uncertainty in the estimates. However, there are a number of issues that exist with the use of these estimates in the resubmission model:</w:t>
      </w:r>
    </w:p>
    <w:p w:rsidR="002722EC" w:rsidRPr="00B1054A" w:rsidRDefault="002722EC" w:rsidP="009A4A1A">
      <w:pPr>
        <w:pStyle w:val="3-BodyText"/>
        <w:numPr>
          <w:ilvl w:val="1"/>
          <w:numId w:val="13"/>
        </w:numPr>
        <w:ind w:left="993" w:hanging="284"/>
      </w:pPr>
      <w:r w:rsidRPr="00B1054A">
        <w:t xml:space="preserve">The survey provided clinicians with definitions of ‘controlled’ and ‘uncontrolled’ disease, which were used in the resubmission model to be applicable to responder and non-responder, respectively. It is unclear whether the definitions provided for ‘controlled’ and ‘uncontrolled’ in this survey adequately align with a DLQI </w:t>
      </w:r>
      <w:r w:rsidRPr="00B1054A">
        <w:rPr>
          <w:rFonts w:cs="Calibri"/>
        </w:rPr>
        <w:t>≥</w:t>
      </w:r>
      <w:r w:rsidRPr="00B1054A">
        <w:t>4 and EASI-50 responder versus a DLQI</w:t>
      </w:r>
      <w:r w:rsidRPr="00B1054A">
        <w:rPr>
          <w:rFonts w:cs="Calibri"/>
        </w:rPr>
        <w:t>≥</w:t>
      </w:r>
      <w:r w:rsidRPr="00B1054A">
        <w:t xml:space="preserve">4 and EASI-50 non-responder for patients with baseline severe AD (PGA=4 and EASI </w:t>
      </w:r>
      <w:r w:rsidRPr="00B1054A">
        <w:rPr>
          <w:rFonts w:cs="Calibri"/>
        </w:rPr>
        <w:t>≥</w:t>
      </w:r>
      <w:r w:rsidRPr="00B1054A">
        <w:t xml:space="preserve">20). </w:t>
      </w:r>
    </w:p>
    <w:p w:rsidR="00C644E1" w:rsidRPr="00B1054A" w:rsidRDefault="002722EC" w:rsidP="009A4A1A">
      <w:pPr>
        <w:pStyle w:val="3-BodyText"/>
        <w:numPr>
          <w:ilvl w:val="1"/>
          <w:numId w:val="13"/>
        </w:numPr>
        <w:ind w:left="993" w:hanging="284"/>
      </w:pPr>
      <w:r w:rsidRPr="00B1054A">
        <w:lastRenderedPageBreak/>
        <w:t xml:space="preserve">Whilst the incremental difference between responders and non-responders for hospitalisations and ED visits are now decreased from the previous resubmission (with this variable representing a key model driver and source of uncertainty in the previous resubmission model – see above), the current resubmission included phototherapy and TCS/TCI-usage costs in the base-case analysis. </w:t>
      </w:r>
      <w:r w:rsidR="00C644E1" w:rsidRPr="00B1054A">
        <w:t>The previous resubmission did not apply either of these resource-uses in the base-case.</w:t>
      </w:r>
    </w:p>
    <w:p w:rsidR="00C644E1" w:rsidRPr="00B1054A" w:rsidRDefault="00C644E1" w:rsidP="009A4A1A">
      <w:pPr>
        <w:pStyle w:val="3-BodyText"/>
        <w:numPr>
          <w:ilvl w:val="1"/>
          <w:numId w:val="16"/>
        </w:numPr>
        <w:ind w:left="1418" w:hanging="284"/>
      </w:pPr>
      <w:r w:rsidRPr="00B1054A">
        <w:t>The inclusion of TCS/TCI costs may be reasonable, and these costs do not constitute a significant component of the annual health state costs.</w:t>
      </w:r>
      <w:r w:rsidR="002722EC" w:rsidRPr="00B1054A">
        <w:t xml:space="preserve"> </w:t>
      </w:r>
    </w:p>
    <w:p w:rsidR="00077E65" w:rsidRPr="00B1054A" w:rsidRDefault="00C644E1" w:rsidP="009A4A1A">
      <w:pPr>
        <w:pStyle w:val="3-BodyText"/>
        <w:numPr>
          <w:ilvl w:val="1"/>
          <w:numId w:val="16"/>
        </w:numPr>
        <w:ind w:left="1418" w:hanging="284"/>
      </w:pPr>
      <w:r w:rsidRPr="00B1054A">
        <w:t>T</w:t>
      </w:r>
      <w:r w:rsidR="002722EC" w:rsidRPr="00B1054A">
        <w:t xml:space="preserve">he annual cost of phototherapy applied comprises the majority of both annual responder and non-responder health state costs in the model, and non-responders have an incrementally higher annual cost by approximately $4,467. The resubmission assumed three sessions of phototherapy per week on the basis of a </w:t>
      </w:r>
      <w:r w:rsidR="00D10B4A" w:rsidRPr="00B1054A">
        <w:t xml:space="preserve">review </w:t>
      </w:r>
      <w:r w:rsidR="002722EC" w:rsidRPr="00B1054A">
        <w:t>(Patrizi et al 2015)</w:t>
      </w:r>
      <w:r w:rsidR="00C546AA" w:rsidRPr="00B1054A">
        <w:t>.</w:t>
      </w:r>
      <w:r w:rsidR="002722EC" w:rsidRPr="00B1054A">
        <w:t xml:space="preserve"> The </w:t>
      </w:r>
      <w:r w:rsidR="00D37C1E" w:rsidRPr="00B1054A">
        <w:t>resubmission stated (p22) “advice from Australian clinicians experienced in the treatment of AD is that, due to its poor availability and significant burden on patients (frequency and length of treatment and cost), its use in the treatment of AD in Australia is limited”</w:t>
      </w:r>
      <w:r w:rsidRPr="00B1054A">
        <w:t>. The</w:t>
      </w:r>
      <w:r w:rsidR="002722EC" w:rsidRPr="00B1054A">
        <w:t xml:space="preserve"> incremental difference in annual phototherapy costs between responders and non-responders of $4,467 </w:t>
      </w:r>
      <w:r w:rsidRPr="00B1054A">
        <w:t xml:space="preserve">may not be </w:t>
      </w:r>
      <w:r w:rsidR="002722EC" w:rsidRPr="00B1054A">
        <w:t>a plausible estimation given the unit cost of $52.75 for a phototherapy session (MBS Item no. 14050).</w:t>
      </w:r>
      <w:r w:rsidR="002722EC" w:rsidRPr="00B1054A">
        <w:rPr>
          <w:b/>
        </w:rPr>
        <w:t xml:space="preserve"> </w:t>
      </w:r>
      <w:r w:rsidR="00577252" w:rsidRPr="00B1054A">
        <w:t xml:space="preserve">The PSCR argued that the patient population with severe </w:t>
      </w:r>
      <w:r w:rsidR="00A32656" w:rsidRPr="00B1054A">
        <w:t xml:space="preserve">disease </w:t>
      </w:r>
      <w:r w:rsidR="00F838AD" w:rsidRPr="00B1054A">
        <w:t xml:space="preserve">is </w:t>
      </w:r>
      <w:r w:rsidR="00577252" w:rsidRPr="00B1054A">
        <w:t>at high risk</w:t>
      </w:r>
      <w:r w:rsidR="00E212AC" w:rsidRPr="00B1054A">
        <w:t xml:space="preserve"> of disease flare and phototherapy is likely to be a viable option where patients have access. </w:t>
      </w:r>
      <w:r w:rsidR="00077E65" w:rsidRPr="00B1054A">
        <w:t xml:space="preserve">The ESC </w:t>
      </w:r>
      <w:r w:rsidR="0073017F" w:rsidRPr="00B1054A">
        <w:t xml:space="preserve">considered that </w:t>
      </w:r>
      <w:r w:rsidR="00E212AC" w:rsidRPr="00B1054A">
        <w:t xml:space="preserve">though it was clinically reasonable to assume that some patients would access phototherapy, </w:t>
      </w:r>
      <w:r w:rsidR="0073017F" w:rsidRPr="00B1054A">
        <w:t xml:space="preserve">the </w:t>
      </w:r>
      <w:r w:rsidR="00402BC4" w:rsidRPr="00B1054A">
        <w:t>extent</w:t>
      </w:r>
      <w:r w:rsidR="0073017F" w:rsidRPr="00B1054A">
        <w:t xml:space="preserve"> of phototherapy costs included for non-responders was not consistent with the availability of phototherapy in Australia, nor with the total number of MBS claims for phototherapy (around 700,000 services for financial year 2018/19, </w:t>
      </w:r>
      <w:r w:rsidR="00BE192D" w:rsidRPr="00B1054A">
        <w:t>the majority</w:t>
      </w:r>
      <w:r w:rsidR="00224D80" w:rsidRPr="00B1054A">
        <w:t xml:space="preserve"> of which</w:t>
      </w:r>
      <w:r w:rsidR="0073017F" w:rsidRPr="00B1054A">
        <w:t xml:space="preserve"> would be in patients with psoriasis).</w:t>
      </w:r>
      <w:r w:rsidR="00402BC4" w:rsidRPr="00B1054A">
        <w:t xml:space="preserve"> </w:t>
      </w:r>
      <w:r w:rsidR="002E7201" w:rsidRPr="00B1054A">
        <w:t xml:space="preserve">The pre-PBAC response maintained that these costs were reasonable to include in the economic model as they were based on a physician feedback in a high quality survey. </w:t>
      </w:r>
    </w:p>
    <w:p w:rsidR="002722EC" w:rsidRPr="00B1054A" w:rsidRDefault="002722EC" w:rsidP="009A4A1A">
      <w:pPr>
        <w:pStyle w:val="3-BodyText"/>
        <w:numPr>
          <w:ilvl w:val="1"/>
          <w:numId w:val="16"/>
        </w:numPr>
        <w:ind w:left="1418" w:hanging="284"/>
      </w:pPr>
      <w:r w:rsidRPr="00B1054A">
        <w:t xml:space="preserve">Additionally, the model presented in the resubmission did not incorporate the effectiveness of phototherapy, and only fractionally incorporated the effectiveness of TCS use (as SOLO 1, SOLO 2 and Study 1021 did not allow TCS use during the trials), the exclusion of which favours dupilumab. </w:t>
      </w:r>
      <w:r w:rsidR="006C37FB" w:rsidRPr="00B1054A">
        <w:t>The PSCR noted that patients in the CHRONOS trial were able to use phototherapy as res</w:t>
      </w:r>
      <w:r w:rsidR="00206308" w:rsidRPr="00B1054A">
        <w:t>cue medication in the case of a</w:t>
      </w:r>
      <w:r w:rsidR="006C37FB" w:rsidRPr="00B1054A">
        <w:t xml:space="preserve"> flare from week 3 of treatment onwards. </w:t>
      </w:r>
      <w:r w:rsidR="00206308" w:rsidRPr="00B1054A">
        <w:t xml:space="preserve">The ESC noted that 2.8% of patients in CHRONOS used phototherapy (2.2% in the placebo arm, 5.5% in the dupilumab arm, Table 4.4.2/11a of the CSR). </w:t>
      </w:r>
      <w:r w:rsidR="00F4436D" w:rsidRPr="00B1054A">
        <w:t xml:space="preserve">The ESC also noted that no benefit from phototherapy treatment was incorporated for non-responders in the </w:t>
      </w:r>
      <w:r w:rsidR="00D24BC5" w:rsidRPr="00B1054A">
        <w:t>SoC</w:t>
      </w:r>
      <w:r w:rsidR="00F4436D" w:rsidRPr="00B1054A">
        <w:t xml:space="preserve"> arm </w:t>
      </w:r>
      <w:r w:rsidR="00D24BC5" w:rsidRPr="00B1054A">
        <w:t xml:space="preserve">as </w:t>
      </w:r>
      <w:r w:rsidR="00C546AA" w:rsidRPr="00B1054A">
        <w:t>after year 2</w:t>
      </w:r>
      <w:r w:rsidR="00D24BC5" w:rsidRPr="00B1054A">
        <w:t xml:space="preserve"> there are no responders in this arm despite the ongoing costs for phototherapy</w:t>
      </w:r>
      <w:r w:rsidR="00F4436D" w:rsidRPr="00B1054A">
        <w:t xml:space="preserve">. </w:t>
      </w:r>
      <w:r w:rsidR="000739CB" w:rsidRPr="00B1054A">
        <w:t xml:space="preserve">The Pre-PBAC response noted benefit was not truncated at 2 years, however </w:t>
      </w:r>
      <w:r w:rsidR="009B7678" w:rsidRPr="00B1054A">
        <w:t xml:space="preserve">the PBAC noted that only </w:t>
      </w:r>
      <w:r w:rsidR="000739CB" w:rsidRPr="00B1054A">
        <w:t>1% of patients in the SoC are remain responders after year 2</w:t>
      </w:r>
      <w:r w:rsidR="009B7678" w:rsidRPr="00B1054A">
        <w:t>.</w:t>
      </w:r>
      <w:r w:rsidR="000739CB" w:rsidRPr="00B1054A">
        <w:t xml:space="preserve"> </w:t>
      </w:r>
      <w:r w:rsidR="00206308" w:rsidRPr="00B1054A">
        <w:t xml:space="preserve">The </w:t>
      </w:r>
      <w:r w:rsidR="009B7678" w:rsidRPr="00B1054A">
        <w:t xml:space="preserve">PBAC agreed </w:t>
      </w:r>
      <w:r w:rsidR="009B7678" w:rsidRPr="00B1054A">
        <w:lastRenderedPageBreak/>
        <w:t>with the ESC</w:t>
      </w:r>
      <w:r w:rsidR="00206308" w:rsidRPr="00B1054A">
        <w:t xml:space="preserve"> that the effectiveness of phototherapy was </w:t>
      </w:r>
      <w:r w:rsidR="00F4436D" w:rsidRPr="00B1054A">
        <w:t xml:space="preserve">effectively </w:t>
      </w:r>
      <w:r w:rsidR="00206308" w:rsidRPr="00B1054A">
        <w:t xml:space="preserve">not incorporated in the model </w:t>
      </w:r>
      <w:r w:rsidR="00F4436D" w:rsidRPr="00B1054A">
        <w:t xml:space="preserve">and therefore </w:t>
      </w:r>
      <w:r w:rsidR="00C546AA" w:rsidRPr="00B1054A">
        <w:t xml:space="preserve">the </w:t>
      </w:r>
      <w:r w:rsidR="00F4436D" w:rsidRPr="00B1054A">
        <w:t>inclusion of</w:t>
      </w:r>
      <w:r w:rsidR="00206308" w:rsidRPr="00B1054A">
        <w:t xml:space="preserve"> </w:t>
      </w:r>
      <w:r w:rsidR="00F4436D" w:rsidRPr="00B1054A">
        <w:t xml:space="preserve">substantial </w:t>
      </w:r>
      <w:r w:rsidR="00C546AA" w:rsidRPr="00B1054A">
        <w:t xml:space="preserve">incremental </w:t>
      </w:r>
      <w:r w:rsidR="00206308" w:rsidRPr="00B1054A">
        <w:t>cost</w:t>
      </w:r>
      <w:r w:rsidR="00F4436D" w:rsidRPr="00B1054A">
        <w:t>s from phototherapy</w:t>
      </w:r>
      <w:r w:rsidR="00206308" w:rsidRPr="00B1054A">
        <w:t xml:space="preserve"> favoured dupilumab.</w:t>
      </w:r>
    </w:p>
    <w:p w:rsidR="00BA1E9E" w:rsidRPr="00B1054A" w:rsidRDefault="00BA1E9E" w:rsidP="00BA1E9E">
      <w:pPr>
        <w:pStyle w:val="3-BodyText"/>
      </w:pPr>
      <w:r w:rsidRPr="00B1054A">
        <w:t xml:space="preserve">Table 15 presents the results of the stepped economic evaluation. </w:t>
      </w:r>
    </w:p>
    <w:p w:rsidR="004A7C1E" w:rsidRPr="00B1054A" w:rsidRDefault="004A7C1E" w:rsidP="004A7C1E">
      <w:pPr>
        <w:pStyle w:val="TableFigureHeading"/>
        <w:rPr>
          <w:rStyle w:val="CommentReference"/>
          <w:b/>
          <w:szCs w:val="24"/>
        </w:rPr>
      </w:pPr>
      <w:bookmarkStart w:id="37" w:name="_Ref27438854"/>
      <w:r w:rsidRPr="00B1054A">
        <w:rPr>
          <w:rStyle w:val="CommentReference"/>
          <w:b/>
          <w:szCs w:val="24"/>
        </w:rPr>
        <w:t xml:space="preserve">Table </w:t>
      </w:r>
      <w:r w:rsidR="00B20399" w:rsidRPr="00B1054A">
        <w:rPr>
          <w:rStyle w:val="CommentReference"/>
          <w:b/>
          <w:szCs w:val="24"/>
        </w:rPr>
        <w:t>15</w:t>
      </w:r>
      <w:bookmarkEnd w:id="37"/>
      <w:r w:rsidRPr="00B1054A">
        <w:rPr>
          <w:rStyle w:val="CommentReference"/>
          <w:b/>
          <w:szCs w:val="24"/>
        </w:rPr>
        <w:t>: Results of the stepped economic evaluation</w:t>
      </w:r>
    </w:p>
    <w:tbl>
      <w:tblPr>
        <w:tblW w:w="5000" w:type="pct"/>
        <w:tblCellMar>
          <w:left w:w="28" w:type="dxa"/>
          <w:right w:w="28" w:type="dxa"/>
        </w:tblCellMar>
        <w:tblLook w:val="0000" w:firstRow="0" w:lastRow="0" w:firstColumn="0" w:lastColumn="0" w:noHBand="0" w:noVBand="0"/>
      </w:tblPr>
      <w:tblGrid>
        <w:gridCol w:w="1101"/>
        <w:gridCol w:w="3205"/>
        <w:gridCol w:w="1571"/>
        <w:gridCol w:w="1571"/>
        <w:gridCol w:w="1569"/>
      </w:tblGrid>
      <w:tr w:rsidR="008048D3" w:rsidRPr="00A26F93" w:rsidTr="00FC0935">
        <w:trPr>
          <w:trHeight w:val="290"/>
          <w:tblHeader/>
        </w:trPr>
        <w:tc>
          <w:tcPr>
            <w:tcW w:w="611" w:type="pct"/>
            <w:tcBorders>
              <w:top w:val="single" w:sz="4" w:space="0" w:color="auto"/>
              <w:left w:val="single" w:sz="4" w:space="0" w:color="auto"/>
              <w:bottom w:val="single" w:sz="4" w:space="0" w:color="auto"/>
              <w:right w:val="nil"/>
            </w:tcBorders>
          </w:tcPr>
          <w:p w:rsidR="008048D3" w:rsidRPr="00A26F93" w:rsidRDefault="008048D3" w:rsidP="00FC0935">
            <w:pPr>
              <w:pStyle w:val="TableText0"/>
              <w:rPr>
                <w:b/>
                <w:szCs w:val="20"/>
              </w:rPr>
            </w:pPr>
          </w:p>
        </w:tc>
        <w:tc>
          <w:tcPr>
            <w:tcW w:w="1777" w:type="pct"/>
            <w:tcBorders>
              <w:top w:val="single" w:sz="4" w:space="0" w:color="auto"/>
              <w:left w:val="nil"/>
              <w:bottom w:val="single" w:sz="4" w:space="0" w:color="auto"/>
              <w:right w:val="single" w:sz="4" w:space="0" w:color="auto"/>
            </w:tcBorders>
          </w:tcPr>
          <w:p w:rsidR="008048D3" w:rsidRPr="00A26F93" w:rsidRDefault="008048D3" w:rsidP="00FC0935">
            <w:pPr>
              <w:pStyle w:val="TableText0"/>
              <w:rPr>
                <w:b/>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b/>
                <w:szCs w:val="20"/>
              </w:rPr>
            </w:pPr>
            <w:r w:rsidRPr="00A26F93">
              <w:rPr>
                <w:b/>
                <w:szCs w:val="20"/>
              </w:rPr>
              <w:t>Step 1</w:t>
            </w:r>
            <w:r w:rsidRPr="00A26F93">
              <w:rPr>
                <w:b/>
                <w:szCs w:val="20"/>
              </w:rPr>
              <w:br/>
              <w:t>16 weeks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b/>
                <w:szCs w:val="20"/>
                <w:vertAlign w:val="superscript"/>
              </w:rPr>
            </w:pPr>
            <w:r w:rsidRPr="00A26F93">
              <w:rPr>
                <w:b/>
                <w:szCs w:val="20"/>
              </w:rPr>
              <w:t>Step 2</w:t>
            </w:r>
            <w:r w:rsidRPr="00A26F93">
              <w:rPr>
                <w:b/>
                <w:szCs w:val="20"/>
              </w:rPr>
              <w:br/>
              <w:t>42 weeks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b/>
                <w:szCs w:val="20"/>
              </w:rPr>
            </w:pPr>
            <w:r w:rsidRPr="00A26F93">
              <w:rPr>
                <w:b/>
                <w:szCs w:val="20"/>
              </w:rPr>
              <w:t>Step 3 (base case)</w:t>
            </w:r>
            <w:r w:rsidRPr="00A26F93">
              <w:rPr>
                <w:b/>
                <w:szCs w:val="20"/>
              </w:rPr>
              <w:br/>
              <w:t>5 years</w:t>
            </w:r>
          </w:p>
        </w:tc>
      </w:tr>
      <w:tr w:rsidR="008048D3" w:rsidRPr="00A26F93" w:rsidTr="00FC0935">
        <w:trPr>
          <w:trHeight w:val="70"/>
        </w:trPr>
        <w:tc>
          <w:tcPr>
            <w:tcW w:w="611" w:type="pct"/>
            <w:tcBorders>
              <w:top w:val="single" w:sz="4" w:space="0" w:color="auto"/>
              <w:left w:val="single" w:sz="4" w:space="0" w:color="auto"/>
              <w:bottom w:val="nil"/>
              <w:right w:val="single" w:sz="4" w:space="0" w:color="auto"/>
            </w:tcBorders>
          </w:tcPr>
          <w:p w:rsidR="008048D3" w:rsidRPr="00A26F93" w:rsidRDefault="008048D3" w:rsidP="00FC0935">
            <w:pPr>
              <w:pStyle w:val="TableText0"/>
              <w:rPr>
                <w:szCs w:val="20"/>
              </w:rPr>
            </w:pPr>
            <w:r w:rsidRPr="00A26F93">
              <w:rPr>
                <w:szCs w:val="20"/>
              </w:rPr>
              <w:t>Dupilumab</w:t>
            </w: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Active treatment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w:t>
            </w:r>
            <w:r w:rsidR="00BB6CB6">
              <w:rPr>
                <w:rFonts w:cs="Calibri"/>
                <w:noProof/>
                <w:color w:val="000000"/>
                <w:szCs w:val="20"/>
                <w:highlight w:val="black"/>
              </w:rPr>
              <w:t>'''''''''''''''''</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Other medical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$3,125</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$6,887</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$48,881</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Administration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$59</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$59</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$59</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59.64%</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57.1%</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26.09%</w:t>
            </w:r>
          </w:p>
        </w:tc>
      </w:tr>
      <w:tr w:rsidR="008048D3" w:rsidRPr="00A26F93" w:rsidTr="00FC0935">
        <w:trPr>
          <w:trHeight w:val="70"/>
        </w:trPr>
        <w:tc>
          <w:tcPr>
            <w:tcW w:w="611" w:type="pct"/>
            <w:tcBorders>
              <w:top w:val="nil"/>
              <w:left w:val="single" w:sz="4" w:space="0" w:color="auto"/>
              <w:bottom w:val="single" w:sz="4" w:space="0" w:color="auto"/>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3.57</w:t>
            </w:r>
          </w:p>
        </w:tc>
      </w:tr>
      <w:tr w:rsidR="008048D3" w:rsidRPr="00A26F93" w:rsidTr="00FC0935">
        <w:trPr>
          <w:trHeight w:val="70"/>
        </w:trPr>
        <w:tc>
          <w:tcPr>
            <w:tcW w:w="611" w:type="pct"/>
            <w:tcBorders>
              <w:top w:val="single" w:sz="4" w:space="0" w:color="auto"/>
              <w:left w:val="single" w:sz="4" w:space="0" w:color="auto"/>
              <w:bottom w:val="nil"/>
              <w:right w:val="single" w:sz="4" w:space="0" w:color="auto"/>
            </w:tcBorders>
          </w:tcPr>
          <w:p w:rsidR="008048D3" w:rsidRPr="00A26F93" w:rsidRDefault="008048D3" w:rsidP="00FC0935">
            <w:pPr>
              <w:pStyle w:val="TableText0"/>
              <w:rPr>
                <w:szCs w:val="20"/>
              </w:rPr>
            </w:pPr>
            <w:r w:rsidRPr="00A26F93">
              <w:rPr>
                <w:szCs w:val="20"/>
              </w:rPr>
              <w:t>SoC</w:t>
            </w: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Active treatment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Other medical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$3,668</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$9,199</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$64,258</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Administration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$0</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19.92%</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13.3%</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0.51%</w:t>
            </w:r>
          </w:p>
        </w:tc>
      </w:tr>
      <w:tr w:rsidR="008048D3" w:rsidRPr="00A26F93" w:rsidTr="00FC0935">
        <w:trPr>
          <w:trHeight w:val="70"/>
        </w:trPr>
        <w:tc>
          <w:tcPr>
            <w:tcW w:w="611" w:type="pct"/>
            <w:tcBorders>
              <w:top w:val="nil"/>
              <w:left w:val="single" w:sz="4" w:space="0" w:color="auto"/>
              <w:bottom w:val="single" w:sz="4" w:space="0" w:color="auto"/>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3.22</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r w:rsidRPr="00A26F93">
              <w:rPr>
                <w:szCs w:val="20"/>
              </w:rPr>
              <w:t>Incremental</w:t>
            </w: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Total cost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w:t>
            </w:r>
            <w:r w:rsidR="00BB6CB6">
              <w:rPr>
                <w:rFonts w:cs="Calibri"/>
                <w:noProof/>
                <w:color w:val="000000"/>
                <w:szCs w:val="20"/>
                <w:highlight w:val="black"/>
              </w:rPr>
              <w:t>'''''''''''''''''</w:t>
            </w:r>
          </w:p>
        </w:tc>
      </w:tr>
      <w:tr w:rsidR="008048D3" w:rsidRPr="00A26F93" w:rsidTr="00FC0935">
        <w:trPr>
          <w:trHeight w:val="70"/>
        </w:trPr>
        <w:tc>
          <w:tcPr>
            <w:tcW w:w="611" w:type="pct"/>
            <w:tcBorders>
              <w:top w:val="nil"/>
              <w:left w:val="single" w:sz="4" w:space="0" w:color="auto"/>
              <w:bottom w:val="nil"/>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39.72%</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43.8%</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25.57%</w:t>
            </w:r>
          </w:p>
        </w:tc>
      </w:tr>
      <w:tr w:rsidR="008048D3" w:rsidRPr="00A26F93" w:rsidTr="00FC0935">
        <w:trPr>
          <w:trHeight w:val="70"/>
        </w:trPr>
        <w:tc>
          <w:tcPr>
            <w:tcW w:w="611" w:type="pct"/>
            <w:tcBorders>
              <w:top w:val="nil"/>
              <w:left w:val="single" w:sz="4" w:space="0" w:color="auto"/>
              <w:bottom w:val="single" w:sz="4" w:space="0" w:color="auto"/>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0.34</w:t>
            </w:r>
          </w:p>
        </w:tc>
      </w:tr>
      <w:tr w:rsidR="008048D3" w:rsidRPr="00A26F93" w:rsidTr="00FC0935">
        <w:trPr>
          <w:trHeight w:val="70"/>
        </w:trPr>
        <w:tc>
          <w:tcPr>
            <w:tcW w:w="611" w:type="pct"/>
            <w:tcBorders>
              <w:top w:val="single" w:sz="4" w:space="0" w:color="auto"/>
              <w:left w:val="single" w:sz="4" w:space="0" w:color="auto"/>
              <w:bottom w:val="nil"/>
              <w:right w:val="single" w:sz="4" w:space="0" w:color="auto"/>
            </w:tcBorders>
          </w:tcPr>
          <w:p w:rsidR="008048D3" w:rsidRPr="00A26F93" w:rsidRDefault="008048D3" w:rsidP="00FC0935">
            <w:pPr>
              <w:pStyle w:val="TableText0"/>
              <w:rPr>
                <w:szCs w:val="20"/>
              </w:rPr>
            </w:pPr>
            <w:r w:rsidRPr="00A26F93">
              <w:rPr>
                <w:szCs w:val="20"/>
              </w:rPr>
              <w:t>ICER</w:t>
            </w: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Incremental cost per responder</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w:t>
            </w:r>
            <w:r w:rsidR="00BB6CB6">
              <w:rPr>
                <w:rFonts w:cs="Calibri"/>
                <w:noProof/>
                <w:color w:val="00000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w:t>
            </w:r>
            <w:r w:rsidR="00BB6CB6">
              <w:rPr>
                <w:rFonts w:cs="Calibri"/>
                <w:noProof/>
                <w:color w:val="000000"/>
                <w:szCs w:val="20"/>
                <w:highlight w:val="black"/>
              </w:rPr>
              <w:t>''''''''''''''''</w:t>
            </w:r>
          </w:p>
        </w:tc>
      </w:tr>
      <w:tr w:rsidR="008048D3" w:rsidRPr="00A26F93" w:rsidTr="00FC0935">
        <w:trPr>
          <w:trHeight w:val="70"/>
        </w:trPr>
        <w:tc>
          <w:tcPr>
            <w:tcW w:w="611" w:type="pct"/>
            <w:tcBorders>
              <w:top w:val="nil"/>
              <w:left w:val="single" w:sz="4" w:space="0" w:color="auto"/>
              <w:bottom w:val="single" w:sz="4" w:space="0" w:color="auto"/>
              <w:right w:val="single" w:sz="4" w:space="0" w:color="auto"/>
            </w:tcBorders>
          </w:tcPr>
          <w:p w:rsidR="008048D3" w:rsidRPr="00A26F93" w:rsidRDefault="008048D3" w:rsidP="00FC0935">
            <w:pPr>
              <w:pStyle w:val="TableText0"/>
              <w:rPr>
                <w:szCs w:val="20"/>
              </w:rPr>
            </w:pPr>
          </w:p>
        </w:tc>
        <w:tc>
          <w:tcPr>
            <w:tcW w:w="1777" w:type="pct"/>
            <w:tcBorders>
              <w:top w:val="single" w:sz="4" w:space="0" w:color="auto"/>
              <w:left w:val="single" w:sz="4" w:space="0" w:color="auto"/>
              <w:bottom w:val="single" w:sz="4" w:space="0" w:color="auto"/>
              <w:right w:val="single" w:sz="4" w:space="0" w:color="auto"/>
            </w:tcBorders>
          </w:tcPr>
          <w:p w:rsidR="008048D3" w:rsidRPr="00A26F93" w:rsidRDefault="008048D3" w:rsidP="00FC0935">
            <w:pPr>
              <w:pStyle w:val="TableText0"/>
              <w:rPr>
                <w:szCs w:val="20"/>
              </w:rPr>
            </w:pPr>
            <w:r w:rsidRPr="00A26F93">
              <w:rPr>
                <w:szCs w:val="20"/>
              </w:rPr>
              <w:t>Incremental cost per QALY gained</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C0935">
            <w:pPr>
              <w:pStyle w:val="TableText0"/>
              <w:jc w:val="center"/>
              <w:rPr>
                <w:szCs w:val="20"/>
              </w:rPr>
            </w:pPr>
            <w:r w:rsidRPr="00A26F93">
              <w:rPr>
                <w:rFonts w:cs="Calibri"/>
                <w:szCs w:val="20"/>
              </w:rPr>
              <w:t>n/a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8048D3" w:rsidRPr="00A26F93" w:rsidRDefault="008048D3" w:rsidP="00FB47C2">
            <w:pPr>
              <w:pStyle w:val="TableText0"/>
              <w:jc w:val="center"/>
              <w:rPr>
                <w:szCs w:val="20"/>
              </w:rPr>
            </w:pPr>
            <w:r w:rsidRPr="00A26F93">
              <w:rPr>
                <w:rFonts w:cs="Calibri"/>
                <w:szCs w:val="20"/>
              </w:rPr>
              <w:t>$</w:t>
            </w:r>
            <w:r w:rsidR="00BB6CB6">
              <w:rPr>
                <w:rFonts w:cs="Calibri"/>
                <w:noProof/>
                <w:color w:val="000000"/>
                <w:szCs w:val="20"/>
                <w:highlight w:val="black"/>
              </w:rPr>
              <w:t>'''''''''''''''''</w:t>
            </w:r>
          </w:p>
        </w:tc>
      </w:tr>
    </w:tbl>
    <w:p w:rsidR="004A7C1E" w:rsidRPr="00B1054A" w:rsidRDefault="004A7C1E" w:rsidP="004A7C1E">
      <w:pPr>
        <w:pStyle w:val="TableFigNote"/>
        <w:rPr>
          <w:rFonts w:ascii="Arial Narrow" w:hAnsi="Arial Narrow"/>
          <w:sz w:val="18"/>
          <w:szCs w:val="18"/>
        </w:rPr>
      </w:pPr>
      <w:r w:rsidRPr="00B1054A">
        <w:rPr>
          <w:rFonts w:ascii="Arial Narrow" w:hAnsi="Arial Narrow"/>
          <w:sz w:val="18"/>
          <w:szCs w:val="18"/>
        </w:rPr>
        <w:t>Source: Table 3.15 (p131) of the resubmission</w:t>
      </w:r>
    </w:p>
    <w:p w:rsidR="004A7C1E" w:rsidRPr="00B1054A" w:rsidRDefault="004A7C1E" w:rsidP="00BA1E9E">
      <w:pPr>
        <w:pStyle w:val="TableFigNote"/>
        <w:spacing w:after="120"/>
        <w:rPr>
          <w:rFonts w:ascii="Arial Narrow" w:hAnsi="Arial Narrow"/>
          <w:sz w:val="18"/>
          <w:szCs w:val="18"/>
        </w:rPr>
      </w:pPr>
      <w:r w:rsidRPr="00B1054A">
        <w:rPr>
          <w:rFonts w:ascii="Arial Narrow" w:hAnsi="Arial Narrow"/>
          <w:sz w:val="18"/>
          <w:szCs w:val="18"/>
        </w:rPr>
        <w:t>Abbreviations: ICER: incremental cost-effectiveness ratio; n/a: not applicable; SoC: standard of care; QALY: quality-adjusted life year</w:t>
      </w:r>
    </w:p>
    <w:p w:rsidR="00E878DC" w:rsidRPr="00B1054A" w:rsidRDefault="00E878DC" w:rsidP="004E6EDE">
      <w:pPr>
        <w:pStyle w:val="3-BodyText"/>
      </w:pPr>
      <w:r w:rsidRPr="00B1054A">
        <w:t xml:space="preserve">The base-case ICER estimated by the resubmission </w:t>
      </w:r>
      <w:r w:rsidR="004B2223" w:rsidRPr="00B1054A">
        <w:t>wa</w:t>
      </w:r>
      <w:r w:rsidRPr="00B1054A">
        <w:t xml:space="preserve">s </w:t>
      </w:r>
      <w:r w:rsidR="007F0B3D">
        <w:t>$45,000 to &lt;</w:t>
      </w:r>
      <w:r w:rsidR="00FD7A5F">
        <w:t> </w:t>
      </w:r>
      <w:r w:rsidR="007F0B3D">
        <w:t>$55,000/QALY</w:t>
      </w:r>
      <w:r w:rsidRPr="00B1054A">
        <w:t xml:space="preserve"> for the CsA-naïve population. </w:t>
      </w:r>
      <w:r w:rsidR="00FC0935" w:rsidRPr="00B1054A">
        <w:t xml:space="preserve">Applying the correct conditional probabilities resulted in an ICER of </w:t>
      </w:r>
      <w:r w:rsidR="007F0B3D">
        <w:t>$45,000 to &lt;</w:t>
      </w:r>
      <w:r w:rsidR="00FD7A5F">
        <w:t> </w:t>
      </w:r>
      <w:r w:rsidR="007F0B3D">
        <w:t>$55,000/QALY</w:t>
      </w:r>
      <w:r w:rsidR="007F0B3D" w:rsidRPr="00B1054A">
        <w:t xml:space="preserve"> </w:t>
      </w:r>
      <w:r w:rsidR="00FC0935" w:rsidRPr="00B1054A">
        <w:t xml:space="preserve">(a 2.5% decrease from the ICER presented in the resubmission). </w:t>
      </w:r>
      <w:r w:rsidRPr="00B1054A">
        <w:t xml:space="preserve">This has increased from </w:t>
      </w:r>
      <w:r w:rsidR="007F0B3D">
        <w:t>$35,000 to &lt;</w:t>
      </w:r>
      <w:r w:rsidR="00FD7A5F">
        <w:t> </w:t>
      </w:r>
      <w:r w:rsidR="007F0B3D">
        <w:t>$45,000/QALY</w:t>
      </w:r>
      <w:r w:rsidR="007F0B3D" w:rsidRPr="00B1054A">
        <w:t xml:space="preserve"> </w:t>
      </w:r>
      <w:r w:rsidRPr="00B1054A">
        <w:t xml:space="preserve">in the July 2019 resubmission, and decreased from </w:t>
      </w:r>
      <w:r w:rsidR="007F0B3D">
        <w:t>$</w:t>
      </w:r>
      <w:r w:rsidR="00A46FB0">
        <w:t>5</w:t>
      </w:r>
      <w:r w:rsidR="007F0B3D">
        <w:t>5,000 to &lt;</w:t>
      </w:r>
      <w:r w:rsidR="00FD7A5F">
        <w:t> </w:t>
      </w:r>
      <w:r w:rsidR="007F0B3D">
        <w:t xml:space="preserve">$75,000/QALY </w:t>
      </w:r>
      <w:r w:rsidRPr="00B1054A">
        <w:t>in the July 2018 submission. However, these three models are not directly comparable due to:</w:t>
      </w:r>
    </w:p>
    <w:p w:rsidR="009D2719" w:rsidRPr="00B1054A" w:rsidRDefault="009D2719" w:rsidP="004E6EDE">
      <w:pPr>
        <w:pStyle w:val="3-BodyText"/>
        <w:numPr>
          <w:ilvl w:val="1"/>
          <w:numId w:val="14"/>
        </w:numPr>
        <w:ind w:left="993" w:hanging="284"/>
      </w:pPr>
      <w:r w:rsidRPr="00B1054A">
        <w:t>D</w:t>
      </w:r>
      <w:r w:rsidR="00E878DC" w:rsidRPr="00B1054A">
        <w:t xml:space="preserve">ifferent populations (severe AD inadequately controlled on topical therapies in the current resubmission, versus severe AD CsA-contra-indicated, inadequately controlled or intolerant in the July 2018 submission or versus </w:t>
      </w:r>
      <w:r w:rsidR="00AB419F" w:rsidRPr="00B1054A">
        <w:t>moderate to severe</w:t>
      </w:r>
      <w:r w:rsidR="00E878DC" w:rsidRPr="00B1054A">
        <w:t xml:space="preserve"> AD inadequately controlled on topical therapies in the July 2019 resubmission</w:t>
      </w:r>
      <w:r w:rsidR="004B2223" w:rsidRPr="00B1054A">
        <w:t>)</w:t>
      </w:r>
      <w:r w:rsidRPr="00B1054A">
        <w:t>.</w:t>
      </w:r>
    </w:p>
    <w:p w:rsidR="00E878DC" w:rsidRPr="00B1054A" w:rsidRDefault="009D2719" w:rsidP="004E6EDE">
      <w:pPr>
        <w:pStyle w:val="3-BodyText"/>
        <w:numPr>
          <w:ilvl w:val="1"/>
          <w:numId w:val="14"/>
        </w:numPr>
        <w:ind w:left="993" w:hanging="284"/>
      </w:pPr>
      <w:r w:rsidRPr="00B1054A">
        <w:t>D</w:t>
      </w:r>
      <w:r w:rsidR="00E878DC" w:rsidRPr="00B1054A">
        <w:t>ifferences in the definition of ‘responder’.</w:t>
      </w:r>
    </w:p>
    <w:p w:rsidR="00E878DC" w:rsidRPr="00B1054A" w:rsidRDefault="00E878DC" w:rsidP="004E6EDE">
      <w:pPr>
        <w:pStyle w:val="3-BodyText"/>
        <w:numPr>
          <w:ilvl w:val="1"/>
          <w:numId w:val="14"/>
        </w:numPr>
        <w:ind w:left="993" w:hanging="284"/>
      </w:pPr>
      <w:r w:rsidRPr="00B1054A">
        <w:t>The inclusion of phototherapy resource-usage in the current resubmission.</w:t>
      </w:r>
    </w:p>
    <w:p w:rsidR="00E878DC" w:rsidRPr="00B1054A" w:rsidRDefault="00E878DC" w:rsidP="00BB732D">
      <w:pPr>
        <w:pStyle w:val="3-BodyText"/>
      </w:pPr>
      <w:r w:rsidRPr="00B1054A">
        <w:t xml:space="preserve">As was done in the July 2019 resubmission, the current resubmission provided a scenario analysis whereby Week 16 and Week 42 response and utility inputs for a CsA-experienced were used instead of for a CsA-naïve population as was done in the base-case. This scenario analysis decreased the ICER from </w:t>
      </w:r>
      <w:r w:rsidR="00154AF0">
        <w:t>$45,000 to &lt;</w:t>
      </w:r>
      <w:r w:rsidR="00FD7A5F">
        <w:t> </w:t>
      </w:r>
      <w:r w:rsidR="00154AF0">
        <w:t>$55,000/QALY</w:t>
      </w:r>
      <w:r w:rsidR="00154AF0" w:rsidRPr="00B1054A">
        <w:t xml:space="preserve"> </w:t>
      </w:r>
      <w:r w:rsidRPr="00B1054A">
        <w:t xml:space="preserve">to </w:t>
      </w:r>
      <w:r w:rsidR="00154AF0">
        <w:t>$25,000 to &lt;</w:t>
      </w:r>
      <w:r w:rsidR="00FD7A5F">
        <w:t> </w:t>
      </w:r>
      <w:r w:rsidR="00154AF0">
        <w:t>$35,000/QALY</w:t>
      </w:r>
      <w:r w:rsidRPr="00B1054A">
        <w:t>, driven mostly by changes in incremental QALYs.</w:t>
      </w:r>
      <w:r w:rsidR="0035050D" w:rsidRPr="00B1054A">
        <w:t xml:space="preserve"> The PBAC noted that the CsA-experienced and CsA naïve populations could have been combined but considered that the lower ICER for the CsA-experienced population </w:t>
      </w:r>
      <w:r w:rsidR="00F16619" w:rsidRPr="00B1054A">
        <w:t xml:space="preserve">provided </w:t>
      </w:r>
      <w:r w:rsidR="00F16619" w:rsidRPr="00B1054A">
        <w:lastRenderedPageBreak/>
        <w:t>confidence that the use of the CsA-naïve population in the base-case was a conservative approach.</w:t>
      </w:r>
    </w:p>
    <w:p w:rsidR="00E125CE" w:rsidRPr="00B1054A" w:rsidRDefault="00D23D11" w:rsidP="000739CB">
      <w:pPr>
        <w:pStyle w:val="3-BodyText"/>
        <w:rPr>
          <w:rFonts w:ascii="Calibri" w:hAnsi="Calibri" w:cs="Calibri"/>
          <w:sz w:val="20"/>
          <w:szCs w:val="20"/>
        </w:rPr>
      </w:pPr>
      <w:r w:rsidRPr="00B1054A">
        <w:t xml:space="preserve">The results of key univariate / multivariate sensitivity analyses </w:t>
      </w:r>
      <w:r w:rsidR="00FC0935" w:rsidRPr="00B1054A">
        <w:t xml:space="preserve">(conducted on the </w:t>
      </w:r>
      <w:r w:rsidR="00530219">
        <w:t>c</w:t>
      </w:r>
      <w:r w:rsidR="00FA462C">
        <w:t>orr</w:t>
      </w:r>
      <w:r w:rsidR="00530219">
        <w:t>ected</w:t>
      </w:r>
      <w:r w:rsidR="00530219" w:rsidRPr="00B1054A">
        <w:t xml:space="preserve"> </w:t>
      </w:r>
      <w:r w:rsidR="00FC0935" w:rsidRPr="00B1054A">
        <w:t xml:space="preserve">ICER) </w:t>
      </w:r>
      <w:r w:rsidRPr="00B1054A">
        <w:t xml:space="preserve">are summarised below. </w:t>
      </w:r>
      <w:r w:rsidR="005014FF" w:rsidRPr="00B1054A">
        <w:t>The ESC noted that the model was not particularly sensitive to the definition of response used (EASI-50 or EASI-75).</w:t>
      </w:r>
      <w:r w:rsidR="003A114D" w:rsidRPr="00B1054A">
        <w:t xml:space="preserve"> </w:t>
      </w:r>
      <w:r w:rsidR="00E125CE" w:rsidRPr="00B1054A">
        <w:t xml:space="preserve">The PBAC noted that the ICER was impacted by the measures chosen for response criteria, and considered it was not clear whether this reflects a true difference in cost-effectiveness. </w:t>
      </w:r>
    </w:p>
    <w:p w:rsidR="00C62251" w:rsidRPr="00A26F93" w:rsidRDefault="0059793A" w:rsidP="00A26F93">
      <w:pPr>
        <w:pStyle w:val="3-BodyText"/>
        <w:rPr>
          <w:rStyle w:val="CommentReference"/>
          <w:rFonts w:ascii="Calibri" w:hAnsi="Calibri" w:cs="Calibri"/>
          <w:b w:val="0"/>
          <w:szCs w:val="20"/>
        </w:rPr>
      </w:pPr>
      <w:r w:rsidRPr="00B1054A">
        <w:t>The pre-PBAC response argued that the assumption adopted in the sensitivity analysis</w:t>
      </w:r>
      <w:r w:rsidR="005940E2" w:rsidRPr="00B1054A">
        <w:t>,</w:t>
      </w:r>
      <w:r w:rsidRPr="00B1054A">
        <w:t xml:space="preserve"> whereby SoC patients receive the same maintenance of response as the dupilumab patients</w:t>
      </w:r>
      <w:r w:rsidR="005940E2" w:rsidRPr="00B1054A">
        <w:t>,</w:t>
      </w:r>
      <w:r w:rsidRPr="00B1054A">
        <w:t xml:space="preserve"> was clinically implausible and unfairly biases against dupilumab. The pre-PBAC response noted that this approach assumed the same proportional</w:t>
      </w:r>
      <w:r w:rsidR="005940E2" w:rsidRPr="00B1054A">
        <w:t xml:space="preserve"> (relative)</w:t>
      </w:r>
      <w:r w:rsidRPr="00B1054A">
        <w:t xml:space="preserve"> reductions in </w:t>
      </w:r>
      <w:r w:rsidR="005940E2" w:rsidRPr="00B1054A">
        <w:t xml:space="preserve">response. Whereas in the base case of the model, over five years, dupilumab response falls 31% in absolute terms (from approximately 60% to 29%) versus a drop in SoC response of 19% in absolute terms (from approximately 20% to 1%). The pre-PBAC response also provided a respecified </w:t>
      </w:r>
      <w:r w:rsidR="00E265DF" w:rsidRPr="00B1054A">
        <w:t>base case applying the same absolute reduction in response to both arms at year 2, which resulted in a small increase in the ICER</w:t>
      </w:r>
      <w:r w:rsidR="00975AFE" w:rsidRPr="00B1054A">
        <w:t xml:space="preserve"> from </w:t>
      </w:r>
      <w:r w:rsidR="00765461">
        <w:t>$45,000 to &lt;</w:t>
      </w:r>
      <w:r w:rsidR="00FD7A5F">
        <w:t> </w:t>
      </w:r>
      <w:r w:rsidR="00765461">
        <w:t>$55,000/QALY</w:t>
      </w:r>
      <w:r w:rsidR="00975AFE" w:rsidRPr="00B1054A">
        <w:t xml:space="preserve"> to </w:t>
      </w:r>
      <w:r w:rsidR="00765461">
        <w:t>$45,000 to &lt;</w:t>
      </w:r>
      <w:r w:rsidR="00FD7A5F">
        <w:t> </w:t>
      </w:r>
      <w:r w:rsidR="00765461">
        <w:t>$55,000/QALY</w:t>
      </w:r>
      <w:r w:rsidR="00E265DF" w:rsidRPr="00B1054A">
        <w:t xml:space="preserve">.  </w:t>
      </w:r>
    </w:p>
    <w:p w:rsidR="00A4753F" w:rsidRPr="00B1054A" w:rsidRDefault="00A4753F" w:rsidP="00A26F93">
      <w:pPr>
        <w:pStyle w:val="TableFigureHeading"/>
        <w:keepLines/>
        <w:widowControl w:val="0"/>
        <w:jc w:val="both"/>
        <w:rPr>
          <w:rStyle w:val="CommentReference"/>
          <w:b/>
          <w:szCs w:val="24"/>
        </w:rPr>
      </w:pPr>
      <w:r w:rsidRPr="00B1054A">
        <w:rPr>
          <w:rStyle w:val="CommentReference"/>
          <w:b/>
          <w:szCs w:val="24"/>
        </w:rPr>
        <w:lastRenderedPageBreak/>
        <w:t xml:space="preserve">Table </w:t>
      </w:r>
      <w:r w:rsidR="00B20399" w:rsidRPr="00B1054A">
        <w:rPr>
          <w:rStyle w:val="CommentReference"/>
          <w:b/>
          <w:szCs w:val="24"/>
        </w:rPr>
        <w:t>16</w:t>
      </w:r>
      <w:r w:rsidRPr="00B1054A">
        <w:rPr>
          <w:rStyle w:val="CommentReference"/>
          <w:b/>
          <w:szCs w:val="24"/>
        </w:rPr>
        <w:t>: Results of key univariate and multivariate sensitivity analyses presented by the resubmission and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2"/>
        <w:gridCol w:w="1955"/>
        <w:gridCol w:w="1676"/>
        <w:gridCol w:w="777"/>
        <w:gridCol w:w="603"/>
        <w:gridCol w:w="745"/>
        <w:gridCol w:w="603"/>
        <w:gridCol w:w="693"/>
        <w:gridCol w:w="603"/>
        <w:gridCol w:w="840"/>
      </w:tblGrid>
      <w:tr w:rsidR="00A4753F" w:rsidRPr="00A26F93" w:rsidTr="00A4753F">
        <w:trPr>
          <w:cantSplit/>
          <w:tblHeader/>
        </w:trPr>
        <w:tc>
          <w:tcPr>
            <w:tcW w:w="289" w:type="pct"/>
            <w:vMerge w:val="restart"/>
          </w:tcPr>
          <w:p w:rsidR="00A4753F" w:rsidRPr="00A26F93" w:rsidRDefault="00A4753F" w:rsidP="00A26F93">
            <w:pPr>
              <w:pStyle w:val="TableHeading"/>
              <w:keepLines/>
              <w:widowControl w:val="0"/>
              <w:rPr>
                <w:szCs w:val="20"/>
              </w:rPr>
            </w:pPr>
          </w:p>
        </w:tc>
        <w:tc>
          <w:tcPr>
            <w:tcW w:w="1135" w:type="pct"/>
            <w:vMerge w:val="restart"/>
            <w:shd w:val="clear" w:color="auto" w:fill="auto"/>
            <w:vAlign w:val="center"/>
          </w:tcPr>
          <w:p w:rsidR="00A4753F" w:rsidRPr="00A26F93" w:rsidRDefault="00A4753F" w:rsidP="00A26F93">
            <w:pPr>
              <w:pStyle w:val="TableHeading"/>
              <w:keepLines/>
              <w:widowControl w:val="0"/>
              <w:rPr>
                <w:szCs w:val="20"/>
              </w:rPr>
            </w:pPr>
            <w:r w:rsidRPr="00A26F93">
              <w:rPr>
                <w:szCs w:val="20"/>
              </w:rPr>
              <w:t>Variable (base case)</w:t>
            </w:r>
          </w:p>
        </w:tc>
        <w:tc>
          <w:tcPr>
            <w:tcW w:w="980" w:type="pct"/>
            <w:vMerge w:val="restart"/>
            <w:shd w:val="clear" w:color="auto" w:fill="auto"/>
            <w:vAlign w:val="center"/>
          </w:tcPr>
          <w:p w:rsidR="00A4753F" w:rsidRPr="00A26F93" w:rsidRDefault="00A4753F" w:rsidP="00A26F93">
            <w:pPr>
              <w:pStyle w:val="TableHeading"/>
              <w:keepLines/>
              <w:widowControl w:val="0"/>
              <w:jc w:val="center"/>
              <w:rPr>
                <w:szCs w:val="20"/>
              </w:rPr>
            </w:pPr>
            <w:r w:rsidRPr="00A26F93">
              <w:rPr>
                <w:szCs w:val="20"/>
              </w:rPr>
              <w:t>Sensitivity analysis</w:t>
            </w:r>
          </w:p>
        </w:tc>
        <w:tc>
          <w:tcPr>
            <w:tcW w:w="745" w:type="pct"/>
            <w:gridSpan w:val="2"/>
            <w:shd w:val="clear" w:color="auto" w:fill="auto"/>
            <w:vAlign w:val="center"/>
          </w:tcPr>
          <w:p w:rsidR="00A4753F" w:rsidRPr="00A26F93" w:rsidRDefault="00A4753F" w:rsidP="00A26F93">
            <w:pPr>
              <w:pStyle w:val="TableHeading"/>
              <w:keepLines/>
              <w:widowControl w:val="0"/>
              <w:jc w:val="center"/>
              <w:rPr>
                <w:szCs w:val="20"/>
              </w:rPr>
            </w:pPr>
            <w:r w:rsidRPr="00A26F93">
              <w:rPr>
                <w:szCs w:val="20"/>
              </w:rPr>
              <w:t>Dupilumab</w:t>
            </w:r>
          </w:p>
        </w:tc>
        <w:tc>
          <w:tcPr>
            <w:tcW w:w="745" w:type="pct"/>
            <w:gridSpan w:val="2"/>
            <w:shd w:val="clear" w:color="auto" w:fill="auto"/>
            <w:vAlign w:val="center"/>
          </w:tcPr>
          <w:p w:rsidR="00A4753F" w:rsidRPr="00A26F93" w:rsidRDefault="00A4753F" w:rsidP="00A26F93">
            <w:pPr>
              <w:pStyle w:val="TableHeading"/>
              <w:keepLines/>
              <w:widowControl w:val="0"/>
              <w:jc w:val="center"/>
              <w:rPr>
                <w:szCs w:val="20"/>
              </w:rPr>
            </w:pPr>
            <w:r w:rsidRPr="00A26F93">
              <w:rPr>
                <w:szCs w:val="20"/>
              </w:rPr>
              <w:t>SoC</w:t>
            </w:r>
          </w:p>
        </w:tc>
        <w:tc>
          <w:tcPr>
            <w:tcW w:w="694" w:type="pct"/>
            <w:gridSpan w:val="2"/>
            <w:shd w:val="clear" w:color="auto" w:fill="auto"/>
            <w:vAlign w:val="center"/>
          </w:tcPr>
          <w:p w:rsidR="00A4753F" w:rsidRPr="00A26F93" w:rsidRDefault="00A4753F" w:rsidP="00A26F93">
            <w:pPr>
              <w:pStyle w:val="TableHeading"/>
              <w:keepLines/>
              <w:widowControl w:val="0"/>
              <w:jc w:val="center"/>
              <w:rPr>
                <w:szCs w:val="20"/>
              </w:rPr>
            </w:pPr>
            <w:r w:rsidRPr="00A26F93">
              <w:rPr>
                <w:szCs w:val="20"/>
              </w:rPr>
              <w:t>Incremental</w:t>
            </w:r>
          </w:p>
        </w:tc>
        <w:tc>
          <w:tcPr>
            <w:tcW w:w="411" w:type="pct"/>
            <w:vMerge w:val="restart"/>
            <w:shd w:val="clear" w:color="auto" w:fill="auto"/>
            <w:vAlign w:val="center"/>
          </w:tcPr>
          <w:p w:rsidR="00A4753F" w:rsidRPr="00A26F93" w:rsidRDefault="00A4753F" w:rsidP="00A26F93">
            <w:pPr>
              <w:pStyle w:val="TableText0"/>
              <w:keepLines/>
              <w:widowControl w:val="0"/>
              <w:jc w:val="center"/>
              <w:rPr>
                <w:szCs w:val="20"/>
              </w:rPr>
            </w:pPr>
            <w:r w:rsidRPr="00A26F93">
              <w:rPr>
                <w:b/>
                <w:szCs w:val="20"/>
              </w:rPr>
              <w:t>ICER</w:t>
            </w:r>
          </w:p>
        </w:tc>
      </w:tr>
      <w:tr w:rsidR="00A4753F" w:rsidRPr="00A26F93" w:rsidTr="00A4753F">
        <w:trPr>
          <w:cantSplit/>
        </w:trPr>
        <w:tc>
          <w:tcPr>
            <w:tcW w:w="289" w:type="pct"/>
            <w:vMerge/>
          </w:tcPr>
          <w:p w:rsidR="00A4753F" w:rsidRPr="00A26F93" w:rsidRDefault="00A4753F" w:rsidP="00A26F93">
            <w:pPr>
              <w:pStyle w:val="TableText0"/>
              <w:keepLines/>
              <w:widowControl w:val="0"/>
              <w:rPr>
                <w:b/>
                <w:szCs w:val="20"/>
              </w:rPr>
            </w:pPr>
          </w:p>
        </w:tc>
        <w:tc>
          <w:tcPr>
            <w:tcW w:w="1135" w:type="pct"/>
            <w:vMerge/>
            <w:shd w:val="clear" w:color="auto" w:fill="auto"/>
          </w:tcPr>
          <w:p w:rsidR="00A4753F" w:rsidRPr="00A26F93" w:rsidRDefault="00A4753F" w:rsidP="00A26F93">
            <w:pPr>
              <w:pStyle w:val="TableText0"/>
              <w:keepLines/>
              <w:widowControl w:val="0"/>
              <w:rPr>
                <w:b/>
                <w:szCs w:val="20"/>
              </w:rPr>
            </w:pPr>
          </w:p>
        </w:tc>
        <w:tc>
          <w:tcPr>
            <w:tcW w:w="980" w:type="pct"/>
            <w:vMerge/>
            <w:shd w:val="clear" w:color="auto" w:fill="auto"/>
            <w:vAlign w:val="center"/>
          </w:tcPr>
          <w:p w:rsidR="00A4753F" w:rsidRPr="00A26F93" w:rsidRDefault="00A4753F" w:rsidP="00A26F93">
            <w:pPr>
              <w:pStyle w:val="TableText0"/>
              <w:keepLines/>
              <w:widowControl w:val="0"/>
              <w:jc w:val="center"/>
              <w:rPr>
                <w:b/>
                <w:szCs w:val="20"/>
              </w:rPr>
            </w:pPr>
          </w:p>
        </w:tc>
        <w:tc>
          <w:tcPr>
            <w:tcW w:w="411"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Costs</w:t>
            </w:r>
          </w:p>
        </w:tc>
        <w:tc>
          <w:tcPr>
            <w:tcW w:w="334"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QALYs</w:t>
            </w:r>
          </w:p>
        </w:tc>
        <w:tc>
          <w:tcPr>
            <w:tcW w:w="411"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Costs</w:t>
            </w:r>
          </w:p>
        </w:tc>
        <w:tc>
          <w:tcPr>
            <w:tcW w:w="334"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QALYs</w:t>
            </w:r>
          </w:p>
        </w:tc>
        <w:tc>
          <w:tcPr>
            <w:tcW w:w="360"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Costs</w:t>
            </w:r>
          </w:p>
        </w:tc>
        <w:tc>
          <w:tcPr>
            <w:tcW w:w="334" w:type="pct"/>
            <w:shd w:val="clear" w:color="auto" w:fill="auto"/>
            <w:vAlign w:val="center"/>
          </w:tcPr>
          <w:p w:rsidR="00A4753F" w:rsidRPr="00A26F93" w:rsidRDefault="00A4753F" w:rsidP="00A26F93">
            <w:pPr>
              <w:pStyle w:val="TableText0"/>
              <w:keepLines/>
              <w:widowControl w:val="0"/>
              <w:jc w:val="center"/>
              <w:rPr>
                <w:b/>
                <w:szCs w:val="20"/>
              </w:rPr>
            </w:pPr>
            <w:r w:rsidRPr="00A26F93">
              <w:rPr>
                <w:b/>
                <w:szCs w:val="20"/>
              </w:rPr>
              <w:t>QALYs</w:t>
            </w:r>
          </w:p>
        </w:tc>
        <w:tc>
          <w:tcPr>
            <w:tcW w:w="411" w:type="pct"/>
            <w:vMerge/>
            <w:shd w:val="clear" w:color="auto" w:fill="auto"/>
            <w:vAlign w:val="center"/>
          </w:tcPr>
          <w:p w:rsidR="00A4753F" w:rsidRPr="00A26F93" w:rsidRDefault="00A4753F" w:rsidP="00A26F93">
            <w:pPr>
              <w:pStyle w:val="TableText0"/>
              <w:keepLines/>
              <w:widowControl w:val="0"/>
              <w:jc w:val="center"/>
              <w:rPr>
                <w:b/>
                <w:szCs w:val="20"/>
              </w:rPr>
            </w:pPr>
          </w:p>
        </w:tc>
      </w:tr>
      <w:tr w:rsidR="00FC0935" w:rsidRPr="00A26F93" w:rsidTr="00A4753F">
        <w:trPr>
          <w:cantSplit/>
        </w:trPr>
        <w:tc>
          <w:tcPr>
            <w:tcW w:w="2404" w:type="pct"/>
            <w:gridSpan w:val="3"/>
          </w:tcPr>
          <w:p w:rsidR="00FC0935" w:rsidRPr="00A26F93" w:rsidRDefault="00FC0935" w:rsidP="00A26F93">
            <w:pPr>
              <w:pStyle w:val="TableText0"/>
              <w:keepLines/>
              <w:widowControl w:val="0"/>
              <w:rPr>
                <w:b/>
                <w:bCs w:val="0"/>
                <w:szCs w:val="20"/>
              </w:rPr>
            </w:pPr>
            <w:r w:rsidRPr="00A26F93">
              <w:rPr>
                <w:b/>
                <w:szCs w:val="20"/>
              </w:rPr>
              <w:t>Base case</w:t>
            </w:r>
          </w:p>
        </w:tc>
        <w:tc>
          <w:tcPr>
            <w:tcW w:w="411" w:type="pct"/>
            <w:shd w:val="clear" w:color="auto" w:fill="auto"/>
            <w:vAlign w:val="center"/>
          </w:tcPr>
          <w:p w:rsidR="00FC0935" w:rsidRPr="00A26F93" w:rsidRDefault="00FC0935" w:rsidP="00A26F93">
            <w:pPr>
              <w:pStyle w:val="TableText0"/>
              <w:keepLines/>
              <w:widowControl w:val="0"/>
              <w:jc w:val="center"/>
              <w:rPr>
                <w:b/>
                <w:bCs w:val="0"/>
                <w:szCs w:val="20"/>
                <w:vertAlign w:val="superscript"/>
              </w:rPr>
            </w:pPr>
            <w:r w:rsidRPr="00A26F93">
              <w:rPr>
                <w:rFonts w:cs="Calibri"/>
                <w:b/>
                <w:szCs w:val="20"/>
              </w:rPr>
              <w:t>$</w:t>
            </w:r>
            <w:r w:rsidR="00BB6CB6">
              <w:rPr>
                <w:rFonts w:cs="Calibri"/>
                <w:b/>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b/>
                <w:bCs w:val="0"/>
                <w:szCs w:val="20"/>
              </w:rPr>
            </w:pPr>
            <w:r w:rsidRPr="007F1E56">
              <w:rPr>
                <w:rFonts w:cs="Calibri"/>
                <w:b/>
                <w:szCs w:val="20"/>
              </w:rPr>
              <w:t>3.57</w:t>
            </w:r>
          </w:p>
        </w:tc>
        <w:tc>
          <w:tcPr>
            <w:tcW w:w="411" w:type="pct"/>
            <w:shd w:val="clear" w:color="auto" w:fill="auto"/>
            <w:vAlign w:val="center"/>
          </w:tcPr>
          <w:p w:rsidR="00FC0935" w:rsidRPr="00A26F93" w:rsidRDefault="00FC0935" w:rsidP="00A26F93">
            <w:pPr>
              <w:pStyle w:val="TableText0"/>
              <w:keepLines/>
              <w:widowControl w:val="0"/>
              <w:jc w:val="center"/>
              <w:rPr>
                <w:b/>
                <w:bCs w:val="0"/>
                <w:szCs w:val="20"/>
              </w:rPr>
            </w:pPr>
            <w:r w:rsidRPr="00A26F93">
              <w:rPr>
                <w:rFonts w:cs="Calibri"/>
                <w:b/>
                <w:szCs w:val="20"/>
              </w:rPr>
              <w:t>$</w:t>
            </w:r>
            <w:r w:rsidR="00BB6CB6">
              <w:rPr>
                <w:rFonts w:cs="Calibri"/>
                <w:b/>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b/>
                <w:bCs w:val="0"/>
                <w:szCs w:val="20"/>
              </w:rPr>
            </w:pPr>
            <w:r w:rsidRPr="007F1E56">
              <w:rPr>
                <w:rFonts w:cs="Calibri"/>
                <w:b/>
                <w:szCs w:val="20"/>
              </w:rPr>
              <w:t>3.22</w:t>
            </w:r>
          </w:p>
        </w:tc>
        <w:tc>
          <w:tcPr>
            <w:tcW w:w="360" w:type="pct"/>
            <w:shd w:val="clear" w:color="auto" w:fill="auto"/>
            <w:vAlign w:val="center"/>
          </w:tcPr>
          <w:p w:rsidR="00FC0935" w:rsidRPr="00A26F93" w:rsidRDefault="00FC0935" w:rsidP="00A26F93">
            <w:pPr>
              <w:pStyle w:val="TableText0"/>
              <w:keepLines/>
              <w:widowControl w:val="0"/>
              <w:jc w:val="center"/>
              <w:rPr>
                <w:b/>
                <w:bCs w:val="0"/>
                <w:szCs w:val="20"/>
              </w:rPr>
            </w:pPr>
            <w:r w:rsidRPr="00A26F93">
              <w:rPr>
                <w:rFonts w:cs="Calibri"/>
                <w:b/>
                <w:szCs w:val="20"/>
              </w:rPr>
              <w:t>$</w:t>
            </w:r>
            <w:r w:rsidR="00BB6CB6">
              <w:rPr>
                <w:rFonts w:cs="Calibri"/>
                <w:b/>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b/>
                <w:bCs w:val="0"/>
                <w:szCs w:val="20"/>
              </w:rPr>
            </w:pPr>
            <w:r w:rsidRPr="00461210">
              <w:rPr>
                <w:rFonts w:cs="Calibri"/>
                <w:b/>
                <w:szCs w:val="20"/>
              </w:rPr>
              <w:t>0.34</w:t>
            </w:r>
          </w:p>
        </w:tc>
        <w:tc>
          <w:tcPr>
            <w:tcW w:w="411" w:type="pct"/>
            <w:shd w:val="clear" w:color="auto" w:fill="auto"/>
            <w:vAlign w:val="center"/>
          </w:tcPr>
          <w:p w:rsidR="00FC0935" w:rsidRPr="00A26F93" w:rsidRDefault="00FC0935" w:rsidP="00A26F93">
            <w:pPr>
              <w:pStyle w:val="TableText0"/>
              <w:keepLines/>
              <w:widowControl w:val="0"/>
              <w:jc w:val="center"/>
              <w:rPr>
                <w:b/>
                <w:bCs w:val="0"/>
                <w:szCs w:val="20"/>
              </w:rPr>
            </w:pPr>
            <w:r w:rsidRPr="00A26F93">
              <w:rPr>
                <w:rFonts w:cs="Calibri"/>
                <w:b/>
                <w:szCs w:val="20"/>
              </w:rPr>
              <w:t>$</w:t>
            </w:r>
            <w:r w:rsidR="00BB6CB6">
              <w:rPr>
                <w:rFonts w:cs="Calibri"/>
                <w:b/>
                <w:noProof/>
                <w:color w:val="000000"/>
                <w:szCs w:val="20"/>
                <w:highlight w:val="black"/>
              </w:rPr>
              <w:t>'''''''''''''</w:t>
            </w:r>
          </w:p>
        </w:tc>
      </w:tr>
      <w:tr w:rsidR="00A4753F" w:rsidRPr="00A26F93" w:rsidTr="00A4753F">
        <w:trPr>
          <w:cantSplit/>
        </w:trPr>
        <w:tc>
          <w:tcPr>
            <w:tcW w:w="289" w:type="pct"/>
            <w:vMerge w:val="restart"/>
          </w:tcPr>
          <w:p w:rsidR="00A4753F" w:rsidRPr="00A26F93" w:rsidRDefault="00A4753F" w:rsidP="00A26F93">
            <w:pPr>
              <w:pStyle w:val="TableText0"/>
              <w:keepLines/>
              <w:widowControl w:val="0"/>
              <w:rPr>
                <w:szCs w:val="20"/>
              </w:rPr>
            </w:pPr>
            <w:r w:rsidRPr="00A26F93">
              <w:rPr>
                <w:szCs w:val="20"/>
              </w:rPr>
              <w:t>1</w:t>
            </w:r>
          </w:p>
        </w:tc>
        <w:tc>
          <w:tcPr>
            <w:tcW w:w="1135" w:type="pct"/>
            <w:vMerge w:val="restart"/>
            <w:shd w:val="clear" w:color="auto" w:fill="auto"/>
          </w:tcPr>
          <w:p w:rsidR="00A4753F" w:rsidRPr="00A26F93" w:rsidRDefault="00A4753F" w:rsidP="00A26F93">
            <w:pPr>
              <w:pStyle w:val="TableText0"/>
              <w:keepLines/>
              <w:widowControl w:val="0"/>
              <w:rPr>
                <w:szCs w:val="20"/>
              </w:rPr>
            </w:pPr>
            <w:r w:rsidRPr="00A26F93">
              <w:rPr>
                <w:szCs w:val="20"/>
              </w:rPr>
              <w:t>Time horizon: 5 years</w:t>
            </w:r>
          </w:p>
        </w:tc>
        <w:tc>
          <w:tcPr>
            <w:tcW w:w="980" w:type="pct"/>
            <w:shd w:val="clear" w:color="auto" w:fill="auto"/>
          </w:tcPr>
          <w:p w:rsidR="00A4753F" w:rsidRPr="00A26F93" w:rsidRDefault="00A4753F" w:rsidP="00A26F93">
            <w:pPr>
              <w:pStyle w:val="TableText0"/>
              <w:keepLines/>
              <w:widowControl w:val="0"/>
              <w:rPr>
                <w:szCs w:val="20"/>
              </w:rPr>
            </w:pPr>
            <w:r w:rsidRPr="00A26F93">
              <w:rPr>
                <w:szCs w:val="20"/>
              </w:rPr>
              <w:t>1 year</w:t>
            </w:r>
          </w:p>
        </w:tc>
        <w:tc>
          <w:tcPr>
            <w:tcW w:w="411" w:type="pct"/>
            <w:shd w:val="clear" w:color="auto" w:fill="auto"/>
            <w:vAlign w:val="center"/>
          </w:tcPr>
          <w:p w:rsidR="00A4753F" w:rsidRPr="00A26F93" w:rsidRDefault="00A4753F"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A4753F" w:rsidRPr="00A26F93" w:rsidRDefault="00A4753F" w:rsidP="00A26F93">
            <w:pPr>
              <w:pStyle w:val="TableText0"/>
              <w:keepLines/>
              <w:widowControl w:val="0"/>
              <w:jc w:val="center"/>
              <w:rPr>
                <w:szCs w:val="20"/>
              </w:rPr>
            </w:pPr>
            <w:r w:rsidRPr="007F1E56">
              <w:rPr>
                <w:rFonts w:cs="Calibri"/>
                <w:szCs w:val="20"/>
              </w:rPr>
              <w:t>0.61</w:t>
            </w:r>
          </w:p>
        </w:tc>
        <w:tc>
          <w:tcPr>
            <w:tcW w:w="411" w:type="pct"/>
            <w:shd w:val="clear" w:color="auto" w:fill="auto"/>
            <w:vAlign w:val="center"/>
          </w:tcPr>
          <w:p w:rsidR="00A4753F" w:rsidRPr="00A26F93" w:rsidRDefault="00A4753F"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A4753F" w:rsidRPr="00A26F93" w:rsidRDefault="00A4753F" w:rsidP="00A26F93">
            <w:pPr>
              <w:pStyle w:val="TableText0"/>
              <w:keepLines/>
              <w:widowControl w:val="0"/>
              <w:jc w:val="center"/>
              <w:rPr>
                <w:szCs w:val="20"/>
              </w:rPr>
            </w:pPr>
            <w:r w:rsidRPr="007F1E56">
              <w:rPr>
                <w:rFonts w:cs="Calibri"/>
                <w:szCs w:val="20"/>
              </w:rPr>
              <w:t>0.53</w:t>
            </w:r>
          </w:p>
        </w:tc>
        <w:tc>
          <w:tcPr>
            <w:tcW w:w="360" w:type="pct"/>
            <w:shd w:val="clear" w:color="auto" w:fill="auto"/>
            <w:vAlign w:val="center"/>
          </w:tcPr>
          <w:p w:rsidR="00A4753F" w:rsidRPr="00A26F93" w:rsidRDefault="00A4753F"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A4753F" w:rsidRPr="00A26F93" w:rsidRDefault="00A4753F" w:rsidP="00A26F93">
            <w:pPr>
              <w:pStyle w:val="TableText0"/>
              <w:keepLines/>
              <w:widowControl w:val="0"/>
              <w:jc w:val="center"/>
              <w:rPr>
                <w:szCs w:val="20"/>
              </w:rPr>
            </w:pPr>
            <w:r w:rsidRPr="00A26F93">
              <w:rPr>
                <w:rFonts w:cs="Calibri"/>
                <w:szCs w:val="20"/>
              </w:rPr>
              <w:t>0.09</w:t>
            </w:r>
          </w:p>
        </w:tc>
        <w:tc>
          <w:tcPr>
            <w:tcW w:w="411" w:type="pct"/>
            <w:shd w:val="clear" w:color="auto" w:fill="auto"/>
            <w:vAlign w:val="center"/>
          </w:tcPr>
          <w:p w:rsidR="00A4753F" w:rsidRPr="00A26F93" w:rsidRDefault="00A4753F"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r>
      <w:tr w:rsidR="00FC0935" w:rsidRPr="00A26F93" w:rsidTr="00A4753F">
        <w:trPr>
          <w:cantSplit/>
        </w:trPr>
        <w:tc>
          <w:tcPr>
            <w:tcW w:w="289" w:type="pct"/>
            <w:vMerge/>
          </w:tcPr>
          <w:p w:rsidR="00FC0935" w:rsidRPr="00A26F93" w:rsidRDefault="00FC0935" w:rsidP="00A26F93">
            <w:pPr>
              <w:pStyle w:val="TableText0"/>
              <w:keepLines/>
              <w:widowControl w:val="0"/>
              <w:rPr>
                <w:szCs w:val="20"/>
              </w:rPr>
            </w:pPr>
          </w:p>
        </w:tc>
        <w:tc>
          <w:tcPr>
            <w:tcW w:w="1135" w:type="pct"/>
            <w:vMerge/>
            <w:shd w:val="clear" w:color="auto" w:fill="auto"/>
          </w:tcPr>
          <w:p w:rsidR="00FC0935" w:rsidRPr="00A26F93" w:rsidRDefault="00FC0935" w:rsidP="00A26F93">
            <w:pPr>
              <w:pStyle w:val="TableText0"/>
              <w:keepLines/>
              <w:widowControl w:val="0"/>
              <w:rPr>
                <w:szCs w:val="20"/>
              </w:rPr>
            </w:pPr>
          </w:p>
        </w:tc>
        <w:tc>
          <w:tcPr>
            <w:tcW w:w="980" w:type="pct"/>
            <w:shd w:val="clear" w:color="auto" w:fill="auto"/>
          </w:tcPr>
          <w:p w:rsidR="00FC0935" w:rsidRPr="00A26F93" w:rsidRDefault="00FC0935" w:rsidP="00A26F93">
            <w:pPr>
              <w:pStyle w:val="TableText0"/>
              <w:keepLines/>
              <w:widowControl w:val="0"/>
              <w:rPr>
                <w:szCs w:val="20"/>
              </w:rPr>
            </w:pPr>
            <w:r w:rsidRPr="00A26F93">
              <w:rPr>
                <w:szCs w:val="20"/>
              </w:rPr>
              <w:t>10 years</w:t>
            </w:r>
          </w:p>
        </w:tc>
        <w:tc>
          <w:tcPr>
            <w:tcW w:w="411" w:type="pct"/>
            <w:shd w:val="clear" w:color="auto" w:fill="auto"/>
            <w:vAlign w:val="center"/>
          </w:tcPr>
          <w:p w:rsidR="00FC0935" w:rsidRPr="00A26F93" w:rsidRDefault="00FC0935"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szCs w:val="20"/>
              </w:rPr>
            </w:pPr>
            <w:r w:rsidRPr="007F1E56">
              <w:rPr>
                <w:rFonts w:cs="Calibri"/>
                <w:szCs w:val="20"/>
              </w:rPr>
              <w:t>5.76</w:t>
            </w:r>
          </w:p>
        </w:tc>
        <w:tc>
          <w:tcPr>
            <w:tcW w:w="411" w:type="pct"/>
            <w:shd w:val="clear" w:color="auto" w:fill="auto"/>
            <w:vAlign w:val="center"/>
          </w:tcPr>
          <w:p w:rsidR="00FC0935" w:rsidRPr="00A26F93" w:rsidRDefault="00FC0935"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szCs w:val="20"/>
              </w:rPr>
            </w:pPr>
            <w:r w:rsidRPr="007F1E56">
              <w:rPr>
                <w:rFonts w:cs="Calibri"/>
                <w:szCs w:val="20"/>
              </w:rPr>
              <w:t>5.29</w:t>
            </w:r>
          </w:p>
        </w:tc>
        <w:tc>
          <w:tcPr>
            <w:tcW w:w="360" w:type="pct"/>
            <w:shd w:val="clear" w:color="auto" w:fill="auto"/>
            <w:vAlign w:val="center"/>
          </w:tcPr>
          <w:p w:rsidR="00FC0935" w:rsidRPr="00A26F93" w:rsidRDefault="00FC0935"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szCs w:val="20"/>
              </w:rPr>
            </w:pPr>
            <w:r w:rsidRPr="00A26F93">
              <w:rPr>
                <w:rFonts w:cs="Calibri"/>
                <w:szCs w:val="20"/>
              </w:rPr>
              <w:t>0.47</w:t>
            </w:r>
          </w:p>
        </w:tc>
        <w:tc>
          <w:tcPr>
            <w:tcW w:w="411" w:type="pct"/>
            <w:shd w:val="clear" w:color="auto" w:fill="auto"/>
            <w:vAlign w:val="center"/>
          </w:tcPr>
          <w:p w:rsidR="00FC0935" w:rsidRPr="00A26F93" w:rsidRDefault="00FC0935" w:rsidP="00A26F93">
            <w:pPr>
              <w:pStyle w:val="TableText0"/>
              <w:keepLines/>
              <w:widowControl w:val="0"/>
              <w:jc w:val="center"/>
              <w:rPr>
                <w:szCs w:val="20"/>
              </w:rPr>
            </w:pPr>
            <w:r w:rsidRPr="00A26F93">
              <w:rPr>
                <w:rFonts w:cs="Calibri"/>
                <w:szCs w:val="20"/>
              </w:rPr>
              <w:t>$</w:t>
            </w:r>
            <w:r w:rsidR="00BB6CB6">
              <w:rPr>
                <w:rFonts w:cs="Calibri"/>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2</w:t>
            </w:r>
          </w:p>
        </w:tc>
        <w:tc>
          <w:tcPr>
            <w:tcW w:w="1135" w:type="pct"/>
            <w:shd w:val="clear" w:color="auto" w:fill="auto"/>
          </w:tcPr>
          <w:p w:rsidR="00FC0935" w:rsidRPr="00A26F93" w:rsidRDefault="00FC0935" w:rsidP="00A26F93">
            <w:pPr>
              <w:pStyle w:val="TableText0"/>
              <w:keepLines/>
              <w:widowControl w:val="0"/>
              <w:rPr>
                <w:szCs w:val="20"/>
              </w:rPr>
            </w:pPr>
            <w:r w:rsidRPr="00A26F93">
              <w:rPr>
                <w:szCs w:val="20"/>
              </w:rPr>
              <w:t xml:space="preserve">DLQI4 </w:t>
            </w:r>
            <w:r w:rsidRPr="00A26F93">
              <w:rPr>
                <w:szCs w:val="20"/>
                <w:u w:val="single"/>
              </w:rPr>
              <w:t>and</w:t>
            </w:r>
            <w:r w:rsidRPr="00A26F93">
              <w:rPr>
                <w:szCs w:val="20"/>
              </w:rPr>
              <w:t xml:space="preserve"> EASI-50 as definition of response (Week 16 dup=59.6%; SoC=</w:t>
            </w:r>
          </w:p>
          <w:p w:rsidR="00FC0935" w:rsidRPr="00A26F93" w:rsidRDefault="00FC0935" w:rsidP="00A26F93">
            <w:pPr>
              <w:pStyle w:val="TableText0"/>
              <w:keepLines/>
              <w:widowControl w:val="0"/>
              <w:rPr>
                <w:szCs w:val="20"/>
              </w:rPr>
            </w:pPr>
            <w:r w:rsidRPr="00A26F93">
              <w:rPr>
                <w:szCs w:val="20"/>
              </w:rPr>
              <w:t>19.9%) (Week 42 dup=95.7%; SoC=66.7%)</w:t>
            </w:r>
          </w:p>
        </w:tc>
        <w:tc>
          <w:tcPr>
            <w:tcW w:w="980" w:type="pct"/>
            <w:shd w:val="clear" w:color="auto" w:fill="auto"/>
          </w:tcPr>
          <w:p w:rsidR="00FC0935" w:rsidRPr="00A26F93" w:rsidRDefault="00FC0935" w:rsidP="00A26F93">
            <w:pPr>
              <w:pStyle w:val="TableText0"/>
              <w:keepLines/>
              <w:widowControl w:val="0"/>
              <w:rPr>
                <w:szCs w:val="20"/>
              </w:rPr>
            </w:pPr>
            <w:r w:rsidRPr="00A26F93">
              <w:rPr>
                <w:szCs w:val="20"/>
              </w:rPr>
              <w:t xml:space="preserve">DLQI4 </w:t>
            </w:r>
            <w:r w:rsidRPr="00A26F93">
              <w:rPr>
                <w:szCs w:val="20"/>
                <w:u w:val="single"/>
              </w:rPr>
              <w:t>and</w:t>
            </w:r>
            <w:r w:rsidRPr="00A26F93">
              <w:rPr>
                <w:szCs w:val="20"/>
              </w:rPr>
              <w:t xml:space="preserve"> EASI 75 as definition of response</w:t>
            </w:r>
          </w:p>
          <w:p w:rsidR="00FC0935" w:rsidRPr="00A26F93" w:rsidRDefault="00FC0935" w:rsidP="00A26F93">
            <w:pPr>
              <w:pStyle w:val="TableText0"/>
              <w:keepLines/>
              <w:widowControl w:val="0"/>
              <w:rPr>
                <w:szCs w:val="20"/>
                <w:vertAlign w:val="superscript"/>
              </w:rPr>
            </w:pPr>
            <w:r w:rsidRPr="00A26F93">
              <w:rPr>
                <w:szCs w:val="20"/>
              </w:rPr>
              <w:t>(Week 16 dup=41.0%; SoC=12.6%) (Week 42 dup=89.5%; SoC =61.1%)</w:t>
            </w:r>
            <w:r w:rsidR="00814D5F" w:rsidRPr="00A26F93">
              <w:rPr>
                <w:szCs w:val="20"/>
                <w:vertAlign w:val="superscript"/>
              </w:rPr>
              <w:t>a</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3.45</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3.21</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0.23</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3</w:t>
            </w:r>
          </w:p>
        </w:tc>
        <w:tc>
          <w:tcPr>
            <w:tcW w:w="1135" w:type="pct"/>
            <w:shd w:val="clear" w:color="auto" w:fill="auto"/>
          </w:tcPr>
          <w:p w:rsidR="00FC0935" w:rsidRPr="00A26F93" w:rsidRDefault="00FC0935" w:rsidP="00A26F93">
            <w:pPr>
              <w:pStyle w:val="TableText0"/>
              <w:keepLines/>
              <w:widowControl w:val="0"/>
              <w:rPr>
                <w:szCs w:val="20"/>
              </w:rPr>
            </w:pPr>
            <w:r w:rsidRPr="00A26F93">
              <w:rPr>
                <w:szCs w:val="20"/>
              </w:rPr>
              <w:t xml:space="preserve">DLQI4 </w:t>
            </w:r>
            <w:r w:rsidRPr="00A26F93">
              <w:rPr>
                <w:szCs w:val="20"/>
                <w:u w:val="single"/>
              </w:rPr>
              <w:t>and</w:t>
            </w:r>
            <w:r w:rsidRPr="00A26F93">
              <w:rPr>
                <w:szCs w:val="20"/>
              </w:rPr>
              <w:t xml:space="preserve"> EASI-50 as definition of response (Week 16 dup=59.6%; SoC=19.9%) (Week 42 dup=95.7%; SoC=66.7%)</w:t>
            </w:r>
          </w:p>
        </w:tc>
        <w:tc>
          <w:tcPr>
            <w:tcW w:w="980" w:type="pct"/>
            <w:shd w:val="clear" w:color="auto" w:fill="auto"/>
          </w:tcPr>
          <w:p w:rsidR="00FC0935" w:rsidRPr="00A26F93" w:rsidRDefault="00FC0935" w:rsidP="00A26F93">
            <w:pPr>
              <w:pStyle w:val="TableText0"/>
              <w:keepLines/>
              <w:widowControl w:val="0"/>
              <w:rPr>
                <w:szCs w:val="20"/>
              </w:rPr>
            </w:pPr>
            <w:r w:rsidRPr="00A26F93">
              <w:rPr>
                <w:szCs w:val="20"/>
              </w:rPr>
              <w:t xml:space="preserve">DLQI4 </w:t>
            </w:r>
            <w:r w:rsidRPr="00A26F93">
              <w:rPr>
                <w:szCs w:val="20"/>
                <w:u w:val="single"/>
              </w:rPr>
              <w:t>and</w:t>
            </w:r>
            <w:r w:rsidRPr="00A26F93">
              <w:rPr>
                <w:szCs w:val="20"/>
              </w:rPr>
              <w:t xml:space="preserve"> EASI 50 </w:t>
            </w:r>
            <w:r w:rsidRPr="00A26F93">
              <w:rPr>
                <w:szCs w:val="20"/>
                <w:u w:val="single"/>
              </w:rPr>
              <w:t>and</w:t>
            </w:r>
            <w:r w:rsidRPr="00A26F93">
              <w:rPr>
                <w:szCs w:val="20"/>
              </w:rPr>
              <w:t xml:space="preserve"> PGA2 as definition of response</w:t>
            </w:r>
          </w:p>
          <w:p w:rsidR="00FC0935" w:rsidRPr="00A26F93" w:rsidRDefault="00FC0935" w:rsidP="00A26F93">
            <w:pPr>
              <w:pStyle w:val="TableText0"/>
              <w:keepLines/>
              <w:widowControl w:val="0"/>
              <w:rPr>
                <w:szCs w:val="20"/>
              </w:rPr>
            </w:pPr>
            <w:r w:rsidRPr="00A26F93">
              <w:rPr>
                <w:szCs w:val="20"/>
              </w:rPr>
              <w:t>(Week 16 dup=45.8%; SoC=13.4%) (Week 42 dup=80.0%; SoC=56.3%)</w:t>
            </w:r>
            <w:r w:rsidR="00EC77F5" w:rsidRPr="00A26F93">
              <w:rPr>
                <w:szCs w:val="20"/>
                <w:vertAlign w:val="superscript"/>
              </w:rPr>
              <w:t>b</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3.45</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3.21</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0.24</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4</w:t>
            </w:r>
          </w:p>
        </w:tc>
        <w:tc>
          <w:tcPr>
            <w:tcW w:w="1135" w:type="pct"/>
            <w:shd w:val="clear" w:color="auto" w:fill="auto"/>
          </w:tcPr>
          <w:p w:rsidR="00FC0935" w:rsidRPr="00A26F93" w:rsidRDefault="00FC0935" w:rsidP="00A26F93">
            <w:pPr>
              <w:pStyle w:val="TableText0"/>
              <w:keepLines/>
              <w:widowControl w:val="0"/>
              <w:rPr>
                <w:szCs w:val="20"/>
              </w:rPr>
            </w:pPr>
            <w:r w:rsidRPr="00A26F93">
              <w:rPr>
                <w:szCs w:val="20"/>
              </w:rPr>
              <w:t>Differential (years 2 to 5) maintenance of response rates in dupilumab and SoC patients</w:t>
            </w:r>
          </w:p>
        </w:tc>
        <w:tc>
          <w:tcPr>
            <w:tcW w:w="980" w:type="pct"/>
            <w:shd w:val="clear" w:color="auto" w:fill="auto"/>
            <w:vAlign w:val="center"/>
          </w:tcPr>
          <w:p w:rsidR="00FC0935" w:rsidRPr="00A26F93" w:rsidRDefault="00FC0935" w:rsidP="00A26F93">
            <w:pPr>
              <w:pStyle w:val="TableText0"/>
              <w:keepLines/>
              <w:widowControl w:val="0"/>
              <w:rPr>
                <w:szCs w:val="20"/>
              </w:rPr>
            </w:pPr>
            <w:r w:rsidRPr="00A26F93">
              <w:rPr>
                <w:szCs w:val="20"/>
              </w:rPr>
              <w:t>Dupilumab maintenance of response rates also applied to SoC patients</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3.95</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3.80</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0.15</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5</w:t>
            </w:r>
          </w:p>
        </w:tc>
        <w:tc>
          <w:tcPr>
            <w:tcW w:w="1135" w:type="pct"/>
            <w:shd w:val="clear" w:color="auto" w:fill="auto"/>
          </w:tcPr>
          <w:p w:rsidR="00FC0935" w:rsidRPr="00A26F93" w:rsidRDefault="00FC0935" w:rsidP="00A26F93">
            <w:pPr>
              <w:pStyle w:val="TableText0"/>
              <w:keepLines/>
              <w:widowControl w:val="0"/>
              <w:rPr>
                <w:szCs w:val="20"/>
              </w:rPr>
            </w:pPr>
            <w:r w:rsidRPr="00A26F93">
              <w:rPr>
                <w:szCs w:val="20"/>
              </w:rPr>
              <w:t>Health state costs including phototherapy (responder = $3,880 per year; non-responder = $12,856 per year) Difference = $8,976)</w:t>
            </w:r>
          </w:p>
        </w:tc>
        <w:tc>
          <w:tcPr>
            <w:tcW w:w="980" w:type="pct"/>
            <w:shd w:val="clear" w:color="auto" w:fill="auto"/>
            <w:vAlign w:val="center"/>
          </w:tcPr>
          <w:p w:rsidR="00FC0935" w:rsidRPr="00A26F93" w:rsidRDefault="00FC0935" w:rsidP="00A26F93">
            <w:pPr>
              <w:pStyle w:val="TableText0"/>
              <w:keepLines/>
              <w:widowControl w:val="0"/>
              <w:rPr>
                <w:szCs w:val="20"/>
              </w:rPr>
            </w:pPr>
            <w:r w:rsidRPr="00A26F93">
              <w:rPr>
                <w:szCs w:val="20"/>
              </w:rPr>
              <w:t>Exclude phototherapy costs. Responder= $984; non-responder = $5,493 per year) Difference = $4,509</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7F1E56" w:rsidRDefault="00FC0935" w:rsidP="00A26F93">
            <w:pPr>
              <w:pStyle w:val="TableText0"/>
              <w:keepLines/>
              <w:widowControl w:val="0"/>
              <w:jc w:val="center"/>
              <w:rPr>
                <w:rFonts w:cs="Calibri"/>
                <w:szCs w:val="20"/>
              </w:rPr>
            </w:pPr>
            <w:r w:rsidRPr="007F1E56">
              <w:rPr>
                <w:rFonts w:cs="Calibri"/>
                <w:szCs w:val="20"/>
              </w:rPr>
              <w:t>3.57</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rFonts w:cs="Calibri"/>
                <w:szCs w:val="20"/>
              </w:rPr>
              <w:t>3.22</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0.34</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2+4</w:t>
            </w:r>
          </w:p>
        </w:tc>
        <w:tc>
          <w:tcPr>
            <w:tcW w:w="1135" w:type="pct"/>
            <w:shd w:val="clear" w:color="auto" w:fill="auto"/>
          </w:tcPr>
          <w:p w:rsidR="00FC0935" w:rsidRPr="00A26F93" w:rsidRDefault="00FC0935" w:rsidP="00A26F93">
            <w:pPr>
              <w:pStyle w:val="TableText0"/>
              <w:keepLines/>
              <w:widowControl w:val="0"/>
              <w:rPr>
                <w:szCs w:val="20"/>
              </w:rPr>
            </w:pPr>
          </w:p>
        </w:tc>
        <w:tc>
          <w:tcPr>
            <w:tcW w:w="980" w:type="pct"/>
            <w:shd w:val="clear" w:color="auto" w:fill="auto"/>
          </w:tcPr>
          <w:p w:rsidR="00FC0935" w:rsidRPr="00A26F93" w:rsidRDefault="00FC0935" w:rsidP="00A26F93">
            <w:pPr>
              <w:pStyle w:val="TableText0"/>
              <w:keepLines/>
              <w:widowControl w:val="0"/>
              <w:jc w:val="right"/>
              <w:rPr>
                <w:szCs w:val="20"/>
              </w:rPr>
            </w:pP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3.90</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3.79</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0.11</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r w:rsidR="00FC0935" w:rsidRPr="00A26F93" w:rsidTr="00A4753F">
        <w:trPr>
          <w:cantSplit/>
        </w:trPr>
        <w:tc>
          <w:tcPr>
            <w:tcW w:w="289" w:type="pct"/>
          </w:tcPr>
          <w:p w:rsidR="00FC0935" w:rsidRPr="00A26F93" w:rsidRDefault="00FC0935" w:rsidP="00A26F93">
            <w:pPr>
              <w:pStyle w:val="TableText0"/>
              <w:keepLines/>
              <w:widowControl w:val="0"/>
              <w:rPr>
                <w:szCs w:val="20"/>
              </w:rPr>
            </w:pPr>
            <w:r w:rsidRPr="00A26F93">
              <w:rPr>
                <w:szCs w:val="20"/>
              </w:rPr>
              <w:t>2+4+5</w:t>
            </w:r>
          </w:p>
        </w:tc>
        <w:tc>
          <w:tcPr>
            <w:tcW w:w="1135" w:type="pct"/>
            <w:shd w:val="clear" w:color="auto" w:fill="auto"/>
          </w:tcPr>
          <w:p w:rsidR="00FC0935" w:rsidRPr="00A26F93" w:rsidRDefault="00FC0935" w:rsidP="00A26F93">
            <w:pPr>
              <w:pStyle w:val="TableText0"/>
              <w:keepLines/>
              <w:widowControl w:val="0"/>
              <w:rPr>
                <w:szCs w:val="20"/>
              </w:rPr>
            </w:pPr>
          </w:p>
        </w:tc>
        <w:tc>
          <w:tcPr>
            <w:tcW w:w="980" w:type="pct"/>
            <w:shd w:val="clear" w:color="auto" w:fill="auto"/>
          </w:tcPr>
          <w:p w:rsidR="00FC0935" w:rsidRPr="00A26F93" w:rsidRDefault="00FC0935" w:rsidP="00A26F93">
            <w:pPr>
              <w:pStyle w:val="TableText0"/>
              <w:keepLines/>
              <w:widowControl w:val="0"/>
              <w:jc w:val="right"/>
              <w:rPr>
                <w:szCs w:val="20"/>
              </w:rPr>
            </w:pP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3.90</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BB6CB6" w:rsidRDefault="00FC0935" w:rsidP="00A26F93">
            <w:pPr>
              <w:pStyle w:val="TableText0"/>
              <w:keepLines/>
              <w:widowControl w:val="0"/>
              <w:jc w:val="center"/>
              <w:rPr>
                <w:rFonts w:cs="Calibri"/>
                <w:szCs w:val="20"/>
              </w:rPr>
            </w:pPr>
            <w:r w:rsidRPr="007F1E56">
              <w:rPr>
                <w:szCs w:val="20"/>
              </w:rPr>
              <w:t>3.79</w:t>
            </w:r>
          </w:p>
        </w:tc>
        <w:tc>
          <w:tcPr>
            <w:tcW w:w="360"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c>
          <w:tcPr>
            <w:tcW w:w="334"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0.11</w:t>
            </w:r>
          </w:p>
        </w:tc>
        <w:tc>
          <w:tcPr>
            <w:tcW w:w="411" w:type="pct"/>
            <w:shd w:val="clear" w:color="auto" w:fill="auto"/>
            <w:vAlign w:val="center"/>
          </w:tcPr>
          <w:p w:rsidR="00FC0935" w:rsidRPr="00A26F93" w:rsidRDefault="00FC0935" w:rsidP="00A26F93">
            <w:pPr>
              <w:pStyle w:val="TableText0"/>
              <w:keepLines/>
              <w:widowControl w:val="0"/>
              <w:jc w:val="center"/>
              <w:rPr>
                <w:rFonts w:cs="Calibri"/>
                <w:szCs w:val="20"/>
              </w:rPr>
            </w:pPr>
            <w:r w:rsidRPr="00A26F93">
              <w:rPr>
                <w:szCs w:val="20"/>
              </w:rPr>
              <w:t>$</w:t>
            </w:r>
            <w:r w:rsidR="00BB6CB6">
              <w:rPr>
                <w:noProof/>
                <w:color w:val="000000"/>
                <w:szCs w:val="20"/>
                <w:highlight w:val="black"/>
              </w:rPr>
              <w:t>'''''''''''''''''</w:t>
            </w:r>
          </w:p>
        </w:tc>
      </w:tr>
    </w:tbl>
    <w:p w:rsidR="00A4753F" w:rsidRPr="00B1054A" w:rsidRDefault="00A4753F" w:rsidP="00A26F93">
      <w:pPr>
        <w:keepNext/>
        <w:keepLines/>
        <w:widowControl w:val="0"/>
        <w:rPr>
          <w:rFonts w:ascii="Arial Narrow" w:hAnsi="Arial Narrow"/>
          <w:sz w:val="18"/>
          <w:szCs w:val="18"/>
        </w:rPr>
      </w:pPr>
      <w:r w:rsidRPr="00B1054A">
        <w:rPr>
          <w:rFonts w:ascii="Arial Narrow" w:hAnsi="Arial Narrow"/>
          <w:sz w:val="18"/>
          <w:szCs w:val="18"/>
        </w:rPr>
        <w:t>Source: Table 3.21 (p136-7) of the resubmission</w:t>
      </w:r>
    </w:p>
    <w:p w:rsidR="00A4753F" w:rsidRPr="00B1054A" w:rsidRDefault="00A4753F" w:rsidP="00A26F93">
      <w:pPr>
        <w:keepNext/>
        <w:keepLines/>
        <w:widowControl w:val="0"/>
        <w:rPr>
          <w:rFonts w:ascii="Arial Narrow" w:hAnsi="Arial Narrow"/>
          <w:sz w:val="18"/>
          <w:szCs w:val="18"/>
        </w:rPr>
      </w:pPr>
      <w:r w:rsidRPr="00B1054A">
        <w:rPr>
          <w:rFonts w:ascii="Arial Narrow" w:hAnsi="Arial Narrow"/>
          <w:sz w:val="18"/>
          <w:szCs w:val="18"/>
        </w:rPr>
        <w:t>Abbreviations: CI = confidence interval; DLQI = dermatology life quality index; IGA = investigator’s global assessment; QALY = quality-adjusted life year; SoC = standard of care</w:t>
      </w:r>
    </w:p>
    <w:p w:rsidR="00FC0935" w:rsidRPr="00B1054A" w:rsidRDefault="00FC0935" w:rsidP="00A26F93">
      <w:pPr>
        <w:keepNext/>
        <w:keepLines/>
        <w:widowControl w:val="0"/>
        <w:tabs>
          <w:tab w:val="left" w:pos="284"/>
        </w:tabs>
        <w:rPr>
          <w:rFonts w:ascii="Arial Narrow" w:hAnsi="Arial Narrow"/>
          <w:sz w:val="18"/>
        </w:rPr>
      </w:pPr>
      <w:r w:rsidRPr="00B1054A">
        <w:rPr>
          <w:rFonts w:ascii="Arial Narrow" w:hAnsi="Arial Narrow"/>
          <w:sz w:val="18"/>
          <w:vertAlign w:val="superscript"/>
        </w:rPr>
        <w:t>a</w:t>
      </w:r>
      <w:r w:rsidRPr="00B1054A">
        <w:rPr>
          <w:rFonts w:ascii="Arial Narrow" w:hAnsi="Arial Narrow"/>
          <w:sz w:val="18"/>
          <w:vertAlign w:val="superscript"/>
        </w:rPr>
        <w:tab/>
      </w:r>
      <w:r w:rsidRPr="00B1054A">
        <w:rPr>
          <w:rFonts w:ascii="Arial Narrow" w:hAnsi="Arial Narrow"/>
          <w:sz w:val="18"/>
        </w:rPr>
        <w:t>dupilumab 17/19 (89.5%) and SoC 11/18 (61.1%) Week 16 responders maintained response at Week 44 from Attachment t5.2b.1, Attachment 13</w:t>
      </w:r>
    </w:p>
    <w:p w:rsidR="00FC0935" w:rsidRDefault="00EC77F5" w:rsidP="00A26F93">
      <w:pPr>
        <w:keepNext/>
        <w:keepLines/>
        <w:widowControl w:val="0"/>
        <w:tabs>
          <w:tab w:val="left" w:pos="284"/>
        </w:tabs>
        <w:ind w:left="284" w:hanging="284"/>
        <w:rPr>
          <w:rFonts w:ascii="Arial Narrow" w:hAnsi="Arial Narrow"/>
          <w:sz w:val="18"/>
        </w:rPr>
      </w:pPr>
      <w:r w:rsidRPr="00B1054A">
        <w:rPr>
          <w:rFonts w:ascii="Arial Narrow" w:hAnsi="Arial Narrow"/>
          <w:sz w:val="18"/>
          <w:vertAlign w:val="superscript"/>
        </w:rPr>
        <w:t>b</w:t>
      </w:r>
      <w:r w:rsidR="00FC0935" w:rsidRPr="00B1054A">
        <w:rPr>
          <w:rFonts w:ascii="Arial Narrow" w:hAnsi="Arial Narrow"/>
          <w:sz w:val="18"/>
        </w:rPr>
        <w:tab/>
        <w:t>dupilumab 16/20 (80%) and SoC 9/16 (56.3%) Week 16 responders maintained response at Week 44 from Attachment t5.2b.1, Attachment 13</w:t>
      </w:r>
    </w:p>
    <w:p w:rsidR="00461210" w:rsidRDefault="00461210" w:rsidP="00461210">
      <w:pPr>
        <w:keepNext/>
        <w:keepLines/>
        <w:widowControl w:val="0"/>
        <w:tabs>
          <w:tab w:val="left" w:pos="284"/>
        </w:tabs>
        <w:rPr>
          <w:rFonts w:ascii="Arial Narrow" w:hAnsi="Arial Narrow"/>
          <w:sz w:val="18"/>
        </w:rPr>
      </w:pPr>
    </w:p>
    <w:p w:rsidR="00461210" w:rsidRPr="00404D96" w:rsidRDefault="00461210" w:rsidP="00461210">
      <w:pPr>
        <w:keepNext/>
        <w:keepLines/>
        <w:widowControl w:val="0"/>
        <w:tabs>
          <w:tab w:val="left" w:pos="284"/>
        </w:tabs>
        <w:rPr>
          <w:rFonts w:asciiTheme="minorHAnsi" w:hAnsiTheme="minorHAnsi" w:cstheme="minorHAnsi"/>
          <w:i/>
        </w:rPr>
      </w:pPr>
      <w:r w:rsidRPr="00404D96">
        <w:rPr>
          <w:rFonts w:asciiTheme="minorHAnsi" w:hAnsiTheme="minorHAnsi" w:cstheme="minorHAnsi"/>
          <w:i/>
        </w:rPr>
        <w:t>The redacted table shows ICERs in the range of $35,000 to &lt;</w:t>
      </w:r>
      <w:r w:rsidR="00FD7A5F">
        <w:rPr>
          <w:rFonts w:asciiTheme="minorHAnsi" w:hAnsiTheme="minorHAnsi" w:cstheme="minorHAnsi"/>
          <w:i/>
        </w:rPr>
        <w:t> </w:t>
      </w:r>
      <w:r w:rsidRPr="00404D96">
        <w:rPr>
          <w:rFonts w:asciiTheme="minorHAnsi" w:hAnsiTheme="minorHAnsi" w:cstheme="minorHAnsi"/>
          <w:i/>
        </w:rPr>
        <w:t>$165,000/QALY.</w:t>
      </w:r>
    </w:p>
    <w:p w:rsidR="00633FEB" w:rsidRDefault="00633FEB">
      <w:pPr>
        <w:jc w:val="left"/>
        <w:rPr>
          <w:rFonts w:asciiTheme="minorHAnsi" w:eastAsiaTheme="majorEastAsia" w:hAnsiTheme="minorHAnsi" w:cstheme="majorBidi"/>
          <w:b/>
          <w:i/>
          <w:spacing w:val="5"/>
          <w:kern w:val="28"/>
          <w:sz w:val="28"/>
          <w:szCs w:val="36"/>
        </w:rPr>
      </w:pPr>
      <w:bookmarkStart w:id="38" w:name="_Toc22897646"/>
      <w:bookmarkStart w:id="39" w:name="_Toc30593001"/>
      <w:r>
        <w:br w:type="page"/>
      </w:r>
    </w:p>
    <w:p w:rsidR="00C25D9C" w:rsidRPr="00B1054A" w:rsidRDefault="00C25D9C" w:rsidP="00BB732D">
      <w:pPr>
        <w:pStyle w:val="4-SubsectionHeading"/>
      </w:pPr>
      <w:r w:rsidRPr="00B1054A">
        <w:lastRenderedPageBreak/>
        <w:t>Drug</w:t>
      </w:r>
      <w:r w:rsidR="00C62251" w:rsidRPr="00B1054A">
        <w:t xml:space="preserve"> </w:t>
      </w:r>
      <w:r w:rsidRPr="00B1054A">
        <w:t>cost/patient/year</w:t>
      </w:r>
      <w:bookmarkEnd w:id="38"/>
      <w:bookmarkEnd w:id="39"/>
    </w:p>
    <w:p w:rsidR="00494207" w:rsidRPr="00B1054A" w:rsidRDefault="00C62251" w:rsidP="00C62251">
      <w:pPr>
        <w:pStyle w:val="TableFigureHeading"/>
        <w:jc w:val="both"/>
        <w:rPr>
          <w:rStyle w:val="CommentReference"/>
          <w:b/>
          <w:szCs w:val="24"/>
        </w:rPr>
      </w:pPr>
      <w:r w:rsidRPr="00B1054A">
        <w:rPr>
          <w:rStyle w:val="CommentReference"/>
          <w:b/>
          <w:szCs w:val="24"/>
        </w:rPr>
        <w:t xml:space="preserve">Table </w:t>
      </w:r>
      <w:r w:rsidR="00B20399" w:rsidRPr="00B1054A">
        <w:rPr>
          <w:rStyle w:val="CommentReference"/>
          <w:b/>
          <w:szCs w:val="24"/>
        </w:rPr>
        <w:t>17</w:t>
      </w:r>
      <w:r w:rsidR="00494207" w:rsidRPr="00B1054A">
        <w:rPr>
          <w:rStyle w:val="CommentReference"/>
          <w:b/>
          <w:szCs w:val="24"/>
        </w:rPr>
        <w:t xml:space="preserve">: Drug cost per patient for </w:t>
      </w:r>
      <w:r w:rsidR="00AC25F3" w:rsidRPr="00B1054A">
        <w:rPr>
          <w:rStyle w:val="CommentReference"/>
          <w:b/>
          <w:szCs w:val="24"/>
        </w:rPr>
        <w:t>dupilumab</w:t>
      </w:r>
      <w:r w:rsidR="00494207" w:rsidRPr="00B1054A">
        <w:rPr>
          <w:rStyle w:val="CommentReference"/>
          <w:b/>
          <w:szCs w:val="24"/>
        </w:rPr>
        <w:t xml:space="preserve"> and </w:t>
      </w:r>
      <w:r w:rsidR="00AC25F3" w:rsidRPr="00B1054A">
        <w:rPr>
          <w:rStyle w:val="CommentReference"/>
          <w:b/>
          <w:szCs w:val="24"/>
        </w:rPr>
        <w:t>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243"/>
        <w:gridCol w:w="1244"/>
        <w:gridCol w:w="1243"/>
        <w:gridCol w:w="1244"/>
        <w:gridCol w:w="1243"/>
        <w:gridCol w:w="1244"/>
      </w:tblGrid>
      <w:tr w:rsidR="00494207" w:rsidRPr="00B1054A" w:rsidTr="00EE7A98">
        <w:trPr>
          <w:cantSplit/>
          <w:tblHeader/>
          <w:jc w:val="center"/>
        </w:trPr>
        <w:tc>
          <w:tcPr>
            <w:tcW w:w="863" w:type="pct"/>
            <w:shd w:val="clear" w:color="auto" w:fill="auto"/>
            <w:vAlign w:val="center"/>
          </w:tcPr>
          <w:p w:rsidR="00494207" w:rsidRPr="00B1054A" w:rsidRDefault="00494207" w:rsidP="00BB732D">
            <w:pPr>
              <w:pStyle w:val="In-tableHeading"/>
              <w:jc w:val="center"/>
              <w:rPr>
                <w:lang w:val="en-AU"/>
              </w:rPr>
            </w:pPr>
          </w:p>
        </w:tc>
        <w:tc>
          <w:tcPr>
            <w:tcW w:w="689" w:type="pct"/>
            <w:shd w:val="clear" w:color="auto" w:fill="auto"/>
            <w:vAlign w:val="center"/>
          </w:tcPr>
          <w:p w:rsidR="00494207" w:rsidRPr="00B1054A" w:rsidRDefault="00C509C2" w:rsidP="00BB732D">
            <w:pPr>
              <w:pStyle w:val="In-tableHeading"/>
              <w:jc w:val="center"/>
              <w:rPr>
                <w:lang w:val="en-AU"/>
              </w:rPr>
            </w:pPr>
            <w:r w:rsidRPr="00B1054A">
              <w:rPr>
                <w:lang w:val="en-AU"/>
              </w:rPr>
              <w:t>Dupilumab</w:t>
            </w:r>
          </w:p>
          <w:p w:rsidR="00494207" w:rsidRPr="00B1054A" w:rsidRDefault="00494207" w:rsidP="00BB732D">
            <w:pPr>
              <w:pStyle w:val="In-tableHeading"/>
              <w:jc w:val="center"/>
              <w:rPr>
                <w:lang w:val="en-AU"/>
              </w:rPr>
            </w:pPr>
            <w:r w:rsidRPr="00B1054A">
              <w:rPr>
                <w:lang w:val="en-AU"/>
              </w:rPr>
              <w:t>Trial dose and duration</w:t>
            </w:r>
          </w:p>
        </w:tc>
        <w:tc>
          <w:tcPr>
            <w:tcW w:w="690" w:type="pct"/>
            <w:shd w:val="clear" w:color="auto" w:fill="auto"/>
            <w:vAlign w:val="center"/>
          </w:tcPr>
          <w:p w:rsidR="00494207" w:rsidRPr="00B1054A" w:rsidRDefault="00C509C2" w:rsidP="00BB732D">
            <w:pPr>
              <w:pStyle w:val="In-tableHeading"/>
              <w:jc w:val="center"/>
              <w:rPr>
                <w:lang w:val="en-AU"/>
              </w:rPr>
            </w:pPr>
            <w:r w:rsidRPr="00B1054A">
              <w:rPr>
                <w:lang w:val="en-AU"/>
              </w:rPr>
              <w:t>Dupilumab</w:t>
            </w:r>
          </w:p>
          <w:p w:rsidR="00494207" w:rsidRPr="00B1054A" w:rsidRDefault="00494207" w:rsidP="00BB732D">
            <w:pPr>
              <w:pStyle w:val="In-tableHeading"/>
              <w:jc w:val="center"/>
              <w:rPr>
                <w:lang w:val="en-AU"/>
              </w:rPr>
            </w:pPr>
            <w:r w:rsidRPr="00B1054A">
              <w:rPr>
                <w:lang w:val="en-AU"/>
              </w:rPr>
              <w:t>Model</w:t>
            </w:r>
          </w:p>
        </w:tc>
        <w:tc>
          <w:tcPr>
            <w:tcW w:w="689" w:type="pct"/>
            <w:shd w:val="clear" w:color="auto" w:fill="auto"/>
            <w:vAlign w:val="center"/>
          </w:tcPr>
          <w:p w:rsidR="00494207" w:rsidRPr="00B1054A" w:rsidRDefault="00C509C2" w:rsidP="00BB732D">
            <w:pPr>
              <w:pStyle w:val="In-tableHeading"/>
              <w:jc w:val="center"/>
              <w:rPr>
                <w:lang w:val="en-AU"/>
              </w:rPr>
            </w:pPr>
            <w:r w:rsidRPr="00B1054A">
              <w:rPr>
                <w:lang w:val="en-AU"/>
              </w:rPr>
              <w:t>Dupilumab</w:t>
            </w:r>
          </w:p>
          <w:p w:rsidR="00494207" w:rsidRPr="00B1054A" w:rsidRDefault="00494207" w:rsidP="00BB732D">
            <w:pPr>
              <w:pStyle w:val="In-tableHeading"/>
              <w:jc w:val="center"/>
              <w:rPr>
                <w:lang w:val="en-AU"/>
              </w:rPr>
            </w:pPr>
            <w:r w:rsidRPr="00B1054A">
              <w:rPr>
                <w:lang w:val="en-AU"/>
              </w:rPr>
              <w:t>Financial estimates</w:t>
            </w:r>
          </w:p>
        </w:tc>
        <w:tc>
          <w:tcPr>
            <w:tcW w:w="690" w:type="pct"/>
            <w:shd w:val="clear" w:color="auto" w:fill="auto"/>
            <w:vAlign w:val="center"/>
          </w:tcPr>
          <w:p w:rsidR="00494207" w:rsidRPr="00B1054A" w:rsidRDefault="00494207" w:rsidP="00BB732D">
            <w:pPr>
              <w:pStyle w:val="In-tableHeading"/>
              <w:jc w:val="center"/>
              <w:rPr>
                <w:lang w:val="en-AU"/>
              </w:rPr>
            </w:pPr>
            <w:r w:rsidRPr="00B1054A">
              <w:rPr>
                <w:lang w:val="en-AU"/>
              </w:rPr>
              <w:t>Comparator</w:t>
            </w:r>
          </w:p>
          <w:p w:rsidR="00494207" w:rsidRPr="00B1054A" w:rsidRDefault="00494207" w:rsidP="00BB732D">
            <w:pPr>
              <w:pStyle w:val="In-tableHeading"/>
              <w:jc w:val="center"/>
              <w:rPr>
                <w:lang w:val="en-AU"/>
              </w:rPr>
            </w:pPr>
            <w:r w:rsidRPr="00B1054A">
              <w:rPr>
                <w:lang w:val="en-AU"/>
              </w:rPr>
              <w:t>Trial dose and duration</w:t>
            </w:r>
          </w:p>
        </w:tc>
        <w:tc>
          <w:tcPr>
            <w:tcW w:w="689" w:type="pct"/>
            <w:shd w:val="clear" w:color="auto" w:fill="auto"/>
            <w:vAlign w:val="center"/>
          </w:tcPr>
          <w:p w:rsidR="00494207" w:rsidRPr="00B1054A" w:rsidRDefault="00494207" w:rsidP="00BB732D">
            <w:pPr>
              <w:pStyle w:val="In-tableHeading"/>
              <w:jc w:val="center"/>
              <w:rPr>
                <w:lang w:val="en-AU"/>
              </w:rPr>
            </w:pPr>
            <w:r w:rsidRPr="00B1054A">
              <w:rPr>
                <w:lang w:val="en-AU"/>
              </w:rPr>
              <w:t>Comparator</w:t>
            </w:r>
          </w:p>
          <w:p w:rsidR="00494207" w:rsidRPr="00B1054A" w:rsidRDefault="00494207" w:rsidP="00BB732D">
            <w:pPr>
              <w:pStyle w:val="In-tableHeading"/>
              <w:jc w:val="center"/>
              <w:rPr>
                <w:lang w:val="en-AU"/>
              </w:rPr>
            </w:pPr>
            <w:r w:rsidRPr="00B1054A">
              <w:rPr>
                <w:lang w:val="en-AU"/>
              </w:rPr>
              <w:t>Model</w:t>
            </w:r>
          </w:p>
        </w:tc>
        <w:tc>
          <w:tcPr>
            <w:tcW w:w="690" w:type="pct"/>
          </w:tcPr>
          <w:p w:rsidR="00494207" w:rsidRPr="00B1054A" w:rsidRDefault="00494207" w:rsidP="00BB732D">
            <w:pPr>
              <w:pStyle w:val="In-tableHeading"/>
              <w:jc w:val="center"/>
              <w:rPr>
                <w:lang w:val="en-AU"/>
              </w:rPr>
            </w:pPr>
            <w:r w:rsidRPr="00B1054A">
              <w:rPr>
                <w:lang w:val="en-AU"/>
              </w:rPr>
              <w:t>Comparator</w:t>
            </w:r>
          </w:p>
          <w:p w:rsidR="00494207" w:rsidRPr="00B1054A" w:rsidRDefault="00494207" w:rsidP="00BB732D">
            <w:pPr>
              <w:pStyle w:val="In-tableHeading"/>
              <w:jc w:val="center"/>
              <w:rPr>
                <w:lang w:val="en-AU"/>
              </w:rPr>
            </w:pPr>
            <w:r w:rsidRPr="00B1054A">
              <w:rPr>
                <w:lang w:val="en-AU"/>
              </w:rPr>
              <w:t>Financial estimates</w:t>
            </w:r>
          </w:p>
        </w:tc>
      </w:tr>
      <w:tr w:rsidR="00494207" w:rsidRPr="00B1054A" w:rsidTr="00FC0935">
        <w:trPr>
          <w:cantSplit/>
          <w:jc w:val="center"/>
        </w:trPr>
        <w:tc>
          <w:tcPr>
            <w:tcW w:w="863" w:type="pct"/>
            <w:shd w:val="clear" w:color="auto" w:fill="auto"/>
            <w:vAlign w:val="center"/>
          </w:tcPr>
          <w:p w:rsidR="00494207" w:rsidRPr="00B1054A" w:rsidRDefault="00494207" w:rsidP="00BB732D">
            <w:pPr>
              <w:pStyle w:val="TableText0"/>
            </w:pPr>
            <w:r w:rsidRPr="00B1054A">
              <w:t>Mean dose</w:t>
            </w:r>
          </w:p>
        </w:tc>
        <w:tc>
          <w:tcPr>
            <w:tcW w:w="689" w:type="pct"/>
            <w:shd w:val="clear" w:color="auto" w:fill="auto"/>
            <w:vAlign w:val="center"/>
          </w:tcPr>
          <w:p w:rsidR="00494207" w:rsidRPr="00B1054A" w:rsidRDefault="00AC25F3" w:rsidP="00BB732D">
            <w:pPr>
              <w:pStyle w:val="TableText0"/>
              <w:jc w:val="center"/>
            </w:pPr>
            <w:r w:rsidRPr="00B1054A">
              <w:t>600mg loading</w:t>
            </w:r>
          </w:p>
          <w:p w:rsidR="00AC25F3" w:rsidRPr="00B1054A" w:rsidRDefault="00AC25F3" w:rsidP="00BB732D">
            <w:pPr>
              <w:pStyle w:val="TableText0"/>
              <w:jc w:val="center"/>
            </w:pPr>
            <w:r w:rsidRPr="00B1054A">
              <w:t>300mg Q2W</w:t>
            </w:r>
          </w:p>
        </w:tc>
        <w:tc>
          <w:tcPr>
            <w:tcW w:w="690" w:type="pct"/>
            <w:shd w:val="clear" w:color="auto" w:fill="auto"/>
            <w:vAlign w:val="center"/>
          </w:tcPr>
          <w:p w:rsidR="00AC25F3" w:rsidRPr="00B1054A" w:rsidRDefault="00AC25F3" w:rsidP="00AC25F3">
            <w:pPr>
              <w:pStyle w:val="TableText0"/>
              <w:jc w:val="center"/>
            </w:pPr>
            <w:r w:rsidRPr="00B1054A">
              <w:t>600mg loading</w:t>
            </w:r>
          </w:p>
          <w:p w:rsidR="00494207" w:rsidRPr="00B1054A" w:rsidRDefault="00AC25F3" w:rsidP="00AC25F3">
            <w:pPr>
              <w:pStyle w:val="TableText0"/>
              <w:jc w:val="center"/>
              <w:rPr>
                <w:b/>
              </w:rPr>
            </w:pPr>
            <w:r w:rsidRPr="00B1054A">
              <w:t>300mg Q2W</w:t>
            </w:r>
          </w:p>
        </w:tc>
        <w:tc>
          <w:tcPr>
            <w:tcW w:w="689" w:type="pct"/>
            <w:shd w:val="clear" w:color="auto" w:fill="auto"/>
            <w:vAlign w:val="center"/>
          </w:tcPr>
          <w:p w:rsidR="00AC25F3" w:rsidRPr="00B1054A" w:rsidRDefault="00AC25F3" w:rsidP="00AC25F3">
            <w:pPr>
              <w:pStyle w:val="TableText0"/>
              <w:jc w:val="center"/>
            </w:pPr>
            <w:r w:rsidRPr="00B1054A">
              <w:t>600mg loading</w:t>
            </w:r>
          </w:p>
          <w:p w:rsidR="00494207" w:rsidRPr="00B1054A" w:rsidRDefault="00AC25F3" w:rsidP="00AC25F3">
            <w:pPr>
              <w:pStyle w:val="TableText0"/>
              <w:jc w:val="center"/>
              <w:rPr>
                <w:b/>
              </w:rPr>
            </w:pPr>
            <w:r w:rsidRPr="00B1054A">
              <w:t>300mg Q2W</w:t>
            </w:r>
          </w:p>
        </w:tc>
        <w:tc>
          <w:tcPr>
            <w:tcW w:w="690" w:type="pct"/>
            <w:shd w:val="clear" w:color="auto" w:fill="auto"/>
            <w:vAlign w:val="center"/>
          </w:tcPr>
          <w:p w:rsidR="00494207" w:rsidRPr="00B1054A" w:rsidRDefault="00FC0935" w:rsidP="00FC0935">
            <w:pPr>
              <w:pStyle w:val="TableText0"/>
              <w:jc w:val="center"/>
            </w:pPr>
            <w:r w:rsidRPr="00B1054A">
              <w:t>-</w:t>
            </w:r>
          </w:p>
        </w:tc>
        <w:tc>
          <w:tcPr>
            <w:tcW w:w="689" w:type="pct"/>
            <w:shd w:val="clear" w:color="auto" w:fill="auto"/>
            <w:vAlign w:val="center"/>
          </w:tcPr>
          <w:p w:rsidR="00494207" w:rsidRPr="00B1054A" w:rsidRDefault="00FC0935" w:rsidP="00FC0935">
            <w:pPr>
              <w:pStyle w:val="TableText0"/>
              <w:jc w:val="center"/>
            </w:pPr>
            <w:r w:rsidRPr="00B1054A">
              <w:t>-</w:t>
            </w:r>
          </w:p>
        </w:tc>
        <w:tc>
          <w:tcPr>
            <w:tcW w:w="690" w:type="pct"/>
            <w:vAlign w:val="center"/>
          </w:tcPr>
          <w:p w:rsidR="00494207" w:rsidRPr="00B1054A" w:rsidRDefault="00FC0935" w:rsidP="00FC0935">
            <w:pPr>
              <w:pStyle w:val="TableText0"/>
              <w:jc w:val="center"/>
            </w:pPr>
            <w:r w:rsidRPr="00B1054A">
              <w:t>-</w:t>
            </w:r>
          </w:p>
        </w:tc>
      </w:tr>
      <w:tr w:rsidR="00FC0935" w:rsidRPr="00B1054A" w:rsidTr="00F26468">
        <w:trPr>
          <w:cantSplit/>
          <w:jc w:val="center"/>
        </w:trPr>
        <w:tc>
          <w:tcPr>
            <w:tcW w:w="863" w:type="pct"/>
            <w:shd w:val="clear" w:color="auto" w:fill="auto"/>
            <w:vAlign w:val="center"/>
          </w:tcPr>
          <w:p w:rsidR="00FC0935" w:rsidRPr="00B1054A" w:rsidRDefault="00FC0935" w:rsidP="00FC0935">
            <w:pPr>
              <w:pStyle w:val="TableText0"/>
              <w:rPr>
                <w:vertAlign w:val="superscript"/>
              </w:rPr>
            </w:pPr>
            <w:r w:rsidRPr="00B1054A">
              <w:t>Cost/patient/month</w:t>
            </w:r>
            <w:r w:rsidRPr="00B1054A">
              <w:rPr>
                <w:vertAlign w:val="superscript"/>
              </w:rPr>
              <w:t>a</w:t>
            </w:r>
          </w:p>
        </w:tc>
        <w:tc>
          <w:tcPr>
            <w:tcW w:w="689" w:type="pct"/>
            <w:shd w:val="clear" w:color="auto" w:fill="auto"/>
            <w:vAlign w:val="center"/>
          </w:tcPr>
          <w:p w:rsidR="00FC0935" w:rsidRPr="00B1054A" w:rsidRDefault="00FC0935" w:rsidP="00FC0935">
            <w:pPr>
              <w:pStyle w:val="TableText0"/>
              <w:jc w:val="center"/>
            </w:pPr>
            <w:r w:rsidRPr="00B1054A">
              <w:t>$</w:t>
            </w:r>
            <w:r w:rsidR="00BB6CB6">
              <w:rPr>
                <w:noProof/>
                <w:color w:val="000000"/>
                <w:highlight w:val="black"/>
              </w:rPr>
              <w:t>'''''''''''''''''''</w:t>
            </w:r>
          </w:p>
        </w:tc>
        <w:tc>
          <w:tcPr>
            <w:tcW w:w="690" w:type="pct"/>
            <w:shd w:val="clear" w:color="auto" w:fill="auto"/>
            <w:vAlign w:val="center"/>
          </w:tcPr>
          <w:p w:rsidR="00FC0935" w:rsidRPr="00B1054A" w:rsidRDefault="00FC0935" w:rsidP="00FC0935">
            <w:pPr>
              <w:pStyle w:val="TableText0"/>
              <w:jc w:val="center"/>
            </w:pPr>
            <w:r w:rsidRPr="00B1054A">
              <w:t>$</w:t>
            </w:r>
            <w:r w:rsidR="00BB6CB6">
              <w:rPr>
                <w:noProof/>
                <w:color w:val="000000"/>
                <w:highlight w:val="black"/>
              </w:rPr>
              <w:t>'''''''''''''''''''''</w:t>
            </w:r>
          </w:p>
        </w:tc>
        <w:tc>
          <w:tcPr>
            <w:tcW w:w="689" w:type="pct"/>
            <w:shd w:val="clear" w:color="auto" w:fill="auto"/>
            <w:vAlign w:val="center"/>
          </w:tcPr>
          <w:p w:rsidR="00FC0935" w:rsidRPr="00B1054A" w:rsidRDefault="00413581" w:rsidP="00FC0935">
            <w:pPr>
              <w:pStyle w:val="TableText0"/>
              <w:jc w:val="center"/>
            </w:pPr>
            <w:r w:rsidRPr="00B1054A">
              <w:t>$</w:t>
            </w:r>
            <w:r w:rsidR="00BB6CB6">
              <w:rPr>
                <w:noProof/>
                <w:color w:val="000000"/>
                <w:highlight w:val="black"/>
              </w:rPr>
              <w:t>'''''''''''''''''''''''</w:t>
            </w:r>
          </w:p>
        </w:tc>
        <w:tc>
          <w:tcPr>
            <w:tcW w:w="690" w:type="pct"/>
            <w:shd w:val="clear" w:color="auto" w:fill="auto"/>
            <w:vAlign w:val="center"/>
          </w:tcPr>
          <w:p w:rsidR="00FC0935" w:rsidRPr="00B1054A" w:rsidRDefault="00FC0935" w:rsidP="00FC0935">
            <w:pPr>
              <w:pStyle w:val="TableText0"/>
              <w:jc w:val="center"/>
            </w:pPr>
            <w:r w:rsidRPr="00B1054A">
              <w:t>$0</w:t>
            </w:r>
          </w:p>
        </w:tc>
        <w:tc>
          <w:tcPr>
            <w:tcW w:w="689" w:type="pct"/>
            <w:shd w:val="clear" w:color="auto" w:fill="auto"/>
          </w:tcPr>
          <w:p w:rsidR="00FC0935" w:rsidRPr="00B1054A" w:rsidRDefault="00FC0935" w:rsidP="00FC0935">
            <w:pPr>
              <w:pStyle w:val="TableText0"/>
              <w:jc w:val="center"/>
            </w:pPr>
            <w:r w:rsidRPr="00B1054A">
              <w:t>$0</w:t>
            </w:r>
          </w:p>
        </w:tc>
        <w:tc>
          <w:tcPr>
            <w:tcW w:w="690" w:type="pct"/>
          </w:tcPr>
          <w:p w:rsidR="00FC0935" w:rsidRPr="00B1054A" w:rsidRDefault="00FC0935" w:rsidP="00FC0935">
            <w:pPr>
              <w:pStyle w:val="TableText0"/>
              <w:jc w:val="center"/>
            </w:pPr>
            <w:r w:rsidRPr="00B1054A">
              <w:t>$0</w:t>
            </w:r>
          </w:p>
        </w:tc>
      </w:tr>
      <w:tr w:rsidR="00FC0935" w:rsidRPr="00B1054A" w:rsidTr="00F26468">
        <w:trPr>
          <w:cantSplit/>
          <w:jc w:val="center"/>
        </w:trPr>
        <w:tc>
          <w:tcPr>
            <w:tcW w:w="863" w:type="pct"/>
            <w:shd w:val="clear" w:color="auto" w:fill="auto"/>
            <w:vAlign w:val="center"/>
          </w:tcPr>
          <w:p w:rsidR="00FC0935" w:rsidRPr="00B1054A" w:rsidRDefault="00FC0935" w:rsidP="00FC0935">
            <w:pPr>
              <w:pStyle w:val="TableText0"/>
            </w:pPr>
            <w:r w:rsidRPr="00B1054A">
              <w:t>Cost/patient/year</w:t>
            </w:r>
          </w:p>
        </w:tc>
        <w:tc>
          <w:tcPr>
            <w:tcW w:w="689" w:type="pct"/>
            <w:shd w:val="clear" w:color="auto" w:fill="auto"/>
            <w:vAlign w:val="center"/>
          </w:tcPr>
          <w:p w:rsidR="00FC0935" w:rsidRPr="00B1054A" w:rsidRDefault="00413581" w:rsidP="00FC0935">
            <w:pPr>
              <w:pStyle w:val="TableText0"/>
              <w:jc w:val="center"/>
              <w:rPr>
                <w:vertAlign w:val="superscript"/>
              </w:rPr>
            </w:pPr>
            <w:r w:rsidRPr="00B1054A">
              <w:t>$</w:t>
            </w:r>
            <w:r w:rsidR="00BB6CB6">
              <w:rPr>
                <w:noProof/>
                <w:color w:val="000000"/>
                <w:highlight w:val="black"/>
              </w:rPr>
              <w:t>''''''''''''''''</w:t>
            </w:r>
            <w:r w:rsidRPr="00B1054A">
              <w:rPr>
                <w:vertAlign w:val="superscript"/>
              </w:rPr>
              <w:t>b</w:t>
            </w:r>
          </w:p>
        </w:tc>
        <w:tc>
          <w:tcPr>
            <w:tcW w:w="690" w:type="pct"/>
            <w:shd w:val="clear" w:color="auto" w:fill="auto"/>
            <w:vAlign w:val="center"/>
          </w:tcPr>
          <w:p w:rsidR="00FC0935" w:rsidRPr="00B1054A" w:rsidRDefault="00FC0935" w:rsidP="00413581">
            <w:pPr>
              <w:pStyle w:val="TableText0"/>
              <w:jc w:val="center"/>
              <w:rPr>
                <w:vertAlign w:val="superscript"/>
              </w:rPr>
            </w:pPr>
            <w:r w:rsidRPr="00B1054A">
              <w:t>$</w:t>
            </w:r>
            <w:r w:rsidR="00BB6CB6">
              <w:rPr>
                <w:noProof/>
                <w:color w:val="000000"/>
                <w:highlight w:val="black"/>
              </w:rPr>
              <w:t>''''''''''''</w:t>
            </w:r>
            <w:r w:rsidR="00413581" w:rsidRPr="00B1054A">
              <w:rPr>
                <w:vertAlign w:val="superscript"/>
              </w:rPr>
              <w:t>c</w:t>
            </w:r>
          </w:p>
        </w:tc>
        <w:tc>
          <w:tcPr>
            <w:tcW w:w="689" w:type="pct"/>
            <w:shd w:val="clear" w:color="auto" w:fill="auto"/>
            <w:vAlign w:val="center"/>
          </w:tcPr>
          <w:p w:rsidR="00FC0935" w:rsidRPr="00B1054A" w:rsidRDefault="00413581" w:rsidP="00FC0935">
            <w:pPr>
              <w:pStyle w:val="TableText0"/>
              <w:jc w:val="center"/>
              <w:rPr>
                <w:vertAlign w:val="superscript"/>
              </w:rPr>
            </w:pPr>
            <w:r w:rsidRPr="00B1054A">
              <w:t>$</w:t>
            </w:r>
            <w:r w:rsidR="00BB6CB6">
              <w:rPr>
                <w:noProof/>
                <w:color w:val="000000"/>
                <w:highlight w:val="black"/>
              </w:rPr>
              <w:t>'''''''''''''''''</w:t>
            </w:r>
            <w:r w:rsidRPr="00B1054A">
              <w:rPr>
                <w:vertAlign w:val="superscript"/>
              </w:rPr>
              <w:t>d</w:t>
            </w:r>
          </w:p>
        </w:tc>
        <w:tc>
          <w:tcPr>
            <w:tcW w:w="690" w:type="pct"/>
            <w:shd w:val="clear" w:color="auto" w:fill="auto"/>
          </w:tcPr>
          <w:p w:rsidR="00FC0935" w:rsidRPr="00B1054A" w:rsidRDefault="00FC0935" w:rsidP="00FC0935">
            <w:pPr>
              <w:pStyle w:val="TableText0"/>
              <w:jc w:val="center"/>
            </w:pPr>
            <w:r w:rsidRPr="00B1054A">
              <w:t>$0</w:t>
            </w:r>
          </w:p>
        </w:tc>
        <w:tc>
          <w:tcPr>
            <w:tcW w:w="689" w:type="pct"/>
            <w:shd w:val="clear" w:color="auto" w:fill="auto"/>
          </w:tcPr>
          <w:p w:rsidR="00FC0935" w:rsidRPr="00B1054A" w:rsidRDefault="00FC0935" w:rsidP="00FC0935">
            <w:pPr>
              <w:pStyle w:val="TableText0"/>
              <w:jc w:val="center"/>
            </w:pPr>
            <w:r w:rsidRPr="00B1054A">
              <w:t>$0</w:t>
            </w:r>
          </w:p>
        </w:tc>
        <w:tc>
          <w:tcPr>
            <w:tcW w:w="690" w:type="pct"/>
          </w:tcPr>
          <w:p w:rsidR="00FC0935" w:rsidRPr="00B1054A" w:rsidRDefault="00FC0935" w:rsidP="00FC0935">
            <w:pPr>
              <w:pStyle w:val="TableText0"/>
              <w:jc w:val="center"/>
            </w:pPr>
            <w:r w:rsidRPr="00B1054A">
              <w:t>$0</w:t>
            </w:r>
          </w:p>
        </w:tc>
      </w:tr>
    </w:tbl>
    <w:p w:rsidR="00494207" w:rsidRPr="00B1054A" w:rsidRDefault="00494207" w:rsidP="00C94053">
      <w:pPr>
        <w:pStyle w:val="TableFigureFooter"/>
      </w:pPr>
      <w:r w:rsidRPr="00B1054A">
        <w:t xml:space="preserve">Source: </w:t>
      </w:r>
      <w:r w:rsidR="00C509C2" w:rsidRPr="00B1054A">
        <w:t>compiled during the evaluation</w:t>
      </w:r>
    </w:p>
    <w:p w:rsidR="00C509C2" w:rsidRPr="00B1054A" w:rsidRDefault="00C509C2" w:rsidP="00C509C2">
      <w:pPr>
        <w:pStyle w:val="TableFigureFooter"/>
        <w:tabs>
          <w:tab w:val="left" w:pos="284"/>
        </w:tabs>
      </w:pPr>
      <w:r w:rsidRPr="00B1054A">
        <w:rPr>
          <w:vertAlign w:val="superscript"/>
        </w:rPr>
        <w:t>a</w:t>
      </w:r>
      <w:r w:rsidRPr="00B1054A">
        <w:tab/>
        <w:t>effective price</w:t>
      </w:r>
    </w:p>
    <w:p w:rsidR="00C509C2" w:rsidRPr="00B1054A" w:rsidRDefault="00C509C2" w:rsidP="00C509C2">
      <w:pPr>
        <w:pStyle w:val="TableFigureFooter"/>
        <w:tabs>
          <w:tab w:val="left" w:pos="284"/>
        </w:tabs>
      </w:pPr>
      <w:r w:rsidRPr="00B1054A">
        <w:rPr>
          <w:vertAlign w:val="superscript"/>
        </w:rPr>
        <w:t>b</w:t>
      </w:r>
      <w:r w:rsidRPr="00B1054A">
        <w:rPr>
          <w:vertAlign w:val="superscript"/>
        </w:rPr>
        <w:tab/>
      </w:r>
      <w:r w:rsidRPr="00B1054A">
        <w:t>for a maintenance patient</w:t>
      </w:r>
      <w:r w:rsidR="00EE7A98" w:rsidRPr="00B1054A">
        <w:t>, assuming 13.05 scripts</w:t>
      </w:r>
    </w:p>
    <w:p w:rsidR="00413581" w:rsidRPr="00B1054A" w:rsidRDefault="00413581" w:rsidP="00C509C2">
      <w:pPr>
        <w:pStyle w:val="TableFigureFooter"/>
        <w:tabs>
          <w:tab w:val="left" w:pos="284"/>
        </w:tabs>
      </w:pPr>
      <w:r w:rsidRPr="00B1054A">
        <w:rPr>
          <w:vertAlign w:val="superscript"/>
        </w:rPr>
        <w:t>c</w:t>
      </w:r>
      <w:r w:rsidRPr="00B1054A">
        <w:rPr>
          <w:vertAlign w:val="superscript"/>
        </w:rPr>
        <w:tab/>
      </w:r>
      <w:r w:rsidRPr="00B1054A">
        <w:t>over first 44 weeks, incorporates discontinuers (non-responders at Week 16)</w:t>
      </w:r>
    </w:p>
    <w:p w:rsidR="00413581" w:rsidRPr="00B1054A" w:rsidRDefault="00413581" w:rsidP="00C509C2">
      <w:pPr>
        <w:pStyle w:val="TableFigureFooter"/>
        <w:tabs>
          <w:tab w:val="left" w:pos="284"/>
        </w:tabs>
      </w:pPr>
      <w:r w:rsidRPr="00B1054A">
        <w:rPr>
          <w:vertAlign w:val="superscript"/>
        </w:rPr>
        <w:t>d</w:t>
      </w:r>
      <w:r w:rsidRPr="00B1054A">
        <w:tab/>
        <w:t xml:space="preserve">incorporates discontinuation (non-responders at Week 16) and grandfathered patients </w:t>
      </w:r>
    </w:p>
    <w:p w:rsidR="00B60939" w:rsidRPr="00B1054A" w:rsidRDefault="00B60939" w:rsidP="002B05A1">
      <w:pPr>
        <w:pStyle w:val="4-SubsectionHeading"/>
      </w:pPr>
      <w:bookmarkStart w:id="40" w:name="_Toc22897647"/>
      <w:bookmarkStart w:id="41" w:name="_Toc30593002"/>
      <w:r w:rsidRPr="00B1054A">
        <w:t>Estimated PBS usage &amp; financial implications</w:t>
      </w:r>
      <w:bookmarkEnd w:id="40"/>
      <w:bookmarkEnd w:id="41"/>
    </w:p>
    <w:p w:rsidR="005835D4" w:rsidRPr="00B1054A" w:rsidRDefault="00C25D9C" w:rsidP="002B05A1">
      <w:pPr>
        <w:pStyle w:val="3-BodyText"/>
      </w:pPr>
      <w:r w:rsidRPr="00B1054A">
        <w:t xml:space="preserve">This </w:t>
      </w:r>
      <w:r w:rsidR="00975AFE" w:rsidRPr="00B1054A">
        <w:t>re</w:t>
      </w:r>
      <w:r w:rsidRPr="00B1054A">
        <w:t xml:space="preserve">submission </w:t>
      </w:r>
      <w:r w:rsidR="00B201A4" w:rsidRPr="00B1054A">
        <w:t>w</w:t>
      </w:r>
      <w:r w:rsidR="00CB2821" w:rsidRPr="00B1054A">
        <w:t xml:space="preserve">as </w:t>
      </w:r>
      <w:r w:rsidRPr="00B1054A">
        <w:t>not considered by DUSC.</w:t>
      </w:r>
      <w:r w:rsidR="00BC591F" w:rsidRPr="00B1054A">
        <w:t xml:space="preserve"> </w:t>
      </w:r>
      <w:r w:rsidR="00975AFE" w:rsidRPr="00B1054A">
        <w:t>The previous submissions were considered by DUSC in July 2018 and July 2019.</w:t>
      </w:r>
    </w:p>
    <w:p w:rsidR="002B05A1" w:rsidRPr="00B1054A" w:rsidRDefault="005835D4" w:rsidP="002B05A1">
      <w:pPr>
        <w:pStyle w:val="3-BodyText"/>
      </w:pPr>
      <w:r w:rsidRPr="00B1054A">
        <w:t>The financial estimates presented in the resubmission have substantially decreased compared to those presented in the July 2019 resubmission. This is primarily due to the narrower (severe AD) population proposed in the current resubmission. Compared to the July 2018 submission (also requesting use in a severe AD group, but defined differently), the financial estimates in the current resubmission are substantially higher. This is primarily due to increases in input values</w:t>
      </w:r>
      <w:r w:rsidR="00413581" w:rsidRPr="00B1054A">
        <w:t xml:space="preserve"> such as prevalence of AD, proportion with severe </w:t>
      </w:r>
      <w:r w:rsidR="00BC1746" w:rsidRPr="00B1054A">
        <w:t>disease</w:t>
      </w:r>
      <w:r w:rsidR="0033673C" w:rsidRPr="00B1054A">
        <w:t xml:space="preserve"> </w:t>
      </w:r>
      <w:r w:rsidR="00BC1746" w:rsidRPr="00B1054A">
        <w:t>and uptake rates</w:t>
      </w:r>
      <w:r w:rsidR="00B92AFB" w:rsidRPr="00B1054A">
        <w:t xml:space="preserve">. </w:t>
      </w:r>
      <w:r w:rsidR="000220DC" w:rsidRPr="00B1054A">
        <w:t>The uptake of dupi</w:t>
      </w:r>
      <w:r w:rsidR="00C45C07" w:rsidRPr="00B1054A">
        <w:t>l</w:t>
      </w:r>
      <w:r w:rsidR="000220DC" w:rsidRPr="00B1054A">
        <w:t xml:space="preserve">umab in the July 2018 submission was based on the observed uptake of bDMARDs when first listed on the PBS for psoriasis. DUSC considered that uptake of </w:t>
      </w:r>
      <w:r w:rsidR="00B1054A" w:rsidRPr="00B1054A">
        <w:t>dupilumab</w:t>
      </w:r>
      <w:r w:rsidR="000220DC" w:rsidRPr="00B1054A">
        <w:t xml:space="preserve"> was likely to be higher as</w:t>
      </w:r>
      <w:r w:rsidR="00216100" w:rsidRPr="00B1054A">
        <w:t>: the biologics market had</w:t>
      </w:r>
      <w:r w:rsidR="000220DC" w:rsidRPr="00B1054A">
        <w:t xml:space="preserve"> evolved compared to the uptake rates based on earlier listings; and the submission’s estimate based on market research of the percentage of patients that would fulfil the restriction criteria was higher than the projected uptake of dupilumab. </w:t>
      </w:r>
      <w:r w:rsidR="003D6BD2" w:rsidRPr="00B1054A">
        <w:t>Compared to the July 2018 submission, t</w:t>
      </w:r>
      <w:r w:rsidR="00B92AFB" w:rsidRPr="00B1054A">
        <w:t xml:space="preserve">he PBAC noted that </w:t>
      </w:r>
      <w:r w:rsidR="00344873" w:rsidRPr="00B1054A">
        <w:t xml:space="preserve">the </w:t>
      </w:r>
      <w:r w:rsidR="003D6BD2" w:rsidRPr="00B1054A">
        <w:t xml:space="preserve">July 2019 and March 2020 submissions used a different, epidemiological approach to </w:t>
      </w:r>
      <w:r w:rsidR="00B92AFB" w:rsidRPr="00B1054A">
        <w:t>estimate</w:t>
      </w:r>
      <w:r w:rsidR="003D6BD2" w:rsidRPr="00B1054A">
        <w:t xml:space="preserve"> the</w:t>
      </w:r>
      <w:r w:rsidR="00B92AFB" w:rsidRPr="00B1054A">
        <w:t xml:space="preserve"> </w:t>
      </w:r>
      <w:r w:rsidR="00CB766D" w:rsidRPr="00B1054A">
        <w:t xml:space="preserve">proportion </w:t>
      </w:r>
      <w:r w:rsidR="00B92AFB" w:rsidRPr="00B1054A">
        <w:t xml:space="preserve">of </w:t>
      </w:r>
      <w:r w:rsidR="00CB766D" w:rsidRPr="00B1054A">
        <w:t xml:space="preserve">AD </w:t>
      </w:r>
      <w:r w:rsidR="00B92AFB" w:rsidRPr="00B1054A">
        <w:t>patients accessing dupilumab</w:t>
      </w:r>
      <w:r w:rsidRPr="00B1054A">
        <w:t>.</w:t>
      </w:r>
      <w:r w:rsidR="00216100" w:rsidRPr="00B1054A">
        <w:t xml:space="preserve"> The higher projections of severe AD patients accessing </w:t>
      </w:r>
      <w:r w:rsidR="00B1054A" w:rsidRPr="00B1054A">
        <w:t>dupilumab</w:t>
      </w:r>
      <w:r w:rsidR="00216100" w:rsidRPr="00B1054A">
        <w:t xml:space="preserve"> in the March 2020 vs. July 2018 submission is mainly from substantially higher treatment uptake assumptions (Table 18).</w:t>
      </w:r>
    </w:p>
    <w:p w:rsidR="0034081D" w:rsidRPr="00B1054A" w:rsidRDefault="005835D4" w:rsidP="005835D4">
      <w:pPr>
        <w:pStyle w:val="3-BodyText"/>
      </w:pPr>
      <w:r w:rsidRPr="00B1054A">
        <w:t xml:space="preserve">The key differences between the approaches taken in the three </w:t>
      </w:r>
      <w:r w:rsidR="008A7F28" w:rsidRPr="00B1054A">
        <w:t>(re)</w:t>
      </w:r>
      <w:r w:rsidRPr="00B1054A">
        <w:t>submission</w:t>
      </w:r>
      <w:r w:rsidR="008A7F28" w:rsidRPr="00B1054A">
        <w:t>s</w:t>
      </w:r>
      <w:r w:rsidRPr="00B1054A">
        <w:t xml:space="preserve"> are provided in</w:t>
      </w:r>
      <w:r w:rsidR="007925DF" w:rsidRPr="00B1054A">
        <w:t xml:space="preserve"> </w:t>
      </w:r>
      <w:r w:rsidRPr="00B1054A">
        <w:t>Table 18.</w:t>
      </w:r>
    </w:p>
    <w:p w:rsidR="005835D4" w:rsidRPr="00B1054A" w:rsidRDefault="005835D4" w:rsidP="004E6EDE">
      <w:pPr>
        <w:pStyle w:val="TableFigureHeading"/>
        <w:keepLines/>
        <w:widowControl w:val="0"/>
        <w:jc w:val="both"/>
        <w:rPr>
          <w:rStyle w:val="CommentReference"/>
          <w:b/>
          <w:szCs w:val="24"/>
        </w:rPr>
      </w:pPr>
      <w:bookmarkStart w:id="42" w:name="_Ref27441432"/>
      <w:r w:rsidRPr="00B1054A">
        <w:rPr>
          <w:rStyle w:val="CommentReference"/>
          <w:b/>
          <w:szCs w:val="24"/>
        </w:rPr>
        <w:lastRenderedPageBreak/>
        <w:t xml:space="preserve">Table </w:t>
      </w:r>
      <w:r w:rsidR="00B20399" w:rsidRPr="00B1054A">
        <w:rPr>
          <w:rStyle w:val="CommentReference"/>
          <w:b/>
          <w:szCs w:val="24"/>
        </w:rPr>
        <w:t>18</w:t>
      </w:r>
      <w:bookmarkEnd w:id="42"/>
      <w:r w:rsidRPr="00B1054A">
        <w:rPr>
          <w:rStyle w:val="CommentReference"/>
          <w:b/>
          <w:szCs w:val="24"/>
        </w:rPr>
        <w:t>: Main relevant differences to Section 4 between the three submissions</w:t>
      </w:r>
    </w:p>
    <w:tbl>
      <w:tblPr>
        <w:tblStyle w:val="TableGrid"/>
        <w:tblW w:w="5000" w:type="pct"/>
        <w:tblCellMar>
          <w:left w:w="28" w:type="dxa"/>
          <w:right w:w="28" w:type="dxa"/>
        </w:tblCellMar>
        <w:tblLook w:val="04A0" w:firstRow="1" w:lastRow="0" w:firstColumn="1" w:lastColumn="0" w:noHBand="0" w:noVBand="1"/>
        <w:tblCaption w:val="Table 18: Main relevant differences to Section 4 between the three submissions"/>
      </w:tblPr>
      <w:tblGrid>
        <w:gridCol w:w="986"/>
        <w:gridCol w:w="2677"/>
        <w:gridCol w:w="2677"/>
        <w:gridCol w:w="2677"/>
      </w:tblGrid>
      <w:tr w:rsidR="005835D4" w:rsidRPr="00B1054A" w:rsidTr="00281E7B">
        <w:trPr>
          <w:tblHeader/>
        </w:trPr>
        <w:tc>
          <w:tcPr>
            <w:tcW w:w="986" w:type="dxa"/>
          </w:tcPr>
          <w:p w:rsidR="005835D4" w:rsidRPr="00B1054A" w:rsidRDefault="005835D4" w:rsidP="004E6EDE">
            <w:pPr>
              <w:pStyle w:val="Tabletext"/>
              <w:keepNext/>
              <w:keepLines/>
              <w:widowControl w:val="0"/>
              <w:jc w:val="both"/>
              <w:rPr>
                <w:rFonts w:cs="Arial"/>
              </w:rPr>
            </w:pPr>
          </w:p>
        </w:tc>
        <w:tc>
          <w:tcPr>
            <w:tcW w:w="2677" w:type="dxa"/>
            <w:vAlign w:val="center"/>
          </w:tcPr>
          <w:p w:rsidR="005835D4" w:rsidRPr="00B1054A" w:rsidRDefault="005835D4" w:rsidP="004E6EDE">
            <w:pPr>
              <w:pStyle w:val="Tabletext"/>
              <w:keepNext/>
              <w:keepLines/>
              <w:widowControl w:val="0"/>
              <w:jc w:val="center"/>
              <w:rPr>
                <w:rFonts w:cs="Arial"/>
                <w:b/>
              </w:rPr>
            </w:pPr>
            <w:r w:rsidRPr="00B1054A">
              <w:rPr>
                <w:rFonts w:cs="Arial"/>
                <w:b/>
              </w:rPr>
              <w:t>July 2018 original submission</w:t>
            </w:r>
          </w:p>
        </w:tc>
        <w:tc>
          <w:tcPr>
            <w:tcW w:w="2677" w:type="dxa"/>
            <w:vAlign w:val="center"/>
          </w:tcPr>
          <w:p w:rsidR="005835D4" w:rsidRPr="00B1054A" w:rsidRDefault="005835D4" w:rsidP="004E6EDE">
            <w:pPr>
              <w:pStyle w:val="Tabletext"/>
              <w:keepNext/>
              <w:keepLines/>
              <w:widowControl w:val="0"/>
              <w:jc w:val="center"/>
              <w:rPr>
                <w:rFonts w:cs="Arial"/>
                <w:b/>
              </w:rPr>
            </w:pPr>
            <w:r w:rsidRPr="00B1054A">
              <w:rPr>
                <w:rFonts w:cs="Arial"/>
                <w:b/>
              </w:rPr>
              <w:t>July 2019 resubmission</w:t>
            </w:r>
          </w:p>
        </w:tc>
        <w:tc>
          <w:tcPr>
            <w:tcW w:w="2677" w:type="dxa"/>
            <w:vAlign w:val="center"/>
          </w:tcPr>
          <w:p w:rsidR="005835D4" w:rsidRPr="00B1054A" w:rsidRDefault="005835D4" w:rsidP="004E6EDE">
            <w:pPr>
              <w:pStyle w:val="Tabletext"/>
              <w:keepNext/>
              <w:keepLines/>
              <w:widowControl w:val="0"/>
              <w:jc w:val="center"/>
              <w:rPr>
                <w:rFonts w:cs="Arial"/>
                <w:b/>
              </w:rPr>
            </w:pPr>
            <w:r w:rsidRPr="00B1054A">
              <w:rPr>
                <w:rFonts w:cs="Arial"/>
                <w:b/>
              </w:rPr>
              <w:t>Current resubmission</w:t>
            </w:r>
          </w:p>
        </w:tc>
      </w:tr>
      <w:tr w:rsidR="005835D4" w:rsidRPr="00B1054A" w:rsidTr="00281E7B">
        <w:tc>
          <w:tcPr>
            <w:tcW w:w="986" w:type="dxa"/>
          </w:tcPr>
          <w:p w:rsidR="005835D4" w:rsidRPr="00B1054A" w:rsidRDefault="005835D4" w:rsidP="004E6EDE">
            <w:pPr>
              <w:pStyle w:val="Tabletext"/>
              <w:keepNext/>
              <w:keepLines/>
              <w:widowControl w:val="0"/>
              <w:jc w:val="both"/>
              <w:rPr>
                <w:rFonts w:cs="Arial"/>
              </w:rPr>
            </w:pPr>
            <w:r w:rsidRPr="00B1054A">
              <w:rPr>
                <w:rFonts w:cs="Arial"/>
              </w:rPr>
              <w:t>Approach</w:t>
            </w:r>
          </w:p>
        </w:tc>
        <w:tc>
          <w:tcPr>
            <w:tcW w:w="2677" w:type="dxa"/>
          </w:tcPr>
          <w:p w:rsidR="005835D4" w:rsidRPr="00B1054A" w:rsidRDefault="005835D4" w:rsidP="004E6EDE">
            <w:pPr>
              <w:keepNext/>
              <w:keepLines/>
              <w:widowControl w:val="0"/>
              <w:jc w:val="left"/>
              <w:rPr>
                <w:rFonts w:ascii="Arial Narrow" w:hAnsi="Arial Narrow"/>
                <w:i/>
                <w:sz w:val="20"/>
                <w:szCs w:val="20"/>
              </w:rPr>
            </w:pPr>
            <w:r w:rsidRPr="00B1054A">
              <w:rPr>
                <w:rFonts w:ascii="Arial Narrow" w:hAnsi="Arial Narrow"/>
                <w:sz w:val="20"/>
                <w:szCs w:val="20"/>
              </w:rPr>
              <w:t xml:space="preserve">The number of adult Australians with a diagnosis of AD were estimated for 2019-2024. From these patients, the total number of patients on dupilumab treatment for 2019-2024 (i.e. the number of eligible patients and the expected uptake rate in these patients) as well as treatment persistence rates, using the PBS 2006-2011 bDMARD market for chronic plaque psoriasis as a proxy were estimated. In this way, a mixed epidemiological and market share approach was used. </w:t>
            </w:r>
            <w:r w:rsidRPr="00B1054A">
              <w:rPr>
                <w:rFonts w:ascii="Arial Narrow" w:hAnsi="Arial Narrow"/>
                <w:i/>
                <w:sz w:val="20"/>
                <w:szCs w:val="20"/>
              </w:rPr>
              <w:t>Ultimately, the PBAC considered that the reliance on the psoriasis market as a proxy for dupilumab uptake was not well supported and was likely underestimated (Dupilumab PSD, July 2018, paragraph 6.52).</w:t>
            </w:r>
          </w:p>
        </w:tc>
        <w:tc>
          <w:tcPr>
            <w:tcW w:w="2677" w:type="dxa"/>
          </w:tcPr>
          <w:p w:rsidR="005835D4" w:rsidRPr="00B1054A" w:rsidRDefault="005835D4" w:rsidP="004E6EDE">
            <w:pPr>
              <w:pStyle w:val="Tabletext"/>
              <w:keepNext/>
              <w:keepLines/>
              <w:widowControl w:val="0"/>
              <w:rPr>
                <w:rFonts w:cs="Arial"/>
              </w:rPr>
            </w:pPr>
            <w:r w:rsidRPr="00B1054A">
              <w:t>An epidemiological approach was taken to estimate the financial impacts of dupilumab from 2020-2025. The main change in the approach used in the re-submission was no longer using the chronic plaque psoriasis bDMARD market as a proxy to inform expected dupilumab usage in AD patients, but rather relying on local and international market data to inform the estimated number of eligible patients, the expected uptake rates and the anticipated treatment persistence rates.</w:t>
            </w:r>
          </w:p>
        </w:tc>
        <w:tc>
          <w:tcPr>
            <w:tcW w:w="2677" w:type="dxa"/>
          </w:tcPr>
          <w:p w:rsidR="005835D4" w:rsidRPr="00B1054A" w:rsidRDefault="005835D4" w:rsidP="004E6EDE">
            <w:pPr>
              <w:pStyle w:val="Tabletext"/>
              <w:keepNext/>
              <w:keepLines/>
              <w:widowControl w:val="0"/>
            </w:pPr>
            <w:r w:rsidRPr="00B1054A">
              <w:t>The same approach from the July 2019 resubmission was used, estimating costs for Years 1-6 rather than explicitly for years 2020-2025.</w:t>
            </w:r>
          </w:p>
        </w:tc>
      </w:tr>
      <w:tr w:rsidR="005835D4" w:rsidRPr="00B1054A" w:rsidTr="00281E7B">
        <w:tc>
          <w:tcPr>
            <w:tcW w:w="986" w:type="dxa"/>
          </w:tcPr>
          <w:p w:rsidR="005835D4" w:rsidRPr="00B1054A" w:rsidRDefault="005835D4" w:rsidP="004E6EDE">
            <w:pPr>
              <w:pStyle w:val="Tabletext"/>
              <w:keepNext/>
              <w:keepLines/>
              <w:widowControl w:val="0"/>
              <w:jc w:val="both"/>
              <w:rPr>
                <w:rFonts w:cs="Arial"/>
              </w:rPr>
            </w:pPr>
            <w:r w:rsidRPr="00B1054A">
              <w:rPr>
                <w:rFonts w:cs="Arial"/>
              </w:rPr>
              <w:t>Population</w:t>
            </w:r>
          </w:p>
        </w:tc>
        <w:tc>
          <w:tcPr>
            <w:tcW w:w="2677" w:type="dxa"/>
          </w:tcPr>
          <w:p w:rsidR="005835D4" w:rsidRPr="00B1054A" w:rsidRDefault="005835D4" w:rsidP="004E6EDE">
            <w:pPr>
              <w:pStyle w:val="Tabletext"/>
              <w:keepNext/>
              <w:keepLines/>
              <w:widowControl w:val="0"/>
              <w:rPr>
                <w:rFonts w:cs="Arial"/>
              </w:rPr>
            </w:pPr>
            <w:r w:rsidRPr="00B1054A">
              <w:rPr>
                <w:rFonts w:cs="Arial"/>
              </w:rPr>
              <w:t>Financial estimat</w:t>
            </w:r>
            <w:r w:rsidR="008A7F28" w:rsidRPr="00B1054A">
              <w:rPr>
                <w:rFonts w:cs="Arial"/>
              </w:rPr>
              <w:t>es</w:t>
            </w:r>
            <w:r w:rsidRPr="00B1054A">
              <w:rPr>
                <w:rFonts w:cs="Arial"/>
              </w:rPr>
              <w:t xml:space="preserve"> were produced for the Australian adult population with severe AD who were contra-indicated or previously intolerant or unresponsive to CsA.</w:t>
            </w:r>
          </w:p>
        </w:tc>
        <w:tc>
          <w:tcPr>
            <w:tcW w:w="2677" w:type="dxa"/>
          </w:tcPr>
          <w:p w:rsidR="005835D4" w:rsidRPr="00B1054A" w:rsidRDefault="005835D4" w:rsidP="004E6EDE">
            <w:pPr>
              <w:pStyle w:val="Tabletext"/>
              <w:keepNext/>
              <w:keepLines/>
              <w:widowControl w:val="0"/>
              <w:rPr>
                <w:rFonts w:cs="Arial"/>
              </w:rPr>
            </w:pPr>
            <w:r w:rsidRPr="00B1054A">
              <w:rPr>
                <w:rFonts w:cs="Arial"/>
              </w:rPr>
              <w:t>Financial estimat</w:t>
            </w:r>
            <w:r w:rsidR="008A7F28" w:rsidRPr="00B1054A">
              <w:rPr>
                <w:rFonts w:cs="Arial"/>
              </w:rPr>
              <w:t>es</w:t>
            </w:r>
            <w:r w:rsidRPr="00B1054A">
              <w:rPr>
                <w:rFonts w:cs="Arial"/>
              </w:rPr>
              <w:t xml:space="preserve"> were produced for a population of the Australian adult population with </w:t>
            </w:r>
            <w:r w:rsidR="00AB419F" w:rsidRPr="00B1054A">
              <w:rPr>
                <w:rFonts w:cs="Arial"/>
              </w:rPr>
              <w:t>moderate to severe</w:t>
            </w:r>
            <w:r w:rsidRPr="00B1054A">
              <w:rPr>
                <w:rFonts w:cs="Arial"/>
              </w:rPr>
              <w:t xml:space="preserve"> AD who were inadequately controlled on topical therapies.</w:t>
            </w:r>
          </w:p>
        </w:tc>
        <w:tc>
          <w:tcPr>
            <w:tcW w:w="2677" w:type="dxa"/>
          </w:tcPr>
          <w:p w:rsidR="005835D4" w:rsidRPr="00B1054A" w:rsidRDefault="005835D4" w:rsidP="004E6EDE">
            <w:pPr>
              <w:pStyle w:val="Tabletext"/>
              <w:keepNext/>
              <w:keepLines/>
              <w:widowControl w:val="0"/>
              <w:rPr>
                <w:rFonts w:cs="Arial"/>
              </w:rPr>
            </w:pPr>
            <w:r w:rsidRPr="00B1054A">
              <w:rPr>
                <w:rFonts w:cs="Arial"/>
              </w:rPr>
              <w:t>Financial estimates were produced for a population of the Australian adult population with severe (PGA=4 and EASI ≥20) who were inadequately controlled on topical therapies.</w:t>
            </w:r>
          </w:p>
        </w:tc>
      </w:tr>
      <w:tr w:rsidR="005835D4" w:rsidRPr="00B1054A" w:rsidTr="00281E7B">
        <w:tc>
          <w:tcPr>
            <w:tcW w:w="986" w:type="dxa"/>
          </w:tcPr>
          <w:p w:rsidR="005835D4" w:rsidRPr="00B1054A" w:rsidRDefault="005835D4" w:rsidP="004E6EDE">
            <w:pPr>
              <w:pStyle w:val="Tabletext"/>
              <w:keepNext/>
              <w:keepLines/>
              <w:widowControl w:val="0"/>
              <w:jc w:val="both"/>
              <w:rPr>
                <w:rFonts w:cs="Arial"/>
              </w:rPr>
            </w:pPr>
            <w:r w:rsidRPr="00B1054A">
              <w:rPr>
                <w:rFonts w:cs="Arial"/>
              </w:rPr>
              <w:t>Annual uptake rate</w:t>
            </w:r>
          </w:p>
        </w:tc>
        <w:tc>
          <w:tcPr>
            <w:tcW w:w="2677" w:type="dxa"/>
          </w:tcPr>
          <w:p w:rsidR="005835D4" w:rsidRPr="00B1054A" w:rsidRDefault="005835D4" w:rsidP="004E6EDE">
            <w:pPr>
              <w:pStyle w:val="Tabletext"/>
              <w:keepNext/>
              <w:keepLines/>
              <w:widowControl w:val="0"/>
              <w:rPr>
                <w:rFonts w:cs="Arial"/>
                <w:i/>
              </w:rPr>
            </w:pPr>
            <w:r w:rsidRPr="00B1054A">
              <w:rPr>
                <w:rFonts w:cs="Arial"/>
              </w:rPr>
              <w:t>0.05% in Year 1 to 0.21% in Year 6 informed by the psoriasis bDMARD market. The previous commentary considered these rates implausibly low.</w:t>
            </w:r>
          </w:p>
        </w:tc>
        <w:tc>
          <w:tcPr>
            <w:tcW w:w="2677" w:type="dxa"/>
          </w:tcPr>
          <w:p w:rsidR="005835D4" w:rsidRPr="00B1054A" w:rsidRDefault="005835D4" w:rsidP="004E6EDE">
            <w:pPr>
              <w:pStyle w:val="Tabletext"/>
              <w:keepNext/>
              <w:keepLines/>
              <w:widowControl w:val="0"/>
              <w:rPr>
                <w:rFonts w:cs="Arial"/>
              </w:rPr>
            </w:pPr>
            <w:r w:rsidRPr="00B1054A">
              <w:rPr>
                <w:szCs w:val="20"/>
              </w:rPr>
              <w:t>1.7% (Year 1) to 4.2% (Year 6), informed from dupilumab uptake in Germany.</w:t>
            </w:r>
          </w:p>
        </w:tc>
        <w:tc>
          <w:tcPr>
            <w:tcW w:w="2677" w:type="dxa"/>
          </w:tcPr>
          <w:p w:rsidR="005835D4" w:rsidRPr="00B1054A" w:rsidRDefault="005835D4" w:rsidP="004E6EDE">
            <w:pPr>
              <w:pStyle w:val="Tabletext"/>
              <w:keepNext/>
              <w:keepLines/>
              <w:widowControl w:val="0"/>
              <w:rPr>
                <w:szCs w:val="20"/>
              </w:rPr>
            </w:pPr>
            <w:r w:rsidRPr="00B1054A">
              <w:rPr>
                <w:szCs w:val="20"/>
              </w:rPr>
              <w:t>5% (Year 1) to 7</w:t>
            </w:r>
            <w:r w:rsidR="00C67024">
              <w:rPr>
                <w:szCs w:val="20"/>
              </w:rPr>
              <w:t>.5</w:t>
            </w:r>
            <w:r w:rsidRPr="00B1054A">
              <w:rPr>
                <w:szCs w:val="20"/>
              </w:rPr>
              <w:t xml:space="preserve">% (Year 6) based on an assumption. </w:t>
            </w:r>
          </w:p>
        </w:tc>
      </w:tr>
    </w:tbl>
    <w:p w:rsidR="005835D4" w:rsidRPr="00B1054A" w:rsidRDefault="005835D4" w:rsidP="004E6EDE">
      <w:pPr>
        <w:pStyle w:val="TableFigureFooter"/>
        <w:keepLines/>
        <w:widowControl w:val="0"/>
      </w:pPr>
      <w:r w:rsidRPr="00B1054A">
        <w:t>Abbreviations: AD = atopic dermatitis; bDMARD = biologic disease-modifying anti-rheumatic agent; CsA = cyclosporin; PBS = Pharmaceutical Benefits Scheme</w:t>
      </w:r>
    </w:p>
    <w:p w:rsidR="005835D4" w:rsidRPr="00B1054A" w:rsidRDefault="00B20399" w:rsidP="004E6EDE">
      <w:pPr>
        <w:pStyle w:val="TableFigureHeading"/>
        <w:widowControl w:val="0"/>
        <w:jc w:val="both"/>
        <w:rPr>
          <w:rStyle w:val="CommentReference"/>
          <w:b/>
          <w:szCs w:val="24"/>
        </w:rPr>
      </w:pPr>
      <w:bookmarkStart w:id="43" w:name="_Ref27444192"/>
      <w:r w:rsidRPr="00B1054A">
        <w:rPr>
          <w:rStyle w:val="CommentReference"/>
          <w:b/>
          <w:szCs w:val="24"/>
        </w:rPr>
        <w:lastRenderedPageBreak/>
        <w:t>Table 19</w:t>
      </w:r>
      <w:bookmarkEnd w:id="43"/>
      <w:r w:rsidRPr="00B1054A">
        <w:rPr>
          <w:rStyle w:val="CommentReference"/>
          <w:b/>
          <w:szCs w:val="24"/>
        </w:rPr>
        <w:t xml:space="preserve">: </w:t>
      </w:r>
      <w:r w:rsidR="005835D4" w:rsidRPr="00B1054A">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385"/>
        <w:gridCol w:w="3919"/>
      </w:tblGrid>
      <w:tr w:rsidR="005835D4" w:rsidRPr="00B1054A" w:rsidTr="0076087A">
        <w:trPr>
          <w:tblHeader/>
        </w:trPr>
        <w:tc>
          <w:tcPr>
            <w:tcW w:w="950" w:type="pct"/>
            <w:shd w:val="clear" w:color="auto" w:fill="auto"/>
            <w:vAlign w:val="center"/>
          </w:tcPr>
          <w:p w:rsidR="005835D4" w:rsidRPr="00B1054A" w:rsidRDefault="005835D4" w:rsidP="004E6EDE">
            <w:pPr>
              <w:pStyle w:val="In-tableHeading"/>
              <w:keepLines/>
              <w:widowControl w:val="0"/>
              <w:rPr>
                <w:lang w:val="en-AU"/>
              </w:rPr>
            </w:pPr>
            <w:r w:rsidRPr="00B1054A">
              <w:rPr>
                <w:lang w:val="en-AU"/>
              </w:rPr>
              <w:t>Parameter</w:t>
            </w:r>
          </w:p>
        </w:tc>
        <w:tc>
          <w:tcPr>
            <w:tcW w:w="1877" w:type="pct"/>
            <w:shd w:val="clear" w:color="auto" w:fill="auto"/>
            <w:vAlign w:val="center"/>
          </w:tcPr>
          <w:p w:rsidR="005835D4" w:rsidRPr="00B1054A" w:rsidRDefault="005835D4" w:rsidP="004E6EDE">
            <w:pPr>
              <w:pStyle w:val="In-tableHeading"/>
              <w:keepLines/>
              <w:widowControl w:val="0"/>
              <w:rPr>
                <w:lang w:val="en-AU"/>
              </w:rPr>
            </w:pPr>
            <w:r w:rsidRPr="00B1054A">
              <w:rPr>
                <w:lang w:val="en-AU"/>
              </w:rPr>
              <w:t>Value applied and source</w:t>
            </w:r>
          </w:p>
        </w:tc>
        <w:tc>
          <w:tcPr>
            <w:tcW w:w="2173" w:type="pct"/>
            <w:shd w:val="clear" w:color="auto" w:fill="auto"/>
            <w:vAlign w:val="center"/>
          </w:tcPr>
          <w:p w:rsidR="005835D4" w:rsidRPr="00B1054A" w:rsidRDefault="005835D4" w:rsidP="004E6EDE">
            <w:pPr>
              <w:pStyle w:val="In-tableHeading"/>
              <w:keepLines/>
              <w:widowControl w:val="0"/>
              <w:rPr>
                <w:lang w:val="en-AU"/>
              </w:rPr>
            </w:pPr>
            <w:r w:rsidRPr="00B1054A">
              <w:rPr>
                <w:lang w:val="en-AU"/>
              </w:rPr>
              <w:t>Comment</w:t>
            </w:r>
          </w:p>
        </w:tc>
      </w:tr>
      <w:tr w:rsidR="005835D4" w:rsidRPr="00B1054A" w:rsidTr="0076087A">
        <w:tc>
          <w:tcPr>
            <w:tcW w:w="950" w:type="pct"/>
            <w:shd w:val="clear" w:color="auto" w:fill="auto"/>
            <w:vAlign w:val="center"/>
          </w:tcPr>
          <w:p w:rsidR="005835D4" w:rsidRPr="00B1054A" w:rsidRDefault="00B414AF" w:rsidP="004E6EDE">
            <w:pPr>
              <w:pStyle w:val="TableText0"/>
              <w:keepLines/>
              <w:widowControl w:val="0"/>
            </w:pPr>
            <w:r w:rsidRPr="00B1054A">
              <w:t xml:space="preserve">Proportion of </w:t>
            </w:r>
            <w:r w:rsidR="00BF1390" w:rsidRPr="00B1054A">
              <w:t>adult Australians</w:t>
            </w:r>
            <w:r w:rsidRPr="00B1054A">
              <w:t xml:space="preserve"> who have severe AD</w:t>
            </w:r>
          </w:p>
        </w:tc>
        <w:tc>
          <w:tcPr>
            <w:tcW w:w="1877" w:type="pct"/>
            <w:shd w:val="clear" w:color="auto" w:fill="auto"/>
            <w:vAlign w:val="center"/>
          </w:tcPr>
          <w:p w:rsidR="0076087A" w:rsidRPr="00B1054A" w:rsidRDefault="0076087A" w:rsidP="004E6EDE">
            <w:pPr>
              <w:pStyle w:val="TableText0"/>
              <w:keepLines/>
              <w:widowControl w:val="0"/>
            </w:pPr>
            <w:r w:rsidRPr="00B1054A">
              <w:t>0.45%:</w:t>
            </w:r>
          </w:p>
          <w:p w:rsidR="0076087A" w:rsidRPr="00B1054A" w:rsidRDefault="00B414AF" w:rsidP="004E6EDE">
            <w:pPr>
              <w:pStyle w:val="TableText0"/>
              <w:keepLines/>
              <w:widowControl w:val="0"/>
            </w:pPr>
            <w:r w:rsidRPr="00B1054A">
              <w:t xml:space="preserve">9% of </w:t>
            </w:r>
            <w:r w:rsidR="0076087A" w:rsidRPr="00B1054A">
              <w:t>Australian adults assumed to have AD *</w:t>
            </w:r>
            <w:r w:rsidR="00BF1390" w:rsidRPr="00B1054A">
              <w:t xml:space="preserve"> </w:t>
            </w:r>
            <w:r w:rsidR="0076087A" w:rsidRPr="00B1054A">
              <w:t xml:space="preserve">5% assumed to </w:t>
            </w:r>
            <w:r w:rsidR="00BF1390" w:rsidRPr="00B1054A">
              <w:t>be</w:t>
            </w:r>
            <w:r w:rsidR="0076087A" w:rsidRPr="00B1054A">
              <w:t xml:space="preserve"> severe (METIS 2019a)</w:t>
            </w:r>
          </w:p>
        </w:tc>
        <w:tc>
          <w:tcPr>
            <w:tcW w:w="2173" w:type="pct"/>
            <w:shd w:val="clear" w:color="auto" w:fill="auto"/>
            <w:vAlign w:val="center"/>
          </w:tcPr>
          <w:p w:rsidR="005835D4" w:rsidRPr="00B1054A" w:rsidRDefault="0076087A" w:rsidP="004E6EDE">
            <w:pPr>
              <w:pStyle w:val="TableText0"/>
              <w:keepLines/>
              <w:widowControl w:val="0"/>
            </w:pPr>
            <w:r w:rsidRPr="00B1054A">
              <w:t>Definition of severe disease may not align with PGA=4</w:t>
            </w:r>
            <w:r w:rsidR="002253A0" w:rsidRPr="00B1054A">
              <w:t xml:space="preserve">. Resubmission does not account for those with </w:t>
            </w:r>
            <w:r w:rsidR="00B20399" w:rsidRPr="00B1054A">
              <w:t xml:space="preserve">severe </w:t>
            </w:r>
            <w:r w:rsidR="002253A0" w:rsidRPr="00B1054A">
              <w:t>face</w:t>
            </w:r>
            <w:r w:rsidR="006C2BCD" w:rsidRPr="00B1054A">
              <w:t xml:space="preserve"> or</w:t>
            </w:r>
            <w:r w:rsidR="002253A0" w:rsidRPr="00B1054A">
              <w:t xml:space="preserve"> hand</w:t>
            </w:r>
            <w:r w:rsidR="006C2BCD" w:rsidRPr="00B1054A">
              <w:t xml:space="preserve"> </w:t>
            </w:r>
            <w:r w:rsidR="002253A0" w:rsidRPr="00B1054A">
              <w:t xml:space="preserve">AD </w:t>
            </w:r>
          </w:p>
        </w:tc>
      </w:tr>
      <w:tr w:rsidR="005835D4" w:rsidRPr="00B1054A" w:rsidTr="0076087A">
        <w:tc>
          <w:tcPr>
            <w:tcW w:w="950" w:type="pct"/>
            <w:shd w:val="clear" w:color="auto" w:fill="auto"/>
            <w:vAlign w:val="center"/>
          </w:tcPr>
          <w:p w:rsidR="005835D4" w:rsidRPr="00B1054A" w:rsidRDefault="0076087A" w:rsidP="004E6EDE">
            <w:pPr>
              <w:pStyle w:val="TableText0"/>
              <w:keepLines/>
              <w:widowControl w:val="0"/>
            </w:pPr>
            <w:r w:rsidRPr="00B1054A">
              <w:t>Proportion severe AD patients with EASI ≥20</w:t>
            </w:r>
          </w:p>
        </w:tc>
        <w:tc>
          <w:tcPr>
            <w:tcW w:w="1877" w:type="pct"/>
            <w:shd w:val="clear" w:color="auto" w:fill="auto"/>
            <w:vAlign w:val="center"/>
          </w:tcPr>
          <w:p w:rsidR="005835D4" w:rsidRPr="00B1054A" w:rsidRDefault="0076087A" w:rsidP="004E6EDE">
            <w:pPr>
              <w:pStyle w:val="TableText0"/>
              <w:keepLines/>
              <w:widowControl w:val="0"/>
            </w:pPr>
            <w:r w:rsidRPr="00B1054A">
              <w:t>95% (EAP patient data)</w:t>
            </w:r>
          </w:p>
        </w:tc>
        <w:tc>
          <w:tcPr>
            <w:tcW w:w="2173" w:type="pct"/>
            <w:shd w:val="clear" w:color="auto" w:fill="auto"/>
            <w:vAlign w:val="center"/>
          </w:tcPr>
          <w:p w:rsidR="005835D4" w:rsidRPr="00B1054A" w:rsidRDefault="0076087A" w:rsidP="004E6EDE">
            <w:pPr>
              <w:pStyle w:val="TableText0"/>
              <w:keepLines/>
              <w:widowControl w:val="0"/>
            </w:pPr>
            <w:r w:rsidRPr="00B1054A">
              <w:t xml:space="preserve">Reasonable </w:t>
            </w:r>
          </w:p>
        </w:tc>
      </w:tr>
      <w:tr w:rsidR="0076087A" w:rsidRPr="00B1054A" w:rsidTr="0076087A">
        <w:tc>
          <w:tcPr>
            <w:tcW w:w="950" w:type="pct"/>
            <w:shd w:val="clear" w:color="auto" w:fill="auto"/>
            <w:vAlign w:val="center"/>
          </w:tcPr>
          <w:p w:rsidR="0076087A" w:rsidRPr="00B1054A" w:rsidRDefault="0076087A" w:rsidP="004E6EDE">
            <w:pPr>
              <w:pStyle w:val="TableText0"/>
              <w:keepLines/>
              <w:widowControl w:val="0"/>
            </w:pPr>
            <w:r w:rsidRPr="00B1054A">
              <w:rPr>
                <w:szCs w:val="20"/>
              </w:rPr>
              <w:t>Proportion of TCS therapy patients who have uncontrolled AD</w:t>
            </w:r>
          </w:p>
        </w:tc>
        <w:tc>
          <w:tcPr>
            <w:tcW w:w="1877" w:type="pct"/>
            <w:shd w:val="clear" w:color="auto" w:fill="auto"/>
            <w:vAlign w:val="center"/>
          </w:tcPr>
          <w:p w:rsidR="0076087A" w:rsidRPr="00B1054A" w:rsidRDefault="0076087A" w:rsidP="004E6EDE">
            <w:pPr>
              <w:pStyle w:val="TableText0"/>
              <w:keepLines/>
              <w:widowControl w:val="0"/>
            </w:pPr>
            <w:r w:rsidRPr="00B1054A">
              <w:t>68% (METIS 2019b)</w:t>
            </w:r>
          </w:p>
        </w:tc>
        <w:tc>
          <w:tcPr>
            <w:tcW w:w="2173" w:type="pct"/>
            <w:shd w:val="clear" w:color="auto" w:fill="auto"/>
            <w:vAlign w:val="center"/>
          </w:tcPr>
          <w:p w:rsidR="0076087A" w:rsidRPr="00B1054A" w:rsidRDefault="0076087A" w:rsidP="004E6EDE">
            <w:pPr>
              <w:pStyle w:val="TableText0"/>
              <w:keepLines/>
              <w:widowControl w:val="0"/>
            </w:pPr>
            <w:r w:rsidRPr="00B1054A">
              <w:rPr>
                <w:szCs w:val="20"/>
              </w:rPr>
              <w:t>Inappropriate to have assumed some severe AD patients would be ‘adequately controlled’ on treatment. This is a major source of uncertainty in the financial estimates</w:t>
            </w:r>
            <w:r w:rsidR="00054087" w:rsidRPr="00B1054A">
              <w:rPr>
                <w:szCs w:val="20"/>
              </w:rPr>
              <w:t xml:space="preserve"> and may underestimate the eligible patients</w:t>
            </w:r>
            <w:r w:rsidRPr="00B1054A">
              <w:rPr>
                <w:szCs w:val="20"/>
              </w:rPr>
              <w:t>.</w:t>
            </w:r>
          </w:p>
        </w:tc>
      </w:tr>
      <w:tr w:rsidR="005835D4" w:rsidRPr="00B1054A" w:rsidTr="0076087A">
        <w:tc>
          <w:tcPr>
            <w:tcW w:w="950" w:type="pct"/>
            <w:shd w:val="clear" w:color="auto" w:fill="auto"/>
            <w:vAlign w:val="center"/>
          </w:tcPr>
          <w:p w:rsidR="005835D4" w:rsidRPr="00B1054A" w:rsidRDefault="0076087A" w:rsidP="004E6EDE">
            <w:pPr>
              <w:pStyle w:val="TableText0"/>
              <w:keepLines/>
              <w:widowControl w:val="0"/>
            </w:pPr>
            <w:r w:rsidRPr="00B1054A">
              <w:t>Uptake rate</w:t>
            </w:r>
          </w:p>
        </w:tc>
        <w:tc>
          <w:tcPr>
            <w:tcW w:w="1877" w:type="pct"/>
            <w:shd w:val="clear" w:color="auto" w:fill="auto"/>
            <w:vAlign w:val="center"/>
          </w:tcPr>
          <w:p w:rsidR="005835D4" w:rsidRPr="00B1054A" w:rsidRDefault="0076087A" w:rsidP="004E6EDE">
            <w:pPr>
              <w:pStyle w:val="TableText0"/>
              <w:keepLines/>
              <w:widowControl w:val="0"/>
              <w:rPr>
                <w:szCs w:val="20"/>
              </w:rPr>
            </w:pPr>
            <w:r w:rsidRPr="00B1054A">
              <w:rPr>
                <w:szCs w:val="20"/>
              </w:rPr>
              <w:t xml:space="preserve">5.0% in Year 1 </w:t>
            </w:r>
            <w:r w:rsidR="00644E1B" w:rsidRPr="00B1054A">
              <w:rPr>
                <w:szCs w:val="20"/>
              </w:rPr>
              <w:t xml:space="preserve">(in addition to continuing grandfathered patients) </w:t>
            </w:r>
            <w:r w:rsidRPr="00B1054A">
              <w:rPr>
                <w:szCs w:val="20"/>
              </w:rPr>
              <w:t>increasing to 7.5% in Year 6.</w:t>
            </w:r>
          </w:p>
          <w:p w:rsidR="0076087A" w:rsidRPr="00B1054A" w:rsidRDefault="0076087A" w:rsidP="004E6EDE">
            <w:pPr>
              <w:pStyle w:val="TableText0"/>
              <w:keepLines/>
              <w:widowControl w:val="0"/>
            </w:pPr>
            <w:r w:rsidRPr="00B1054A">
              <w:rPr>
                <w:szCs w:val="20"/>
              </w:rPr>
              <w:t>Increased uptake assumption based on PBAC feedback and severe disease only.</w:t>
            </w:r>
          </w:p>
        </w:tc>
        <w:tc>
          <w:tcPr>
            <w:tcW w:w="2173" w:type="pct"/>
            <w:shd w:val="clear" w:color="auto" w:fill="auto"/>
            <w:vAlign w:val="center"/>
          </w:tcPr>
          <w:p w:rsidR="005835D4" w:rsidRPr="00B1054A" w:rsidRDefault="008A738F" w:rsidP="004E6EDE">
            <w:pPr>
              <w:pStyle w:val="TableText0"/>
              <w:keepLines/>
              <w:widowControl w:val="0"/>
            </w:pPr>
            <w:r w:rsidRPr="00B1054A">
              <w:rPr>
                <w:szCs w:val="20"/>
              </w:rPr>
              <w:t>Uncertain</w:t>
            </w:r>
          </w:p>
        </w:tc>
      </w:tr>
      <w:tr w:rsidR="005835D4" w:rsidRPr="00B1054A" w:rsidTr="0076087A">
        <w:tc>
          <w:tcPr>
            <w:tcW w:w="950" w:type="pct"/>
            <w:shd w:val="clear" w:color="auto" w:fill="auto"/>
            <w:vAlign w:val="center"/>
          </w:tcPr>
          <w:p w:rsidR="005835D4" w:rsidRPr="00B1054A" w:rsidRDefault="005835D4" w:rsidP="004E6EDE">
            <w:pPr>
              <w:pStyle w:val="TableText0"/>
              <w:keepLines/>
              <w:widowControl w:val="0"/>
            </w:pPr>
            <w:r w:rsidRPr="00B1054A">
              <w:t>Grandfathered patients</w:t>
            </w:r>
          </w:p>
        </w:tc>
        <w:tc>
          <w:tcPr>
            <w:tcW w:w="1877" w:type="pct"/>
            <w:shd w:val="clear" w:color="auto" w:fill="auto"/>
            <w:vAlign w:val="center"/>
          </w:tcPr>
          <w:p w:rsidR="005835D4" w:rsidRPr="00B1054A" w:rsidRDefault="0076087A" w:rsidP="004E6EDE">
            <w:pPr>
              <w:pStyle w:val="TableText0"/>
              <w:keepLines/>
              <w:widowControl w:val="0"/>
            </w:pPr>
            <w:r w:rsidRPr="00B1054A">
              <w:t>n=</w:t>
            </w:r>
            <w:r w:rsidR="00477B92">
              <w:t>500 to &lt; </w:t>
            </w:r>
            <w:r w:rsidR="00477B92" w:rsidRPr="00477B92">
              <w:t>5,000</w:t>
            </w:r>
            <w:r w:rsidR="00BC1746" w:rsidRPr="00B1054A">
              <w:t xml:space="preserve"> (</w:t>
            </w:r>
            <w:r w:rsidR="00644E1B" w:rsidRPr="00B1054A">
              <w:t xml:space="preserve">these </w:t>
            </w:r>
            <w:r w:rsidR="00477B92">
              <w:t>500 to &lt; </w:t>
            </w:r>
            <w:r w:rsidR="00477B92" w:rsidRPr="00477B92">
              <w:t>5,000</w:t>
            </w:r>
            <w:r w:rsidR="00644E1B" w:rsidRPr="00B1054A">
              <w:t xml:space="preserve"> patients are subtracted from the prevalent pool</w:t>
            </w:r>
            <w:r w:rsidR="00BC1746" w:rsidRPr="00B1054A">
              <w:t>)</w:t>
            </w:r>
          </w:p>
        </w:tc>
        <w:tc>
          <w:tcPr>
            <w:tcW w:w="2173" w:type="pct"/>
            <w:shd w:val="clear" w:color="auto" w:fill="auto"/>
            <w:vAlign w:val="center"/>
          </w:tcPr>
          <w:p w:rsidR="005835D4" w:rsidRPr="00B1054A" w:rsidRDefault="00644E1B" w:rsidP="004E6EDE">
            <w:pPr>
              <w:pStyle w:val="TableText0"/>
              <w:keepLines/>
              <w:widowControl w:val="0"/>
            </w:pPr>
            <w:r w:rsidRPr="00B1054A">
              <w:t>Reduced from n=850 in the July 2019 submission, which included patients with moderate AD, based on sponsor estimates</w:t>
            </w:r>
          </w:p>
        </w:tc>
      </w:tr>
      <w:tr w:rsidR="005835D4" w:rsidRPr="00B1054A" w:rsidTr="0076087A">
        <w:tc>
          <w:tcPr>
            <w:tcW w:w="950" w:type="pct"/>
            <w:shd w:val="clear" w:color="auto" w:fill="auto"/>
            <w:vAlign w:val="center"/>
          </w:tcPr>
          <w:p w:rsidR="005835D4" w:rsidRPr="00B1054A" w:rsidRDefault="002253A0" w:rsidP="004E6EDE">
            <w:pPr>
              <w:pStyle w:val="TableText0"/>
              <w:keepLines/>
              <w:widowControl w:val="0"/>
            </w:pPr>
            <w:r w:rsidRPr="00B1054A">
              <w:t xml:space="preserve">Initial response </w:t>
            </w:r>
          </w:p>
        </w:tc>
        <w:tc>
          <w:tcPr>
            <w:tcW w:w="1877" w:type="pct"/>
            <w:shd w:val="clear" w:color="auto" w:fill="auto"/>
            <w:vAlign w:val="center"/>
          </w:tcPr>
          <w:p w:rsidR="005835D4" w:rsidRPr="00B1054A" w:rsidRDefault="002253A0" w:rsidP="004E6EDE">
            <w:pPr>
              <w:pStyle w:val="TableText0"/>
              <w:keepLines/>
              <w:widowControl w:val="0"/>
            </w:pPr>
            <w:r w:rsidRPr="00B1054A">
              <w:t>59.6% (Pooled results from trials for those meeting EASI-50/DLQI 4 response criteria)</w:t>
            </w:r>
          </w:p>
        </w:tc>
        <w:tc>
          <w:tcPr>
            <w:tcW w:w="2173" w:type="pct"/>
            <w:shd w:val="clear" w:color="auto" w:fill="auto"/>
            <w:vAlign w:val="center"/>
          </w:tcPr>
          <w:p w:rsidR="005835D4" w:rsidRPr="00B1054A" w:rsidRDefault="002253A0" w:rsidP="004E6EDE">
            <w:pPr>
              <w:pStyle w:val="TableText0"/>
              <w:keepLines/>
              <w:widowControl w:val="0"/>
            </w:pPr>
            <w:r w:rsidRPr="00B1054A">
              <w:t>Consistent with</w:t>
            </w:r>
            <w:r w:rsidR="005835D4" w:rsidRPr="00B1054A">
              <w:t xml:space="preserve"> the economic evaluation</w:t>
            </w:r>
          </w:p>
        </w:tc>
      </w:tr>
      <w:tr w:rsidR="005835D4" w:rsidRPr="00B1054A" w:rsidTr="0076087A">
        <w:tc>
          <w:tcPr>
            <w:tcW w:w="950" w:type="pct"/>
            <w:shd w:val="clear" w:color="auto" w:fill="auto"/>
            <w:vAlign w:val="center"/>
          </w:tcPr>
          <w:p w:rsidR="005835D4" w:rsidRPr="00B1054A" w:rsidRDefault="002253A0" w:rsidP="004E6EDE">
            <w:pPr>
              <w:pStyle w:val="TableText0"/>
              <w:keepLines/>
              <w:widowControl w:val="0"/>
            </w:pPr>
            <w:r w:rsidRPr="00B1054A">
              <w:t xml:space="preserve">Responders at </w:t>
            </w:r>
            <w:r w:rsidR="00BC1746" w:rsidRPr="00B1054A">
              <w:t>W</w:t>
            </w:r>
            <w:r w:rsidRPr="00B1054A">
              <w:t>eek 42</w:t>
            </w:r>
          </w:p>
        </w:tc>
        <w:tc>
          <w:tcPr>
            <w:tcW w:w="1877" w:type="pct"/>
            <w:shd w:val="clear" w:color="auto" w:fill="auto"/>
            <w:vAlign w:val="center"/>
          </w:tcPr>
          <w:p w:rsidR="005835D4" w:rsidRPr="00B1054A" w:rsidRDefault="002253A0" w:rsidP="004E6EDE">
            <w:pPr>
              <w:pStyle w:val="TableText0"/>
              <w:keepLines/>
              <w:widowControl w:val="0"/>
              <w:rPr>
                <w:i/>
              </w:rPr>
            </w:pPr>
            <w:r w:rsidRPr="00B1054A">
              <w:t>46.85% (Apply the proportion who respond at Week 16 AND 44 to Week 16 response rate)</w:t>
            </w:r>
            <w:r w:rsidR="00BC1746" w:rsidRPr="00B1054A">
              <w:t>. Amended to 95.7% (as per economic evaluation)</w:t>
            </w:r>
          </w:p>
        </w:tc>
        <w:tc>
          <w:tcPr>
            <w:tcW w:w="2173" w:type="pct"/>
            <w:shd w:val="clear" w:color="auto" w:fill="auto"/>
            <w:vAlign w:val="center"/>
          </w:tcPr>
          <w:p w:rsidR="005835D4" w:rsidRPr="00B1054A" w:rsidRDefault="002253A0" w:rsidP="004E6EDE">
            <w:pPr>
              <w:pStyle w:val="TableText0"/>
              <w:keepLines/>
              <w:widowControl w:val="0"/>
            </w:pPr>
            <w:r w:rsidRPr="00B1054A">
              <w:t xml:space="preserve">Underestimate as the proportion who respond at Week 16 AND 44 is not the probability of response at Week 44 based on response at Week 16. </w:t>
            </w:r>
            <w:r w:rsidR="00BC1746" w:rsidRPr="00B1054A">
              <w:t>Changed</w:t>
            </w:r>
            <w:r w:rsidR="00165402" w:rsidRPr="00B1054A">
              <w:t xml:space="preserve"> during the evaluation</w:t>
            </w:r>
            <w:r w:rsidR="00BC1746" w:rsidRPr="00B1054A">
              <w:t xml:space="preserve"> to be c</w:t>
            </w:r>
            <w:r w:rsidRPr="00B1054A">
              <w:t>onsistent with the economic evaluation.</w:t>
            </w:r>
          </w:p>
        </w:tc>
      </w:tr>
      <w:tr w:rsidR="005835D4" w:rsidRPr="00B1054A" w:rsidTr="0076087A">
        <w:tc>
          <w:tcPr>
            <w:tcW w:w="950" w:type="pct"/>
            <w:shd w:val="clear" w:color="auto" w:fill="auto"/>
            <w:vAlign w:val="center"/>
          </w:tcPr>
          <w:p w:rsidR="005835D4" w:rsidRPr="00B1054A" w:rsidRDefault="002253A0" w:rsidP="004E6EDE">
            <w:pPr>
              <w:pStyle w:val="TableText0"/>
              <w:keepLines/>
              <w:widowControl w:val="0"/>
            </w:pPr>
            <w:r w:rsidRPr="00B1054A">
              <w:t>Continuing patients treatment persistence</w:t>
            </w:r>
          </w:p>
        </w:tc>
        <w:tc>
          <w:tcPr>
            <w:tcW w:w="1877" w:type="pct"/>
            <w:shd w:val="clear" w:color="auto" w:fill="auto"/>
            <w:vAlign w:val="center"/>
          </w:tcPr>
          <w:p w:rsidR="005835D4" w:rsidRPr="00B1054A" w:rsidRDefault="002253A0" w:rsidP="004E6EDE">
            <w:pPr>
              <w:pStyle w:val="TableText0"/>
              <w:keepLines/>
              <w:widowControl w:val="0"/>
              <w:rPr>
                <w:szCs w:val="20"/>
              </w:rPr>
            </w:pPr>
            <w:r w:rsidRPr="00B1054A">
              <w:rPr>
                <w:szCs w:val="20"/>
              </w:rPr>
              <w:t>Year 2 = 83.2%</w:t>
            </w:r>
            <w:r w:rsidRPr="00B1054A">
              <w:rPr>
                <w:szCs w:val="20"/>
              </w:rPr>
              <w:br/>
              <w:t>Year 3 = 79.87%</w:t>
            </w:r>
            <w:r w:rsidRPr="00B1054A">
              <w:rPr>
                <w:szCs w:val="20"/>
              </w:rPr>
              <w:br/>
              <w:t>Year 4 = 77.16%</w:t>
            </w:r>
            <w:r w:rsidRPr="00B1054A">
              <w:rPr>
                <w:szCs w:val="20"/>
              </w:rPr>
              <w:br/>
              <w:t>Year 5+ = 74.76%</w:t>
            </w:r>
          </w:p>
          <w:p w:rsidR="002253A0" w:rsidRPr="00B1054A" w:rsidRDefault="002253A0" w:rsidP="004E6EDE">
            <w:pPr>
              <w:pStyle w:val="TableText0"/>
              <w:keepLines/>
              <w:widowControl w:val="0"/>
            </w:pPr>
            <w:r w:rsidRPr="00B1054A">
              <w:rPr>
                <w:szCs w:val="20"/>
              </w:rPr>
              <w:t>from time to first rescue treatment or treatment discontinuation analysis</w:t>
            </w:r>
          </w:p>
        </w:tc>
        <w:tc>
          <w:tcPr>
            <w:tcW w:w="2173" w:type="pct"/>
            <w:shd w:val="clear" w:color="auto" w:fill="auto"/>
            <w:vAlign w:val="center"/>
          </w:tcPr>
          <w:p w:rsidR="005835D4" w:rsidRPr="00B1054A" w:rsidRDefault="002253A0" w:rsidP="004E6EDE">
            <w:pPr>
              <w:pStyle w:val="TableText0"/>
              <w:keepLines/>
              <w:widowControl w:val="0"/>
            </w:pPr>
            <w:r w:rsidRPr="00B1054A">
              <w:t>Reasonable</w:t>
            </w:r>
          </w:p>
        </w:tc>
      </w:tr>
      <w:tr w:rsidR="002253A0" w:rsidRPr="00B1054A" w:rsidTr="0076087A">
        <w:tc>
          <w:tcPr>
            <w:tcW w:w="950" w:type="pct"/>
            <w:shd w:val="clear" w:color="auto" w:fill="auto"/>
            <w:vAlign w:val="center"/>
          </w:tcPr>
          <w:p w:rsidR="002253A0" w:rsidRPr="00B1054A" w:rsidRDefault="002253A0" w:rsidP="004E6EDE">
            <w:pPr>
              <w:pStyle w:val="TableText0"/>
              <w:keepLines/>
              <w:widowControl w:val="0"/>
            </w:pPr>
            <w:r w:rsidRPr="00B1054A">
              <w:t>MBS phototherapy cost offsets</w:t>
            </w:r>
          </w:p>
        </w:tc>
        <w:tc>
          <w:tcPr>
            <w:tcW w:w="1877" w:type="pct"/>
            <w:shd w:val="clear" w:color="auto" w:fill="auto"/>
            <w:vAlign w:val="center"/>
          </w:tcPr>
          <w:p w:rsidR="002253A0" w:rsidRPr="00B1054A" w:rsidRDefault="002253A0" w:rsidP="004E6EDE">
            <w:pPr>
              <w:pStyle w:val="TableText0"/>
              <w:keepLines/>
              <w:widowControl w:val="0"/>
              <w:rPr>
                <w:szCs w:val="20"/>
              </w:rPr>
            </w:pPr>
            <w:r w:rsidRPr="00B1054A">
              <w:t>Assumed three sessions of phototherapy per week on the basis of a study (Patrizi et al 2015)</w:t>
            </w:r>
          </w:p>
        </w:tc>
        <w:tc>
          <w:tcPr>
            <w:tcW w:w="2173" w:type="pct"/>
            <w:shd w:val="clear" w:color="auto" w:fill="auto"/>
            <w:vAlign w:val="center"/>
          </w:tcPr>
          <w:p w:rsidR="002253A0" w:rsidRPr="00B1054A" w:rsidRDefault="00761A30" w:rsidP="004E6EDE">
            <w:pPr>
              <w:pStyle w:val="TableText0"/>
              <w:keepLines/>
              <w:widowControl w:val="0"/>
            </w:pPr>
            <w:r w:rsidRPr="00B1054A">
              <w:t xml:space="preserve">Consistent with the economic evaluation. </w:t>
            </w:r>
            <w:r w:rsidR="002253A0" w:rsidRPr="00B1054A">
              <w:rPr>
                <w:szCs w:val="20"/>
              </w:rPr>
              <w:t xml:space="preserve">Phototherapy cost offsets may be overestimated. </w:t>
            </w:r>
          </w:p>
        </w:tc>
      </w:tr>
    </w:tbl>
    <w:p w:rsidR="005835D4" w:rsidRPr="00B1054A" w:rsidRDefault="005835D4" w:rsidP="004E6EDE">
      <w:pPr>
        <w:pStyle w:val="TableFigureFooter"/>
        <w:keepNext/>
        <w:keepLines/>
        <w:widowControl w:val="0"/>
      </w:pPr>
      <w:r w:rsidRPr="00B1054A">
        <w:t xml:space="preserve">Source: </w:t>
      </w:r>
      <w:r w:rsidR="00B20399" w:rsidRPr="00B1054A">
        <w:t>compiled during the evaluation</w:t>
      </w:r>
    </w:p>
    <w:p w:rsidR="00B505C8" w:rsidRPr="00B1054A" w:rsidRDefault="00B20399" w:rsidP="004E6EDE">
      <w:pPr>
        <w:pStyle w:val="3-BodyText"/>
      </w:pPr>
      <w:r w:rsidRPr="00B1054A">
        <w:t>Table 20 summarises the estimated use and financial implications of dupilumab on the PBS/RPBS and associated MBS cost-offsets</w:t>
      </w:r>
      <w:r w:rsidR="00E8706D" w:rsidRPr="00B1054A">
        <w:t>.</w:t>
      </w:r>
      <w:r w:rsidRPr="00B1054A">
        <w:t xml:space="preserve"> </w:t>
      </w:r>
      <w:r w:rsidR="0051390F">
        <w:t xml:space="preserve">The PBAC noted that </w:t>
      </w:r>
      <w:r w:rsidR="00A400B6">
        <w:t>the starting point for estimating the patient numbers was the Australian population aged 18 years and older</w:t>
      </w:r>
      <w:r w:rsidR="0051390F">
        <w:t xml:space="preserve">. </w:t>
      </w:r>
    </w:p>
    <w:p w:rsidR="00C25D9C" w:rsidRPr="00B1054A" w:rsidRDefault="00B20399" w:rsidP="00B20399">
      <w:pPr>
        <w:pStyle w:val="TableFigureHeading"/>
        <w:jc w:val="both"/>
        <w:rPr>
          <w:rStyle w:val="CommentReference"/>
          <w:szCs w:val="24"/>
        </w:rPr>
      </w:pPr>
      <w:bookmarkStart w:id="44" w:name="_Ref27443620"/>
      <w:r w:rsidRPr="00B1054A">
        <w:rPr>
          <w:rStyle w:val="CommentReference"/>
          <w:b/>
          <w:szCs w:val="24"/>
        </w:rPr>
        <w:lastRenderedPageBreak/>
        <w:t>Table 20</w:t>
      </w:r>
      <w:bookmarkEnd w:id="44"/>
      <w:r w:rsidRPr="00B1054A">
        <w:rPr>
          <w:rStyle w:val="CommentReference"/>
          <w:b/>
          <w:szCs w:val="24"/>
        </w:rPr>
        <w:t xml:space="preserve">: </w:t>
      </w:r>
      <w:r w:rsidR="002A2F50" w:rsidRPr="00B1054A">
        <w:rPr>
          <w:rStyle w:val="CommentReference"/>
          <w:b/>
          <w:szCs w:val="24"/>
        </w:rPr>
        <w:t>Estimated use and financial implications</w:t>
      </w:r>
      <w:r w:rsidR="00613E75" w:rsidRPr="00B1054A">
        <w:rPr>
          <w:rStyle w:val="CommentReference"/>
          <w:b/>
          <w:szCs w:val="24"/>
        </w:rPr>
        <w:t xml:space="preserve">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4E6EDE" w:rsidTr="00E05C48">
        <w:trPr>
          <w:tblHeader/>
        </w:trPr>
        <w:tc>
          <w:tcPr>
            <w:tcW w:w="1116" w:type="pct"/>
            <w:shd w:val="clear" w:color="auto" w:fill="auto"/>
            <w:vAlign w:val="center"/>
          </w:tcPr>
          <w:p w:rsidR="00385A9D" w:rsidRPr="004E6EDE" w:rsidRDefault="00385A9D" w:rsidP="00606FBA">
            <w:pPr>
              <w:pStyle w:val="In-tableHeading"/>
              <w:jc w:val="center"/>
              <w:rPr>
                <w:szCs w:val="20"/>
                <w:lang w:val="en-AU"/>
              </w:rPr>
            </w:pPr>
          </w:p>
        </w:tc>
        <w:tc>
          <w:tcPr>
            <w:tcW w:w="647" w:type="pct"/>
            <w:shd w:val="clear" w:color="auto" w:fill="auto"/>
            <w:vAlign w:val="center"/>
          </w:tcPr>
          <w:p w:rsidR="00385A9D" w:rsidRPr="004E6EDE" w:rsidRDefault="00385A9D" w:rsidP="00606FBA">
            <w:pPr>
              <w:pStyle w:val="In-tableHeading"/>
              <w:jc w:val="center"/>
              <w:rPr>
                <w:szCs w:val="20"/>
                <w:lang w:val="en-AU"/>
              </w:rPr>
            </w:pPr>
            <w:r w:rsidRPr="004E6EDE">
              <w:rPr>
                <w:szCs w:val="20"/>
                <w:lang w:val="en-AU"/>
              </w:rPr>
              <w:t>Year 1</w:t>
            </w:r>
          </w:p>
        </w:tc>
        <w:tc>
          <w:tcPr>
            <w:tcW w:w="647" w:type="pct"/>
            <w:shd w:val="clear" w:color="auto" w:fill="auto"/>
            <w:vAlign w:val="center"/>
          </w:tcPr>
          <w:p w:rsidR="00385A9D" w:rsidRPr="004E6EDE" w:rsidRDefault="00385A9D" w:rsidP="00606FBA">
            <w:pPr>
              <w:pStyle w:val="In-tableHeading"/>
              <w:jc w:val="center"/>
              <w:rPr>
                <w:szCs w:val="20"/>
                <w:lang w:val="en-AU"/>
              </w:rPr>
            </w:pPr>
            <w:r w:rsidRPr="004E6EDE">
              <w:rPr>
                <w:szCs w:val="20"/>
                <w:lang w:val="en-AU"/>
              </w:rPr>
              <w:t>Year 2</w:t>
            </w:r>
          </w:p>
        </w:tc>
        <w:tc>
          <w:tcPr>
            <w:tcW w:w="647" w:type="pct"/>
            <w:shd w:val="clear" w:color="auto" w:fill="auto"/>
            <w:vAlign w:val="center"/>
          </w:tcPr>
          <w:p w:rsidR="00385A9D" w:rsidRPr="004E6EDE" w:rsidRDefault="00385A9D" w:rsidP="00606FBA">
            <w:pPr>
              <w:pStyle w:val="In-tableHeading"/>
              <w:jc w:val="center"/>
              <w:rPr>
                <w:szCs w:val="20"/>
                <w:lang w:val="en-AU"/>
              </w:rPr>
            </w:pPr>
            <w:r w:rsidRPr="004E6EDE">
              <w:rPr>
                <w:szCs w:val="20"/>
                <w:lang w:val="en-AU"/>
              </w:rPr>
              <w:t>Year 3</w:t>
            </w:r>
          </w:p>
        </w:tc>
        <w:tc>
          <w:tcPr>
            <w:tcW w:w="647" w:type="pct"/>
            <w:shd w:val="clear" w:color="auto" w:fill="auto"/>
            <w:vAlign w:val="center"/>
          </w:tcPr>
          <w:p w:rsidR="00385A9D" w:rsidRPr="004E6EDE" w:rsidRDefault="00385A9D" w:rsidP="00606FBA">
            <w:pPr>
              <w:pStyle w:val="In-tableHeading"/>
              <w:jc w:val="center"/>
              <w:rPr>
                <w:szCs w:val="20"/>
                <w:lang w:val="en-AU"/>
              </w:rPr>
            </w:pPr>
            <w:r w:rsidRPr="004E6EDE">
              <w:rPr>
                <w:szCs w:val="20"/>
                <w:lang w:val="en-AU"/>
              </w:rPr>
              <w:t>Year 4</w:t>
            </w:r>
          </w:p>
        </w:tc>
        <w:tc>
          <w:tcPr>
            <w:tcW w:w="647" w:type="pct"/>
            <w:shd w:val="clear" w:color="auto" w:fill="auto"/>
            <w:vAlign w:val="center"/>
          </w:tcPr>
          <w:p w:rsidR="00385A9D" w:rsidRPr="004E6EDE" w:rsidRDefault="00385A9D" w:rsidP="00606FBA">
            <w:pPr>
              <w:pStyle w:val="In-tableHeading"/>
              <w:jc w:val="center"/>
              <w:rPr>
                <w:szCs w:val="20"/>
                <w:lang w:val="en-AU"/>
              </w:rPr>
            </w:pPr>
            <w:r w:rsidRPr="004E6EDE">
              <w:rPr>
                <w:szCs w:val="20"/>
                <w:lang w:val="en-AU"/>
              </w:rPr>
              <w:t>Year 5</w:t>
            </w:r>
          </w:p>
        </w:tc>
        <w:tc>
          <w:tcPr>
            <w:tcW w:w="649" w:type="pct"/>
          </w:tcPr>
          <w:p w:rsidR="00385A9D" w:rsidRPr="004E6EDE" w:rsidRDefault="00385A9D" w:rsidP="00606FBA">
            <w:pPr>
              <w:pStyle w:val="In-tableHeading"/>
              <w:jc w:val="center"/>
              <w:rPr>
                <w:szCs w:val="20"/>
                <w:lang w:val="en-AU"/>
              </w:rPr>
            </w:pPr>
            <w:r w:rsidRPr="004E6EDE">
              <w:rPr>
                <w:szCs w:val="20"/>
                <w:lang w:val="en-AU"/>
              </w:rPr>
              <w:t>Year 6</w:t>
            </w:r>
          </w:p>
        </w:tc>
      </w:tr>
      <w:tr w:rsidR="00385A9D" w:rsidRPr="004E6EDE" w:rsidTr="009C3A3A">
        <w:tc>
          <w:tcPr>
            <w:tcW w:w="5000" w:type="pct"/>
            <w:gridSpan w:val="7"/>
            <w:shd w:val="clear" w:color="auto" w:fill="auto"/>
            <w:vAlign w:val="center"/>
          </w:tcPr>
          <w:p w:rsidR="00385A9D" w:rsidRPr="004E6EDE" w:rsidRDefault="00385A9D" w:rsidP="00606FBA">
            <w:pPr>
              <w:pStyle w:val="In-tableHeading"/>
              <w:rPr>
                <w:bCs/>
                <w:color w:val="000000"/>
                <w:szCs w:val="20"/>
                <w:lang w:val="en-AU"/>
              </w:rPr>
            </w:pPr>
            <w:r w:rsidRPr="004E6EDE">
              <w:rPr>
                <w:bCs/>
                <w:color w:val="000000"/>
                <w:szCs w:val="20"/>
                <w:lang w:val="en-AU"/>
              </w:rPr>
              <w:t>Estimated extent of use</w:t>
            </w:r>
          </w:p>
        </w:tc>
      </w:tr>
      <w:tr w:rsidR="003531CD" w:rsidRPr="004E6EDE" w:rsidTr="00E05C48">
        <w:tc>
          <w:tcPr>
            <w:tcW w:w="1116" w:type="pct"/>
            <w:shd w:val="clear" w:color="auto" w:fill="auto"/>
            <w:vAlign w:val="center"/>
          </w:tcPr>
          <w:p w:rsidR="003531CD" w:rsidRPr="004E6EDE" w:rsidRDefault="003531CD" w:rsidP="003531CD">
            <w:pPr>
              <w:pStyle w:val="TableText0"/>
              <w:rPr>
                <w:szCs w:val="20"/>
              </w:rPr>
            </w:pPr>
            <w:r w:rsidRPr="004E6EDE">
              <w:rPr>
                <w:szCs w:val="20"/>
              </w:rPr>
              <w:t>Patients (initiation)</w:t>
            </w:r>
          </w:p>
        </w:tc>
        <w:tc>
          <w:tcPr>
            <w:tcW w:w="647" w:type="pct"/>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9" w:type="pct"/>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r>
      <w:tr w:rsidR="003531CD" w:rsidRPr="004E6EDE" w:rsidTr="0051390F">
        <w:tc>
          <w:tcPr>
            <w:tcW w:w="1116" w:type="pct"/>
            <w:shd w:val="clear" w:color="auto" w:fill="auto"/>
            <w:vAlign w:val="center"/>
          </w:tcPr>
          <w:p w:rsidR="003531CD" w:rsidRPr="004E6EDE" w:rsidRDefault="003531CD" w:rsidP="003531CD">
            <w:pPr>
              <w:pStyle w:val="TableText0"/>
              <w:rPr>
                <w:szCs w:val="20"/>
              </w:rPr>
            </w:pPr>
            <w:r w:rsidRPr="004E6EDE">
              <w:rPr>
                <w:szCs w:val="20"/>
              </w:rPr>
              <w:t>Patients (continuing)</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3531CD" w:rsidRPr="00BB6CB6" w:rsidRDefault="00BB6CB6" w:rsidP="003531CD">
            <w:pPr>
              <w:pStyle w:val="TableText0"/>
              <w:jc w:val="center"/>
              <w:rPr>
                <w:szCs w:val="20"/>
                <w:highlight w:val="black"/>
              </w:rPr>
            </w:pPr>
            <w:r>
              <w:rPr>
                <w:noProof/>
                <w:color w:val="000000"/>
                <w:szCs w:val="20"/>
                <w:highlight w:val="black"/>
              </w:rPr>
              <w:t xml:space="preserve">''''''''''''' </w:t>
            </w:r>
          </w:p>
        </w:tc>
      </w:tr>
      <w:tr w:rsidR="00BC1746" w:rsidRPr="004E6EDE" w:rsidTr="00E05C48">
        <w:tc>
          <w:tcPr>
            <w:tcW w:w="1116" w:type="pct"/>
            <w:shd w:val="clear" w:color="auto" w:fill="auto"/>
            <w:vAlign w:val="center"/>
          </w:tcPr>
          <w:p w:rsidR="00BC1746" w:rsidRPr="004E6EDE" w:rsidRDefault="00BC1746" w:rsidP="00BC1746">
            <w:pPr>
              <w:pStyle w:val="TableText0"/>
              <w:rPr>
                <w:szCs w:val="20"/>
              </w:rPr>
            </w:pPr>
            <w:r w:rsidRPr="004E6EDE">
              <w:rPr>
                <w:szCs w:val="20"/>
              </w:rPr>
              <w:t>Number of scripts dispensed</w:t>
            </w:r>
            <w:r w:rsidRPr="004E6EDE">
              <w:rPr>
                <w:szCs w:val="20"/>
                <w:vertAlign w:val="superscript"/>
              </w:rPr>
              <w:t>a</w:t>
            </w:r>
          </w:p>
        </w:tc>
        <w:tc>
          <w:tcPr>
            <w:tcW w:w="647" w:type="pct"/>
            <w:shd w:val="clear" w:color="auto" w:fill="auto"/>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c>
          <w:tcPr>
            <w:tcW w:w="647" w:type="pct"/>
            <w:shd w:val="clear" w:color="auto" w:fill="auto"/>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c>
          <w:tcPr>
            <w:tcW w:w="647" w:type="pct"/>
            <w:shd w:val="clear" w:color="auto" w:fill="auto"/>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c>
          <w:tcPr>
            <w:tcW w:w="647" w:type="pct"/>
            <w:shd w:val="clear" w:color="auto" w:fill="auto"/>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c>
          <w:tcPr>
            <w:tcW w:w="647" w:type="pct"/>
            <w:shd w:val="clear" w:color="auto" w:fill="auto"/>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c>
          <w:tcPr>
            <w:tcW w:w="649" w:type="pct"/>
            <w:vAlign w:val="center"/>
          </w:tcPr>
          <w:p w:rsidR="00BC1746" w:rsidRPr="00BB6CB6" w:rsidRDefault="00BB6CB6" w:rsidP="00BC1746">
            <w:pPr>
              <w:pStyle w:val="TableText0"/>
              <w:jc w:val="center"/>
              <w:rPr>
                <w:color w:val="000000"/>
                <w:szCs w:val="20"/>
                <w:highlight w:val="black"/>
              </w:rPr>
            </w:pPr>
            <w:r>
              <w:rPr>
                <w:noProof/>
                <w:color w:val="000000"/>
                <w:szCs w:val="20"/>
                <w:highlight w:val="black"/>
              </w:rPr>
              <w:t>''''''''''''''''</w:t>
            </w:r>
          </w:p>
        </w:tc>
      </w:tr>
      <w:tr w:rsidR="00BC1746" w:rsidRPr="004E6EDE" w:rsidTr="009C3A3A">
        <w:tc>
          <w:tcPr>
            <w:tcW w:w="5000" w:type="pct"/>
            <w:gridSpan w:val="7"/>
            <w:shd w:val="clear" w:color="auto" w:fill="auto"/>
            <w:vAlign w:val="center"/>
          </w:tcPr>
          <w:p w:rsidR="00BC1746" w:rsidRPr="004E6EDE" w:rsidRDefault="00BC1746" w:rsidP="00BC1746">
            <w:pPr>
              <w:pStyle w:val="In-tableHeading"/>
              <w:rPr>
                <w:szCs w:val="20"/>
                <w:lang w:val="en-AU"/>
              </w:rPr>
            </w:pPr>
            <w:r w:rsidRPr="004E6EDE">
              <w:rPr>
                <w:szCs w:val="20"/>
                <w:lang w:val="en-AU"/>
              </w:rPr>
              <w:t>Estimated financial implications of dupilumab at the effective price</w:t>
            </w:r>
          </w:p>
        </w:tc>
      </w:tr>
      <w:tr w:rsidR="00BC1746" w:rsidRPr="004E6EDE" w:rsidTr="00E05C48">
        <w:tc>
          <w:tcPr>
            <w:tcW w:w="1116" w:type="pct"/>
            <w:shd w:val="clear" w:color="auto" w:fill="auto"/>
            <w:vAlign w:val="center"/>
          </w:tcPr>
          <w:p w:rsidR="00BC1746" w:rsidRPr="004E6EDE" w:rsidRDefault="00BC1746" w:rsidP="00BC1746">
            <w:pPr>
              <w:pStyle w:val="TableText0"/>
              <w:rPr>
                <w:szCs w:val="20"/>
              </w:rPr>
            </w:pPr>
            <w:r w:rsidRPr="004E6EDE">
              <w:rPr>
                <w:szCs w:val="20"/>
              </w:rPr>
              <w:t>Cost to PBS/RPBS less copayments</w:t>
            </w:r>
          </w:p>
        </w:tc>
        <w:tc>
          <w:tcPr>
            <w:tcW w:w="647" w:type="pct"/>
            <w:shd w:val="clear" w:color="auto" w:fill="auto"/>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c>
          <w:tcPr>
            <w:tcW w:w="649" w:type="pct"/>
            <w:vAlign w:val="center"/>
          </w:tcPr>
          <w:p w:rsidR="00BC1746" w:rsidRPr="004E6EDE" w:rsidRDefault="00BC1746" w:rsidP="00BC1746">
            <w:pPr>
              <w:pStyle w:val="TableText0"/>
              <w:jc w:val="center"/>
              <w:rPr>
                <w:szCs w:val="20"/>
              </w:rPr>
            </w:pPr>
            <w:r w:rsidRPr="004E6EDE">
              <w:rPr>
                <w:b/>
                <w:szCs w:val="20"/>
              </w:rPr>
              <w:t>$</w:t>
            </w:r>
            <w:r w:rsidR="00BB6CB6">
              <w:rPr>
                <w:b/>
                <w:noProof/>
                <w:color w:val="000000"/>
                <w:szCs w:val="20"/>
                <w:highlight w:val="black"/>
              </w:rPr>
              <w:t>'''''''''''''''''''''</w:t>
            </w:r>
          </w:p>
        </w:tc>
      </w:tr>
      <w:tr w:rsidR="00BC1746" w:rsidRPr="004E6EDE" w:rsidTr="009C3A3A">
        <w:tc>
          <w:tcPr>
            <w:tcW w:w="5000" w:type="pct"/>
            <w:gridSpan w:val="7"/>
            <w:shd w:val="clear" w:color="auto" w:fill="auto"/>
            <w:vAlign w:val="center"/>
          </w:tcPr>
          <w:p w:rsidR="00BC1746" w:rsidRPr="004E6EDE" w:rsidRDefault="00BC1746" w:rsidP="00BC1746">
            <w:pPr>
              <w:pStyle w:val="In-tableHeading"/>
              <w:rPr>
                <w:szCs w:val="20"/>
                <w:lang w:val="en-AU"/>
              </w:rPr>
            </w:pPr>
            <w:r w:rsidRPr="004E6EDE">
              <w:rPr>
                <w:szCs w:val="20"/>
                <w:lang w:val="en-AU"/>
              </w:rPr>
              <w:t>Net financial implications</w:t>
            </w:r>
            <w:r w:rsidRPr="004E6EDE">
              <w:rPr>
                <w:color w:val="4BACC6" w:themeColor="accent5"/>
                <w:szCs w:val="20"/>
                <w:lang w:val="en-AU"/>
              </w:rPr>
              <w:t xml:space="preserve"> </w:t>
            </w:r>
          </w:p>
        </w:tc>
      </w:tr>
      <w:tr w:rsidR="00BC1746" w:rsidRPr="004E6EDE" w:rsidTr="00281E7B">
        <w:tc>
          <w:tcPr>
            <w:tcW w:w="1116" w:type="pct"/>
            <w:shd w:val="clear" w:color="auto" w:fill="auto"/>
            <w:vAlign w:val="center"/>
          </w:tcPr>
          <w:p w:rsidR="00BC1746" w:rsidRPr="004E6EDE" w:rsidRDefault="00BC1746" w:rsidP="00BC1746">
            <w:pPr>
              <w:pStyle w:val="TableText0"/>
              <w:rPr>
                <w:szCs w:val="20"/>
              </w:rPr>
            </w:pPr>
            <w:r w:rsidRPr="004E6EDE">
              <w:rPr>
                <w:szCs w:val="20"/>
              </w:rPr>
              <w:t>Net cost to PBS/RPBS</w:t>
            </w:r>
          </w:p>
        </w:tc>
        <w:tc>
          <w:tcPr>
            <w:tcW w:w="647" w:type="pct"/>
            <w:shd w:val="clear" w:color="auto" w:fill="auto"/>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c>
          <w:tcPr>
            <w:tcW w:w="649" w:type="pct"/>
            <w:vAlign w:val="center"/>
          </w:tcPr>
          <w:p w:rsidR="00BC1746" w:rsidRPr="004E6EDE" w:rsidRDefault="00BC1746" w:rsidP="00BC1746">
            <w:pPr>
              <w:pStyle w:val="TableText0"/>
              <w:jc w:val="center"/>
              <w:rPr>
                <w:szCs w:val="20"/>
              </w:rPr>
            </w:pPr>
            <w:r w:rsidRPr="004E6EDE">
              <w:rPr>
                <w:szCs w:val="20"/>
              </w:rPr>
              <w:t>$</w:t>
            </w:r>
            <w:r w:rsidR="00BB6CB6">
              <w:rPr>
                <w:noProof/>
                <w:color w:val="000000"/>
                <w:szCs w:val="20"/>
                <w:highlight w:val="black"/>
              </w:rPr>
              <w:t>'''''''''''''''''''''''''</w:t>
            </w:r>
          </w:p>
        </w:tc>
      </w:tr>
      <w:tr w:rsidR="00613E75" w:rsidRPr="004E6EDE" w:rsidTr="00F26468">
        <w:tc>
          <w:tcPr>
            <w:tcW w:w="1116" w:type="pct"/>
            <w:shd w:val="clear" w:color="auto" w:fill="auto"/>
            <w:vAlign w:val="center"/>
          </w:tcPr>
          <w:p w:rsidR="00613E75" w:rsidRPr="004E6EDE" w:rsidRDefault="00613E75" w:rsidP="00613E75">
            <w:pPr>
              <w:pStyle w:val="TableText0"/>
              <w:rPr>
                <w:szCs w:val="20"/>
              </w:rPr>
            </w:pPr>
            <w:r w:rsidRPr="004E6EDE">
              <w:rPr>
                <w:szCs w:val="20"/>
              </w:rPr>
              <w:t>Net saving to MBS</w:t>
            </w:r>
          </w:p>
        </w:tc>
        <w:tc>
          <w:tcPr>
            <w:tcW w:w="647" w:type="pct"/>
            <w:shd w:val="clear" w:color="auto" w:fill="auto"/>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c>
          <w:tcPr>
            <w:tcW w:w="647" w:type="pct"/>
            <w:shd w:val="clear" w:color="auto" w:fill="auto"/>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c>
          <w:tcPr>
            <w:tcW w:w="647" w:type="pct"/>
            <w:shd w:val="clear" w:color="auto" w:fill="auto"/>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c>
          <w:tcPr>
            <w:tcW w:w="647" w:type="pct"/>
            <w:shd w:val="clear" w:color="auto" w:fill="auto"/>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c>
          <w:tcPr>
            <w:tcW w:w="647" w:type="pct"/>
            <w:shd w:val="clear" w:color="auto" w:fill="auto"/>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c>
          <w:tcPr>
            <w:tcW w:w="649" w:type="pct"/>
            <w:vAlign w:val="bottom"/>
          </w:tcPr>
          <w:p w:rsidR="00613E75" w:rsidRPr="004E6EDE" w:rsidRDefault="00613E75" w:rsidP="00613E75">
            <w:pPr>
              <w:pStyle w:val="TableText0"/>
              <w:jc w:val="center"/>
              <w:rPr>
                <w:szCs w:val="20"/>
              </w:rPr>
            </w:pPr>
            <w:r w:rsidRPr="004E6EDE">
              <w:rPr>
                <w:rFonts w:cs="Arial"/>
                <w:color w:val="000000"/>
                <w:szCs w:val="20"/>
              </w:rPr>
              <w:t>$</w:t>
            </w:r>
            <w:r w:rsidR="00BB6CB6">
              <w:rPr>
                <w:rFonts w:cs="Arial"/>
                <w:noProof/>
                <w:color w:val="000000"/>
                <w:szCs w:val="20"/>
                <w:highlight w:val="black"/>
              </w:rPr>
              <w:t>'''''''''''''''''''''''''</w:t>
            </w:r>
          </w:p>
        </w:tc>
      </w:tr>
      <w:tr w:rsidR="00613E75" w:rsidRPr="004E6EDE" w:rsidTr="00F26468">
        <w:tc>
          <w:tcPr>
            <w:tcW w:w="1116" w:type="pct"/>
            <w:shd w:val="clear" w:color="auto" w:fill="auto"/>
            <w:vAlign w:val="center"/>
          </w:tcPr>
          <w:p w:rsidR="00613E75" w:rsidRPr="004E6EDE" w:rsidRDefault="00613E75" w:rsidP="00613E75">
            <w:pPr>
              <w:pStyle w:val="TableText0"/>
              <w:rPr>
                <w:szCs w:val="20"/>
              </w:rPr>
            </w:pPr>
            <w:r w:rsidRPr="004E6EDE">
              <w:rPr>
                <w:szCs w:val="20"/>
              </w:rPr>
              <w:t>Net cost to PBS/RPBS/MBS</w:t>
            </w:r>
          </w:p>
        </w:tc>
        <w:tc>
          <w:tcPr>
            <w:tcW w:w="647" w:type="pct"/>
            <w:shd w:val="clear" w:color="auto" w:fill="auto"/>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c>
          <w:tcPr>
            <w:tcW w:w="647" w:type="pct"/>
            <w:shd w:val="clear" w:color="auto" w:fill="auto"/>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c>
          <w:tcPr>
            <w:tcW w:w="649" w:type="pct"/>
          </w:tcPr>
          <w:p w:rsidR="00613E75" w:rsidRPr="004E6EDE" w:rsidRDefault="00613E75" w:rsidP="00613E75">
            <w:pPr>
              <w:pStyle w:val="TableText0"/>
              <w:jc w:val="center"/>
              <w:rPr>
                <w:szCs w:val="20"/>
              </w:rPr>
            </w:pPr>
            <w:r w:rsidRPr="004E6EDE">
              <w:rPr>
                <w:szCs w:val="20"/>
              </w:rPr>
              <w:t>$</w:t>
            </w:r>
            <w:r w:rsidR="00BB6CB6">
              <w:rPr>
                <w:noProof/>
                <w:color w:val="000000"/>
                <w:szCs w:val="20"/>
                <w:highlight w:val="black"/>
              </w:rPr>
              <w:t>'''''''''''''''''''''''''''''</w:t>
            </w:r>
          </w:p>
        </w:tc>
      </w:tr>
    </w:tbl>
    <w:p w:rsidR="00620C25" w:rsidRPr="00B1054A" w:rsidRDefault="00620C25" w:rsidP="00620C25">
      <w:pPr>
        <w:pStyle w:val="TableFigureFooter"/>
        <w:rPr>
          <w:rStyle w:val="CommentReference"/>
        </w:rPr>
      </w:pPr>
      <w:r w:rsidRPr="00B1054A">
        <w:t xml:space="preserve">Source: </w:t>
      </w:r>
      <w:r w:rsidR="007B2FBB" w:rsidRPr="00B1054A">
        <w:t xml:space="preserve">complied during the evaluation </w:t>
      </w:r>
    </w:p>
    <w:p w:rsidR="00E466F3" w:rsidRPr="00B1054A" w:rsidRDefault="00E466F3" w:rsidP="00606FBA">
      <w:pPr>
        <w:pStyle w:val="TableFigureFooter"/>
      </w:pPr>
      <w:r w:rsidRPr="00B1054A">
        <w:rPr>
          <w:vertAlign w:val="superscript"/>
        </w:rPr>
        <w:t>a</w:t>
      </w:r>
      <w:r w:rsidR="00606FBA" w:rsidRPr="00B1054A">
        <w:t xml:space="preserve"> </w:t>
      </w:r>
      <w:r w:rsidRPr="00B1054A">
        <w:t xml:space="preserve">Assuming </w:t>
      </w:r>
      <w:r w:rsidR="00D304E7" w:rsidRPr="00B1054A">
        <w:t>13.05</w:t>
      </w:r>
      <w:r w:rsidRPr="00B1054A">
        <w:t xml:space="preserve"> per year </w:t>
      </w:r>
      <w:r w:rsidR="00D304E7" w:rsidRPr="00B1054A">
        <w:t xml:space="preserve">for continuing patients </w:t>
      </w:r>
      <w:r w:rsidRPr="00B1054A">
        <w:t xml:space="preserve">as estimated by the </w:t>
      </w:r>
      <w:r w:rsidR="00D304E7" w:rsidRPr="00B1054A">
        <w:t>re</w:t>
      </w:r>
      <w:r w:rsidRPr="00B1054A">
        <w:t>submission.</w:t>
      </w:r>
    </w:p>
    <w:p w:rsidR="00644E1B" w:rsidRPr="00B1054A" w:rsidRDefault="00644E1B" w:rsidP="00B20399">
      <w:pPr>
        <w:pStyle w:val="3-BodyText"/>
      </w:pPr>
      <w:r w:rsidRPr="00B1054A">
        <w:t xml:space="preserve">The PBAC noted that the uptake rates </w:t>
      </w:r>
      <w:r w:rsidR="003531CD" w:rsidRPr="00B1054A">
        <w:t xml:space="preserve">of 5% in year 1, increasing to 7.5% in year 6 </w:t>
      </w:r>
      <w:r w:rsidRPr="00B1054A">
        <w:t xml:space="preserve">were applied to </w:t>
      </w:r>
      <w:r w:rsidR="002564C2">
        <w:t xml:space="preserve">the </w:t>
      </w:r>
      <w:r w:rsidR="003531CD" w:rsidRPr="00B1054A">
        <w:t>prevalent</w:t>
      </w:r>
      <w:r w:rsidR="002564C2">
        <w:t xml:space="preserve"> pool of</w:t>
      </w:r>
      <w:r w:rsidR="003531CD" w:rsidRPr="00B1054A">
        <w:t xml:space="preserve"> </w:t>
      </w:r>
      <w:r w:rsidR="007322AC">
        <w:t xml:space="preserve">eligible </w:t>
      </w:r>
      <w:r w:rsidR="003531CD" w:rsidRPr="00B1054A">
        <w:t xml:space="preserve">patients each year to calculate the </w:t>
      </w:r>
      <w:r w:rsidR="007322AC">
        <w:t xml:space="preserve">number of </w:t>
      </w:r>
      <w:r w:rsidR="003531CD" w:rsidRPr="00B1054A">
        <w:t xml:space="preserve">patients initiating treatment. When continuing patients are taken into account the </w:t>
      </w:r>
      <w:r w:rsidR="00AE5C13">
        <w:t xml:space="preserve">overall </w:t>
      </w:r>
      <w:r w:rsidR="003531CD" w:rsidRPr="00B1054A">
        <w:t xml:space="preserve">uptake </w:t>
      </w:r>
      <w:r w:rsidR="00AE5C13">
        <w:t>is</w:t>
      </w:r>
      <w:r w:rsidR="003531CD" w:rsidRPr="00B1054A">
        <w:t xml:space="preserve"> higher</w:t>
      </w:r>
      <w:r w:rsidR="00753468" w:rsidRPr="00B1054A">
        <w:t>,</w:t>
      </w:r>
      <w:r w:rsidR="003531CD" w:rsidRPr="00B1054A">
        <w:t xml:space="preserve"> </w:t>
      </w:r>
      <w:r w:rsidR="00E24C8A" w:rsidRPr="00B1054A">
        <w:t>and by year 6 continuing patients represent</w:t>
      </w:r>
      <w:r w:rsidR="00431AE1" w:rsidRPr="00B1054A">
        <w:t xml:space="preserve"> 1</w:t>
      </w:r>
      <w:r w:rsidR="00BC79B3">
        <w:t>4</w:t>
      </w:r>
      <w:r w:rsidR="00E24C8A" w:rsidRPr="00B1054A">
        <w:t>% of the eligible patients</w:t>
      </w:r>
      <w:r w:rsidR="00BC79B3">
        <w:t xml:space="preserve"> (</w:t>
      </w:r>
      <w:r w:rsidR="007701AF">
        <w:t>5,000 to &lt;</w:t>
      </w:r>
      <w:r w:rsidR="00FD7A5F">
        <w:t> </w:t>
      </w:r>
      <w:r w:rsidR="007701AF">
        <w:t xml:space="preserve">10,000 patients out of 40,000 to </w:t>
      </w:r>
      <w:r w:rsidR="00FD7A5F">
        <w:t>&lt; </w:t>
      </w:r>
      <w:r w:rsidR="007701AF">
        <w:t>50,000 patients</w:t>
      </w:r>
      <w:r w:rsidR="00BC79B3">
        <w:t>)</w:t>
      </w:r>
      <w:r w:rsidR="00AE5C13">
        <w:t>.</w:t>
      </w:r>
      <w:r w:rsidR="00332FF9">
        <w:t xml:space="preserve"> </w:t>
      </w:r>
      <w:r w:rsidR="0051390F">
        <w:t>The PBAC considered that it was reasonable that the overall uptake of dupilumab would increase in each year, accounting for both new and continuing patients. However, the PBAC considered it is not reasonable to assume the uptake rate of new patients from the prevalent pool would increase each year. The PBAC considered that</w:t>
      </w:r>
      <w:r w:rsidR="00AE5C13">
        <w:t xml:space="preserve"> the</w:t>
      </w:r>
      <w:r w:rsidR="0051390F">
        <w:t xml:space="preserve"> uptake rates of 5</w:t>
      </w:r>
      <w:r w:rsidR="00BD0D5B">
        <w:t>.5% in year 2</w:t>
      </w:r>
      <w:r w:rsidR="0051390F">
        <w:t>, increasing to 7.5% in year 6 should be applied such that they reflect the proportion of continuing patients in each year</w:t>
      </w:r>
      <w:r w:rsidR="001A492C">
        <w:t xml:space="preserve"> </w:t>
      </w:r>
      <w:r w:rsidR="00312283">
        <w:t>(</w:t>
      </w:r>
      <w:r w:rsidR="00BC79B3">
        <w:t>e.g</w:t>
      </w:r>
      <w:r w:rsidR="001A492C">
        <w:t xml:space="preserve">. </w:t>
      </w:r>
      <w:r w:rsidR="002420F5">
        <w:t>500 to &lt; </w:t>
      </w:r>
      <w:r w:rsidR="002420F5" w:rsidRPr="00477B92">
        <w:t>5,000</w:t>
      </w:r>
      <w:r w:rsidR="002420F5">
        <w:t xml:space="preserve"> </w:t>
      </w:r>
      <w:r w:rsidR="00BC79B3">
        <w:t xml:space="preserve">continuing patients in year 6 is </w:t>
      </w:r>
      <w:r w:rsidR="001A492C">
        <w:t xml:space="preserve">7.5% </w:t>
      </w:r>
      <w:r w:rsidR="00BC79B3">
        <w:t>(</w:t>
      </w:r>
      <w:r w:rsidR="007701AF">
        <w:t>500 to &lt;</w:t>
      </w:r>
      <w:r w:rsidR="0025041F">
        <w:t> </w:t>
      </w:r>
      <w:r w:rsidR="007701AF">
        <w:t xml:space="preserve">5,000 patients out of 40,000 to </w:t>
      </w:r>
      <w:r w:rsidR="0025041F">
        <w:t>&lt; </w:t>
      </w:r>
      <w:r w:rsidR="007701AF">
        <w:t>50,000 patients</w:t>
      </w:r>
      <w:r w:rsidR="00BC79B3">
        <w:t xml:space="preserve">) </w:t>
      </w:r>
      <w:r w:rsidR="001A492C">
        <w:t xml:space="preserve">of </w:t>
      </w:r>
      <w:r w:rsidR="00BC79B3">
        <w:t xml:space="preserve">the </w:t>
      </w:r>
      <w:r w:rsidR="00312283">
        <w:t>eligible patients)</w:t>
      </w:r>
      <w:r w:rsidR="0051390F">
        <w:t>.</w:t>
      </w:r>
      <w:r w:rsidR="00E24C8A" w:rsidRPr="00B1054A">
        <w:t xml:space="preserve"> </w:t>
      </w:r>
    </w:p>
    <w:p w:rsidR="000902D9" w:rsidRPr="00B1054A" w:rsidRDefault="000902D9" w:rsidP="0051390F">
      <w:pPr>
        <w:pStyle w:val="3-BodyText"/>
      </w:pPr>
      <w:r w:rsidRPr="00B1054A">
        <w:t xml:space="preserve">The total cost to the PBS/RPBS of listing </w:t>
      </w:r>
      <w:r w:rsidR="00B20399" w:rsidRPr="00B1054A">
        <w:t>dupilumab</w:t>
      </w:r>
      <w:r w:rsidRPr="00B1054A">
        <w:t xml:space="preserve"> was estimated</w:t>
      </w:r>
      <w:r w:rsidR="00AE5C13">
        <w:t xml:space="preserve"> in the resubmission</w:t>
      </w:r>
      <w:r w:rsidRPr="00B1054A">
        <w:t xml:space="preserve"> </w:t>
      </w:r>
      <w:r w:rsidR="00A05C32" w:rsidRPr="00B1054A">
        <w:t>to be</w:t>
      </w:r>
      <w:r w:rsidRPr="00B1054A">
        <w:t xml:space="preserve"> </w:t>
      </w:r>
      <w:r w:rsidR="00223B9F">
        <w:t>$80 million to &lt;</w:t>
      </w:r>
      <w:r w:rsidR="00097058">
        <w:t> </w:t>
      </w:r>
      <w:r w:rsidR="00223B9F">
        <w:t xml:space="preserve">$90 million </w:t>
      </w:r>
      <w:r w:rsidRPr="00B1054A">
        <w:t xml:space="preserve">in Year 6, and a total of </w:t>
      </w:r>
      <w:r w:rsidR="00223B9F">
        <w:t>$300 million to &lt;</w:t>
      </w:r>
      <w:r w:rsidR="00097058">
        <w:t> </w:t>
      </w:r>
      <w:r w:rsidR="00223B9F">
        <w:t xml:space="preserve">$400 million </w:t>
      </w:r>
      <w:r w:rsidRPr="00B1054A">
        <w:t xml:space="preserve">in the first 6 years of listing. </w:t>
      </w:r>
      <w:r w:rsidR="00B20399" w:rsidRPr="00B1054A">
        <w:t xml:space="preserve">This includes </w:t>
      </w:r>
      <w:r w:rsidR="00142CE0">
        <w:t>500 to &lt;</w:t>
      </w:r>
      <w:r w:rsidR="00097058">
        <w:t> </w:t>
      </w:r>
      <w:r w:rsidR="00142CE0">
        <w:t xml:space="preserve">5,000 </w:t>
      </w:r>
      <w:r w:rsidR="00B20399" w:rsidRPr="00B1054A">
        <w:t>grandfathered patients who are assumed to continue treatment according to the proportions reported for “Continuing patients treatment persistence” in Table 19.</w:t>
      </w:r>
      <w:r w:rsidR="0051390F">
        <w:t xml:space="preserve"> </w:t>
      </w:r>
    </w:p>
    <w:p w:rsidR="00613E75" w:rsidRPr="00B1054A" w:rsidRDefault="00B20399" w:rsidP="00753E9E">
      <w:pPr>
        <w:pStyle w:val="3-BodyText"/>
      </w:pPr>
      <w:r w:rsidRPr="00B1054A">
        <w:t xml:space="preserve">The </w:t>
      </w:r>
      <w:r w:rsidR="00753E9E" w:rsidRPr="00B1054A">
        <w:t xml:space="preserve">evaluation noted that </w:t>
      </w:r>
      <w:r w:rsidR="00482E55">
        <w:t xml:space="preserve">the </w:t>
      </w:r>
      <w:r w:rsidRPr="00B1054A">
        <w:t xml:space="preserve">estimates </w:t>
      </w:r>
      <w:r w:rsidR="00753E9E" w:rsidRPr="00B1054A">
        <w:t>may be</w:t>
      </w:r>
      <w:r w:rsidR="002F58AF" w:rsidRPr="00B1054A">
        <w:t xml:space="preserve"> </w:t>
      </w:r>
      <w:r w:rsidRPr="00B1054A">
        <w:t>underestimate</w:t>
      </w:r>
      <w:r w:rsidR="002F58AF" w:rsidRPr="00B1054A">
        <w:t>d</w:t>
      </w:r>
      <w:r w:rsidRPr="00B1054A">
        <w:t xml:space="preserve"> as</w:t>
      </w:r>
      <w:r w:rsidR="00753E9E" w:rsidRPr="00B1054A">
        <w:t xml:space="preserve"> t</w:t>
      </w:r>
      <w:r w:rsidRPr="00B1054A">
        <w:t>he resubmission d</w:t>
      </w:r>
      <w:r w:rsidR="00482E55">
        <w:t>id</w:t>
      </w:r>
      <w:r w:rsidRPr="00B1054A">
        <w:t xml:space="preserve"> not account for patients with severe face</w:t>
      </w:r>
      <w:r w:rsidR="00644E1B" w:rsidRPr="00B1054A">
        <w:t xml:space="preserve"> or</w:t>
      </w:r>
      <w:r w:rsidRPr="00B1054A">
        <w:t xml:space="preserve"> hand</w:t>
      </w:r>
      <w:r w:rsidR="00753E9E" w:rsidRPr="00B1054A">
        <w:t xml:space="preserve"> </w:t>
      </w:r>
      <w:r w:rsidRPr="00B1054A">
        <w:t>AD</w:t>
      </w:r>
      <w:r w:rsidR="00753E9E" w:rsidRPr="00B1054A">
        <w:t xml:space="preserve"> and s</w:t>
      </w:r>
      <w:r w:rsidR="00613E75" w:rsidRPr="00B1054A">
        <w:t xml:space="preserve">ome of the inputs relating to patient eligibility </w:t>
      </w:r>
      <w:r w:rsidR="00D30CA6" w:rsidRPr="00B1054A">
        <w:t>may be</w:t>
      </w:r>
      <w:r w:rsidR="00613E75" w:rsidRPr="00B1054A">
        <w:t xml:space="preserve"> underestimated.</w:t>
      </w:r>
      <w:r w:rsidR="00753E9E" w:rsidRPr="00B1054A">
        <w:t xml:space="preserve"> </w:t>
      </w:r>
    </w:p>
    <w:p w:rsidR="00D36056" w:rsidRPr="00B1054A" w:rsidRDefault="001033C4" w:rsidP="00D36056">
      <w:pPr>
        <w:pStyle w:val="3-BodyText"/>
      </w:pPr>
      <w:r w:rsidRPr="00B1054A">
        <w:t xml:space="preserve">The PSCR noted that patients </w:t>
      </w:r>
      <w:r w:rsidR="00C65A63" w:rsidRPr="00B1054A">
        <w:t xml:space="preserve">with severe AD of the face and hands only were included in the survey on which estimates of prevalence were based. However, the financial estimates provide prevalence of AD of 9% and assume 5% are severe and 95% of severe meet the EASI ≥20 criteria. Patients with face and hands only affected may not have an EASI score ≥20, so </w:t>
      </w:r>
      <w:r w:rsidR="0032500D" w:rsidRPr="00B1054A">
        <w:t xml:space="preserve">may </w:t>
      </w:r>
      <w:r w:rsidR="00C65A63" w:rsidRPr="00B1054A">
        <w:t>not be accounted for in the financial estimates.</w:t>
      </w:r>
    </w:p>
    <w:p w:rsidR="00D36056" w:rsidRPr="00B1054A" w:rsidRDefault="00D36056" w:rsidP="00D36056">
      <w:pPr>
        <w:pStyle w:val="3-BodyText"/>
      </w:pPr>
      <w:r w:rsidRPr="00B1054A">
        <w:t>The ESC noted that it was unclear how many patients would re-engage with specialist care if dupilumab is listed.</w:t>
      </w:r>
    </w:p>
    <w:p w:rsidR="00B20399" w:rsidRPr="00B1054A" w:rsidRDefault="00D36056" w:rsidP="00164436">
      <w:pPr>
        <w:pStyle w:val="3-BodyText"/>
      </w:pPr>
      <w:r w:rsidRPr="00B1054A">
        <w:lastRenderedPageBreak/>
        <w:t>The ESC noted that net cost savings were driven by reduced phototherapy costs and considered that these cost savings were not consistent with current MBS costs for phototherapy items and were overestimated.</w:t>
      </w:r>
    </w:p>
    <w:p w:rsidR="00085053" w:rsidRPr="00B1054A" w:rsidRDefault="009977D1" w:rsidP="00085053">
      <w:pPr>
        <w:pStyle w:val="3-BodyText"/>
      </w:pPr>
      <w:r w:rsidRPr="00B1054A">
        <w:t>The PBAC considered there</w:t>
      </w:r>
      <w:r w:rsidR="009B7678" w:rsidRPr="00B1054A">
        <w:t xml:space="preserve"> is potential for substantial use beyond the requested restriction to those with less severe AD, those with comorbid conditions such as asthma, those with reduced QoL due to overly complex topical regimens. </w:t>
      </w:r>
      <w:r w:rsidRPr="00B1054A">
        <w:t>Regarding this</w:t>
      </w:r>
      <w:r w:rsidR="009B7678" w:rsidRPr="00B1054A">
        <w:t xml:space="preserve"> concern</w:t>
      </w:r>
      <w:r w:rsidRPr="00B1054A">
        <w:t xml:space="preserve"> the PBAC noted</w:t>
      </w:r>
      <w:r w:rsidR="009B7678" w:rsidRPr="00B1054A">
        <w:t xml:space="preserve"> recent changes to the dupilumab TGA-approved indications </w:t>
      </w:r>
      <w:r w:rsidRPr="00B1054A">
        <w:t>to</w:t>
      </w:r>
      <w:r w:rsidR="009B7678" w:rsidRPr="00B1054A">
        <w:t xml:space="preserve"> include </w:t>
      </w:r>
      <w:r w:rsidR="00080A6E">
        <w:t xml:space="preserve">use in </w:t>
      </w:r>
      <w:r w:rsidR="009B7678" w:rsidRPr="00B1054A">
        <w:t>patients with asthma.</w:t>
      </w:r>
    </w:p>
    <w:p w:rsidR="00576972" w:rsidRPr="00B1054A" w:rsidRDefault="00576972" w:rsidP="00606FBA">
      <w:pPr>
        <w:pStyle w:val="4-SubsectionHeading"/>
      </w:pPr>
      <w:bookmarkStart w:id="45" w:name="_Toc22897649"/>
      <w:bookmarkStart w:id="46" w:name="_Toc30593003"/>
      <w:r w:rsidRPr="00B1054A">
        <w:t>Financial Management – Risk Sharing Arrangements</w:t>
      </w:r>
      <w:bookmarkEnd w:id="45"/>
      <w:bookmarkEnd w:id="46"/>
    </w:p>
    <w:p w:rsidR="00576972" w:rsidRPr="00B1054A" w:rsidRDefault="00BF1390" w:rsidP="00F61C18">
      <w:pPr>
        <w:pStyle w:val="ListParagraph"/>
        <w:numPr>
          <w:ilvl w:val="1"/>
          <w:numId w:val="1"/>
        </w:numPr>
      </w:pPr>
      <w:r w:rsidRPr="00B1054A">
        <w:t>The resubmission state</w:t>
      </w:r>
      <w:r w:rsidR="002F58AF" w:rsidRPr="00B1054A">
        <w:t>d</w:t>
      </w:r>
      <w:r w:rsidRPr="00B1054A">
        <w:t xml:space="preserve"> that the sponsor is willing to negotiate a RSA. No further details </w:t>
      </w:r>
      <w:r w:rsidR="002F58AF" w:rsidRPr="00B1054A">
        <w:t xml:space="preserve">were </w:t>
      </w:r>
      <w:r w:rsidRPr="00B1054A">
        <w:t>provided.</w:t>
      </w:r>
    </w:p>
    <w:p w:rsidR="00C36B4B" w:rsidRPr="00B1054A" w:rsidRDefault="00C36B4B" w:rsidP="00C36B4B">
      <w:pPr>
        <w:pStyle w:val="BodyText1"/>
        <w:rPr>
          <w:i/>
          <w:sz w:val="24"/>
          <w:szCs w:val="24"/>
        </w:rPr>
      </w:pPr>
      <w:r w:rsidRPr="00B1054A">
        <w:rPr>
          <w:i/>
          <w:sz w:val="24"/>
          <w:szCs w:val="24"/>
        </w:rPr>
        <w:t>For more detail on PBAC’s view, see section 7 PBAC outcome.</w:t>
      </w:r>
    </w:p>
    <w:p w:rsidR="00A11B8B" w:rsidRPr="00B1054A" w:rsidRDefault="00A11B8B" w:rsidP="00A11B8B">
      <w:pPr>
        <w:pStyle w:val="2-SectionHeading"/>
        <w:numPr>
          <w:ilvl w:val="0"/>
          <w:numId w:val="1"/>
        </w:numPr>
      </w:pPr>
      <w:r w:rsidRPr="00B1054A">
        <w:t>PBAC Outcome</w:t>
      </w:r>
    </w:p>
    <w:p w:rsidR="00E7377B" w:rsidRPr="00B1054A" w:rsidRDefault="00E7377B" w:rsidP="00482E55">
      <w:pPr>
        <w:widowControl w:val="0"/>
        <w:numPr>
          <w:ilvl w:val="1"/>
          <w:numId w:val="1"/>
        </w:numPr>
        <w:spacing w:after="120"/>
      </w:pPr>
      <w:r w:rsidRPr="00B1054A">
        <w:t>The PBAC recommended the listing of dupilumab for the treatment of patients</w:t>
      </w:r>
      <w:r w:rsidR="006F7F29">
        <w:t xml:space="preserve"> aged 12 years and older</w:t>
      </w:r>
      <w:r w:rsidRPr="00B1054A">
        <w:t xml:space="preserve"> with severe atopic dermatitis</w:t>
      </w:r>
      <w:r w:rsidR="00482E55">
        <w:t xml:space="preserve"> (AD)</w:t>
      </w:r>
      <w:r w:rsidRPr="00B1054A">
        <w:t xml:space="preserve"> who are inadequately controlled on topical therapies. The PBAC has previously acknowledged the </w:t>
      </w:r>
      <w:r w:rsidR="003C1A43">
        <w:t>significant reduction in the extent of disease and improved patient quality of life with</w:t>
      </w:r>
      <w:r w:rsidRPr="00B1054A">
        <w:t xml:space="preserve"> dupilumab</w:t>
      </w:r>
      <w:r w:rsidR="00482E55">
        <w:t xml:space="preserve"> over standard of care</w:t>
      </w:r>
      <w:r w:rsidRPr="00B1054A">
        <w:t xml:space="preserve"> in a therapeutic area of high clinical need. The PBAC considered that the proposed measures of disease assessment were adequately addressed in the resubmission. </w:t>
      </w:r>
      <w:r w:rsidR="003C1A43" w:rsidRPr="00B1054A">
        <w:t xml:space="preserve">The PBAC </w:t>
      </w:r>
      <w:r w:rsidR="003C1A43">
        <w:t xml:space="preserve">considered that the incremental cost effectiveness ratio (ICER) was likely underestimated in the resubmission and that this could be addressed with a reduced effective price. The PBAC </w:t>
      </w:r>
      <w:r w:rsidR="00C2299D">
        <w:t>considered</w:t>
      </w:r>
      <w:r w:rsidR="003C1A43">
        <w:t xml:space="preserve"> the </w:t>
      </w:r>
      <w:r w:rsidR="003C1A43" w:rsidRPr="00B1054A">
        <w:t xml:space="preserve">potential for use </w:t>
      </w:r>
      <w:r w:rsidR="003C1A43">
        <w:t xml:space="preserve">of dupilumab </w:t>
      </w:r>
      <w:r w:rsidR="003C1A43" w:rsidRPr="00B1054A">
        <w:t xml:space="preserve">outside the proposed restriction could be </w:t>
      </w:r>
      <w:r w:rsidR="003C1A43">
        <w:t>managed</w:t>
      </w:r>
      <w:r w:rsidR="003C1A43" w:rsidRPr="00B1054A">
        <w:t xml:space="preserve"> through a risk sharing arrangement.</w:t>
      </w:r>
    </w:p>
    <w:p w:rsidR="00371307" w:rsidRPr="00B1054A" w:rsidRDefault="00371307" w:rsidP="00371307">
      <w:pPr>
        <w:widowControl w:val="0"/>
        <w:numPr>
          <w:ilvl w:val="1"/>
          <w:numId w:val="1"/>
        </w:numPr>
        <w:spacing w:after="120"/>
        <w:rPr>
          <w:rFonts w:asciiTheme="minorHAnsi" w:hAnsiTheme="minorHAnsi"/>
          <w:bCs/>
        </w:rPr>
      </w:pPr>
      <w:r w:rsidRPr="00B1054A">
        <w:t xml:space="preserve">The PBAC acknowledged there is significant disease burden from AD and a high clinical need for effective treatments for severe AD. The PBAC noted the </w:t>
      </w:r>
      <w:r w:rsidR="009D6159" w:rsidRPr="00B1054A">
        <w:t xml:space="preserve">considerable </w:t>
      </w:r>
      <w:r w:rsidRPr="00B1054A">
        <w:t xml:space="preserve">number of consumer comments from professionals and individuals which reflected the substantial impact AD has on patients’ physical and emotional wellbeing and the financial impact of AD and existing treatments for patients and their families. The PBAC also noted the support for the PBS listing of dupilumab from several professional organisations and patient representative organisations which reflected the same considerations as </w:t>
      </w:r>
      <w:r w:rsidR="008B6FC8" w:rsidRPr="00B1054A">
        <w:t xml:space="preserve">provided in </w:t>
      </w:r>
      <w:r w:rsidRPr="00B1054A">
        <w:t>the consumer comments.</w:t>
      </w:r>
    </w:p>
    <w:p w:rsidR="0035050D" w:rsidRPr="00B1054A" w:rsidRDefault="00DF5F1B" w:rsidP="00DF5F1B">
      <w:pPr>
        <w:widowControl w:val="0"/>
        <w:numPr>
          <w:ilvl w:val="1"/>
          <w:numId w:val="1"/>
        </w:numPr>
        <w:spacing w:after="120"/>
      </w:pPr>
      <w:r w:rsidRPr="00B1054A">
        <w:t xml:space="preserve">The PBAC noted that the resubmission proposed </w:t>
      </w:r>
      <w:r w:rsidR="009E3560" w:rsidRPr="00B1054A">
        <w:t xml:space="preserve">revised </w:t>
      </w:r>
      <w:r w:rsidRPr="00B1054A">
        <w:t>measures of disease assessment for initiation and continuation of treatment</w:t>
      </w:r>
      <w:r w:rsidR="008B6FC8" w:rsidRPr="00B1054A">
        <w:t xml:space="preserve"> compared with previous submissions</w:t>
      </w:r>
      <w:r w:rsidRPr="00B1054A">
        <w:t xml:space="preserve">. The resubmission proposed </w:t>
      </w:r>
      <w:r w:rsidR="00AC0703" w:rsidRPr="00B1054A">
        <w:t>initial</w:t>
      </w:r>
      <w:r w:rsidRPr="00B1054A">
        <w:t xml:space="preserve"> assessment of disease severity based on both the PGA and EASI scores, consistent with the clinical trial inclusion criteria. The PBAC noted that this was consistent with </w:t>
      </w:r>
      <w:r w:rsidR="0035050D" w:rsidRPr="00B1054A">
        <w:t xml:space="preserve">its </w:t>
      </w:r>
      <w:r w:rsidRPr="00B1054A">
        <w:t>previous advice (</w:t>
      </w:r>
      <w:r w:rsidR="003E533B" w:rsidRPr="00B1054A">
        <w:t xml:space="preserve">paragraph 7.4 </w:t>
      </w:r>
      <w:r w:rsidR="003E533B" w:rsidRPr="00B1054A">
        <w:rPr>
          <w:rFonts w:cstheme="minorHAnsi"/>
        </w:rPr>
        <w:t>dupilumab, PSD, July 2019 PBAC meeting</w:t>
      </w:r>
      <w:r w:rsidRPr="00B1054A">
        <w:t xml:space="preserve">) and considered this was appropriate. </w:t>
      </w:r>
    </w:p>
    <w:p w:rsidR="00DF5F1B" w:rsidRPr="00B1054A" w:rsidRDefault="00DF5F1B" w:rsidP="00DF5F1B">
      <w:pPr>
        <w:widowControl w:val="0"/>
        <w:numPr>
          <w:ilvl w:val="1"/>
          <w:numId w:val="1"/>
        </w:numPr>
        <w:spacing w:after="120"/>
      </w:pPr>
      <w:r w:rsidRPr="00B1054A">
        <w:lastRenderedPageBreak/>
        <w:t xml:space="preserve">The resubmission defined response and eligibility criteria for continuing treatment as an EASI-50 (50% improvement in EASI) AND DLQI improvement of ≥4 points (DLQI 4) based on a series of post-hoc sub-group analyses and the impact of changing the definition of response on the ICER. </w:t>
      </w:r>
      <w:r w:rsidR="0035050D" w:rsidRPr="00B1054A">
        <w:t xml:space="preserve">The PBAC noted </w:t>
      </w:r>
      <w:r w:rsidRPr="00B1054A">
        <w:t>that EASI-75 was the primary or co-primary outcome of most trials and was the basis of the clinical claim</w:t>
      </w:r>
      <w:r w:rsidR="00AC0703" w:rsidRPr="00B1054A">
        <w:t xml:space="preserve">, however </w:t>
      </w:r>
      <w:r w:rsidR="009E3560" w:rsidRPr="00B1054A">
        <w:t>also</w:t>
      </w:r>
      <w:r w:rsidR="00450A89" w:rsidRPr="00B1054A">
        <w:t xml:space="preserve"> noted that dupilumab demonstrated statistically significant improvements over SoC across both measures</w:t>
      </w:r>
      <w:r w:rsidRPr="00B1054A">
        <w:t xml:space="preserve">. The ESC noted that using a marker of lesions and patient impact for continuing criteria is broadly consistent with Australian consensus guidelines. The </w:t>
      </w:r>
      <w:r w:rsidR="00AC0703" w:rsidRPr="00B1054A">
        <w:t>PBAC agreed with the ESC that</w:t>
      </w:r>
      <w:r w:rsidRPr="00B1054A">
        <w:t xml:space="preserve"> the proposed approach is likely to be clinically reasonable and ab</w:t>
      </w:r>
      <w:r w:rsidR="008B6FC8" w:rsidRPr="00B1054A">
        <w:t xml:space="preserve">le to capture patients with a meaningful </w:t>
      </w:r>
      <w:r w:rsidRPr="00B1054A">
        <w:t xml:space="preserve">response to treatment. </w:t>
      </w:r>
    </w:p>
    <w:p w:rsidR="00FB6741" w:rsidRPr="00B1054A" w:rsidRDefault="00FB6741" w:rsidP="00A63A73">
      <w:pPr>
        <w:widowControl w:val="0"/>
        <w:numPr>
          <w:ilvl w:val="1"/>
          <w:numId w:val="1"/>
        </w:numPr>
        <w:spacing w:after="120"/>
      </w:pPr>
      <w:r w:rsidRPr="00B1054A">
        <w:t xml:space="preserve">The PBAC noted </w:t>
      </w:r>
      <w:r w:rsidR="00DE266C" w:rsidRPr="00B1054A">
        <w:t xml:space="preserve">the </w:t>
      </w:r>
      <w:r w:rsidRPr="00B1054A">
        <w:t>resubmission proposed an additional initial and continuing restriction for patients with chronic severe AD on the face and hands</w:t>
      </w:r>
      <w:r w:rsidR="00DE266C" w:rsidRPr="00B1054A">
        <w:t>, which was</w:t>
      </w:r>
      <w:r w:rsidRPr="00B1054A">
        <w:t xml:space="preserve"> not considered in the previous submissions. The sponsor argued that these patients would not be eligible for treatment under the original restriction due to the relatively small body surface involved but that severe lesions in these specific areas have a significant impact on patients’ quality of life. </w:t>
      </w:r>
      <w:r w:rsidR="002A0C2F" w:rsidRPr="00B1054A">
        <w:t xml:space="preserve">The PBAC agreed with the ESC </w:t>
      </w:r>
      <w:r w:rsidR="0053626B" w:rsidRPr="00B1054A">
        <w:t xml:space="preserve">that this additional listing may be clinically appropriate and </w:t>
      </w:r>
      <w:r w:rsidR="002A0C2F" w:rsidRPr="00B1054A">
        <w:t xml:space="preserve">that the listing should include improvement in DLQI as a criterion for continuing treatment. </w:t>
      </w:r>
    </w:p>
    <w:p w:rsidR="002A0C2F" w:rsidRPr="00B1054A" w:rsidRDefault="002A0C2F" w:rsidP="00A63A73">
      <w:pPr>
        <w:widowControl w:val="0"/>
        <w:numPr>
          <w:ilvl w:val="1"/>
          <w:numId w:val="1"/>
        </w:numPr>
        <w:spacing w:after="120"/>
      </w:pPr>
      <w:r w:rsidRPr="00B1054A">
        <w:rPr>
          <w:rFonts w:cstheme="minorHAnsi"/>
        </w:rPr>
        <w:t xml:space="preserve">The PBAC noted that the TGA registered indication has been expanded to include patients aged </w:t>
      </w:r>
      <w:r w:rsidRPr="00B1054A">
        <w:t>12 years and older</w:t>
      </w:r>
      <w:r w:rsidR="004B67EF">
        <w:t xml:space="preserve">, and considered </w:t>
      </w:r>
      <w:r w:rsidRPr="00B1054A">
        <w:t xml:space="preserve">the </w:t>
      </w:r>
      <w:r w:rsidR="004B67EF">
        <w:t xml:space="preserve">proposed </w:t>
      </w:r>
      <w:r w:rsidRPr="00B1054A">
        <w:t xml:space="preserve">listing should </w:t>
      </w:r>
      <w:r w:rsidR="004B67EF">
        <w:t>be consistent</w:t>
      </w:r>
      <w:r w:rsidR="0028067A">
        <w:t xml:space="preserve"> with the TGA registered </w:t>
      </w:r>
      <w:r w:rsidR="0028067A" w:rsidRPr="008F1540">
        <w:t>indication</w:t>
      </w:r>
      <w:r w:rsidR="004B67EF" w:rsidRPr="008F1540">
        <w:t xml:space="preserve">. </w:t>
      </w:r>
      <w:r w:rsidR="008F1540" w:rsidRPr="008F1540">
        <w:t xml:space="preserve">The PBAC noted that for patients 12 to 17 years of age, the recommended every other week dose is 200 mg (&lt;60 kg) or 300 mg (≥60 kg). The PBAC recommended that the 200 mg strength should also be listed, noting only the 300 mg strength was requested for listing.  </w:t>
      </w:r>
    </w:p>
    <w:p w:rsidR="006C2400" w:rsidRPr="00B1054A" w:rsidRDefault="009D6159" w:rsidP="00A63A73">
      <w:pPr>
        <w:widowControl w:val="0"/>
        <w:numPr>
          <w:ilvl w:val="1"/>
          <w:numId w:val="1"/>
        </w:numPr>
        <w:spacing w:after="120"/>
      </w:pPr>
      <w:r w:rsidRPr="00B1054A">
        <w:t xml:space="preserve">The PBAC considered that the main comparator, SoC, remained appropriate and </w:t>
      </w:r>
      <w:r w:rsidR="00C332A9" w:rsidRPr="00B1054A">
        <w:t xml:space="preserve">noted </w:t>
      </w:r>
      <w:r w:rsidRPr="00B1054A">
        <w:t xml:space="preserve">that no additional data were available to further inform the comparison </w:t>
      </w:r>
      <w:r w:rsidR="00C332A9" w:rsidRPr="00B1054A">
        <w:t xml:space="preserve">with </w:t>
      </w:r>
      <w:r w:rsidRPr="00B1054A">
        <w:t>CsA.</w:t>
      </w:r>
    </w:p>
    <w:p w:rsidR="00B27313" w:rsidRPr="00B1054A" w:rsidRDefault="00C332A9" w:rsidP="00AA092F">
      <w:pPr>
        <w:widowControl w:val="0"/>
        <w:numPr>
          <w:ilvl w:val="1"/>
          <w:numId w:val="1"/>
        </w:numPr>
        <w:spacing w:after="120"/>
      </w:pPr>
      <w:r w:rsidRPr="00B1054A">
        <w:rPr>
          <w:rFonts w:asciiTheme="minorHAnsi" w:hAnsiTheme="minorHAnsi"/>
          <w:bCs/>
          <w:snapToGrid w:val="0"/>
        </w:rPr>
        <w:t xml:space="preserve">The PBAC noted that no additional trial data were available, however </w:t>
      </w:r>
      <w:r w:rsidR="00C05050" w:rsidRPr="00B1054A">
        <w:rPr>
          <w:rFonts w:asciiTheme="minorHAnsi" w:hAnsiTheme="minorHAnsi"/>
          <w:bCs/>
          <w:snapToGrid w:val="0"/>
        </w:rPr>
        <w:t>post</w:t>
      </w:r>
      <w:r w:rsidR="00C05050">
        <w:rPr>
          <w:rFonts w:asciiTheme="minorHAnsi" w:hAnsiTheme="minorHAnsi"/>
          <w:bCs/>
          <w:snapToGrid w:val="0"/>
        </w:rPr>
        <w:t>-</w:t>
      </w:r>
      <w:r w:rsidRPr="00B1054A">
        <w:rPr>
          <w:rFonts w:asciiTheme="minorHAnsi" w:hAnsiTheme="minorHAnsi"/>
          <w:bCs/>
          <w:snapToGrid w:val="0"/>
        </w:rPr>
        <w:t>hoc analyses of responders according to the proposed criteria for continuing treatment were provided</w:t>
      </w:r>
      <w:r w:rsidR="00B27313" w:rsidRPr="00B1054A">
        <w:rPr>
          <w:rFonts w:asciiTheme="minorHAnsi" w:hAnsiTheme="minorHAnsi"/>
          <w:bCs/>
          <w:snapToGrid w:val="0"/>
        </w:rPr>
        <w:t xml:space="preserve"> in the resubmission</w:t>
      </w:r>
      <w:r w:rsidRPr="00B1054A">
        <w:rPr>
          <w:rFonts w:asciiTheme="minorHAnsi" w:hAnsiTheme="minorHAnsi"/>
          <w:bCs/>
          <w:snapToGrid w:val="0"/>
        </w:rPr>
        <w:t xml:space="preserve">. </w:t>
      </w:r>
      <w:r w:rsidR="00166FEB" w:rsidRPr="00B1054A">
        <w:rPr>
          <w:rFonts w:asciiTheme="minorHAnsi" w:hAnsiTheme="minorHAnsi"/>
          <w:bCs/>
          <w:snapToGrid w:val="0"/>
        </w:rPr>
        <w:t xml:space="preserve">The PBAC </w:t>
      </w:r>
      <w:r w:rsidR="00166FEB" w:rsidRPr="00B1054A">
        <w:t xml:space="preserve">noted that post-hoc sub-group data indicated statistically significant results in favour of dupilumab in the PGA=4 and EASI </w:t>
      </w:r>
      <w:r w:rsidR="00166FEB" w:rsidRPr="00B1054A">
        <w:rPr>
          <w:rFonts w:cs="Calibri"/>
        </w:rPr>
        <w:t>≥</w:t>
      </w:r>
      <w:r w:rsidR="00166FEB" w:rsidRPr="00B1054A">
        <w:t xml:space="preserve">20 sub-group of interest for a range of relevant DLQI, EASI and/or PGA outcomes. </w:t>
      </w:r>
      <w:r w:rsidR="00B27313" w:rsidRPr="00B1054A">
        <w:rPr>
          <w:rFonts w:asciiTheme="minorHAnsi" w:hAnsiTheme="minorHAnsi"/>
          <w:bCs/>
          <w:snapToGrid w:val="0"/>
        </w:rPr>
        <w:t xml:space="preserve">The PBAC noted that estimates of the number </w:t>
      </w:r>
      <w:r w:rsidR="00B27313" w:rsidRPr="00B1054A">
        <w:t xml:space="preserve">of patients who were responders at both week 16 and week 44 were based on </w:t>
      </w:r>
      <w:r w:rsidR="00DE266C" w:rsidRPr="00B1054A">
        <w:t xml:space="preserve">data </w:t>
      </w:r>
      <w:r w:rsidR="00B27313" w:rsidRPr="00B1054A">
        <w:t>from the CHRONOS trial</w:t>
      </w:r>
      <w:r w:rsidR="00DE266C" w:rsidRPr="00B1054A">
        <w:t xml:space="preserve"> only</w:t>
      </w:r>
      <w:r w:rsidR="003C0F58" w:rsidRPr="00B1054A">
        <w:t xml:space="preserve">. </w:t>
      </w:r>
      <w:r w:rsidR="0053626B" w:rsidRPr="00B1054A">
        <w:t>In these analyses week 44 response was</w:t>
      </w:r>
      <w:r w:rsidR="003C0F58" w:rsidRPr="00B1054A">
        <w:t xml:space="preserve"> conditional on response at week 16 </w:t>
      </w:r>
      <w:r w:rsidR="0053626B" w:rsidRPr="00B1054A">
        <w:t xml:space="preserve">and as such </w:t>
      </w:r>
      <w:r w:rsidR="003C0F58" w:rsidRPr="00B1054A">
        <w:t xml:space="preserve">these estimates were not based on a randomised comparison </w:t>
      </w:r>
      <w:r w:rsidR="00B27313" w:rsidRPr="00B1054A">
        <w:t xml:space="preserve">and </w:t>
      </w:r>
      <w:r w:rsidR="003C0F58" w:rsidRPr="00B1054A">
        <w:t xml:space="preserve">the PBAC considered they </w:t>
      </w:r>
      <w:r w:rsidR="00B27313" w:rsidRPr="00B1054A">
        <w:t xml:space="preserve">were much less robust than the </w:t>
      </w:r>
      <w:r w:rsidR="003C0F58" w:rsidRPr="00B1054A">
        <w:t>whole of trial</w:t>
      </w:r>
      <w:r w:rsidR="00B27313" w:rsidRPr="00B1054A">
        <w:t xml:space="preserve"> response rates. </w:t>
      </w:r>
      <w:r w:rsidR="003C0F58" w:rsidRPr="00B1054A">
        <w:t xml:space="preserve">The PBAC noted that </w:t>
      </w:r>
      <w:r w:rsidR="0086323A" w:rsidRPr="00B1054A">
        <w:t xml:space="preserve">for the conditional response rates, for dupilumab versus placebo </w:t>
      </w:r>
      <w:r w:rsidR="003C0F58" w:rsidRPr="00B1054A">
        <w:t>the risk difference at week 44 was higher than the risk difference at week 16</w:t>
      </w:r>
      <w:r w:rsidR="00723EFA">
        <w:t xml:space="preserve"> (absolute difference of 21%)</w:t>
      </w:r>
      <w:r w:rsidR="003C0F58" w:rsidRPr="00B1054A">
        <w:t xml:space="preserve">, which was not consistent </w:t>
      </w:r>
      <w:r w:rsidR="0010118E" w:rsidRPr="00B1054A">
        <w:t>with the overall CHRONOS trial data for the full population</w:t>
      </w:r>
      <w:r w:rsidR="003C0F58" w:rsidRPr="00B1054A">
        <w:t xml:space="preserve">. </w:t>
      </w:r>
    </w:p>
    <w:p w:rsidR="00065BD4" w:rsidRPr="00B1054A" w:rsidRDefault="00065BD4" w:rsidP="00AA092F">
      <w:pPr>
        <w:widowControl w:val="0"/>
        <w:numPr>
          <w:ilvl w:val="1"/>
          <w:numId w:val="1"/>
        </w:numPr>
        <w:spacing w:after="120"/>
      </w:pPr>
      <w:r w:rsidRPr="00B1054A">
        <w:t xml:space="preserve">The PBAC noted that no direct clinical evidence supporting the proposed listing for patients with severe AD </w:t>
      </w:r>
      <w:r w:rsidR="0053626B" w:rsidRPr="00B1054A">
        <w:t xml:space="preserve">exclusively </w:t>
      </w:r>
      <w:r w:rsidRPr="00B1054A">
        <w:t>of the hands and face</w:t>
      </w:r>
      <w:r w:rsidR="0053626B" w:rsidRPr="00B1054A">
        <w:t>,</w:t>
      </w:r>
      <w:r w:rsidRPr="00B1054A">
        <w:t xml:space="preserve"> was presented. The PBAC </w:t>
      </w:r>
      <w:r w:rsidRPr="00B1054A">
        <w:lastRenderedPageBreak/>
        <w:t xml:space="preserve">noted the </w:t>
      </w:r>
      <w:r w:rsidR="00C05050" w:rsidRPr="00B1054A">
        <w:t>post</w:t>
      </w:r>
      <w:r w:rsidR="00C05050">
        <w:t>-</w:t>
      </w:r>
      <w:r w:rsidRPr="00B1054A">
        <w:t>hoc analysis of the clinical trials for dupilumab that indicated similar and statistically significant improvements in EASI score were observed in all of the body areas assessed, however the PBAC considered that this would not necessarily translate to the equivalent incremental effectiveness or quality of life improvements and therefore equivalent cost-effectiveness to the whole body listing is uncertain</w:t>
      </w:r>
      <w:r w:rsidR="0053626B" w:rsidRPr="00B1054A">
        <w:t xml:space="preserve">. </w:t>
      </w:r>
    </w:p>
    <w:p w:rsidR="00AA092F" w:rsidRPr="00B1054A" w:rsidRDefault="00AA092F" w:rsidP="00AA092F">
      <w:pPr>
        <w:widowControl w:val="0"/>
        <w:numPr>
          <w:ilvl w:val="1"/>
          <w:numId w:val="1"/>
        </w:numPr>
        <w:spacing w:after="120"/>
      </w:pPr>
      <w:r w:rsidRPr="00B1054A">
        <w:t xml:space="preserve">The PBAC maintained that the claim of superior comparative effectiveness of dupilumab compared with SoC was reasonable, and that an improvement in quality of life for patients treated with dupilumab was demonstrated. </w:t>
      </w:r>
    </w:p>
    <w:p w:rsidR="00B96C46" w:rsidRPr="00B1054A" w:rsidRDefault="00B96C46" w:rsidP="0000046F">
      <w:pPr>
        <w:widowControl w:val="0"/>
        <w:numPr>
          <w:ilvl w:val="1"/>
          <w:numId w:val="1"/>
        </w:numPr>
        <w:spacing w:after="120"/>
      </w:pPr>
      <w:r w:rsidRPr="00B1054A">
        <w:t>The PBAC considered the claim of inferior comparative safety of dupilumab compared with SoC was reasonable due to increased incidence of conjunctivitis and injection site reactions.</w:t>
      </w:r>
    </w:p>
    <w:p w:rsidR="0000046F" w:rsidRPr="00B1054A" w:rsidRDefault="000F00E2" w:rsidP="0000046F">
      <w:pPr>
        <w:widowControl w:val="0"/>
        <w:numPr>
          <w:ilvl w:val="1"/>
          <w:numId w:val="1"/>
        </w:numPr>
        <w:spacing w:after="120"/>
      </w:pPr>
      <w:r w:rsidRPr="00B1054A">
        <w:t xml:space="preserve">The </w:t>
      </w:r>
      <w:r w:rsidR="004817B7" w:rsidRPr="00B1054A">
        <w:t>PBAC</w:t>
      </w:r>
      <w:r w:rsidRPr="00B1054A">
        <w:t xml:space="preserve"> noted that the evidence presented and the clinical claims in terms of safety and efficacy for dupilumab compared with CsA were unchanged</w:t>
      </w:r>
      <w:r w:rsidR="0000046F" w:rsidRPr="00B1054A">
        <w:t xml:space="preserve"> from the previous resubmission.</w:t>
      </w:r>
    </w:p>
    <w:p w:rsidR="0097137C" w:rsidRPr="00B1054A" w:rsidRDefault="002C64FE" w:rsidP="0000046F">
      <w:pPr>
        <w:widowControl w:val="0"/>
        <w:numPr>
          <w:ilvl w:val="1"/>
          <w:numId w:val="1"/>
        </w:numPr>
        <w:spacing w:after="120"/>
      </w:pPr>
      <w:r w:rsidRPr="00B1054A">
        <w:t xml:space="preserve">The PBAC noted that the resubmission proposed </w:t>
      </w:r>
      <w:r w:rsidR="00113AF9" w:rsidRPr="00B1054A">
        <w:t xml:space="preserve">a </w:t>
      </w:r>
      <w:r w:rsidRPr="00B1054A">
        <w:t xml:space="preserve">continuation criteria based on less stringent </w:t>
      </w:r>
      <w:r w:rsidR="00113AF9" w:rsidRPr="00B1054A">
        <w:t>measures</w:t>
      </w:r>
      <w:r w:rsidRPr="00B1054A">
        <w:t xml:space="preserve"> than previously requested by </w:t>
      </w:r>
      <w:r w:rsidR="0005439D" w:rsidRPr="00B1054A">
        <w:t xml:space="preserve">the </w:t>
      </w:r>
      <w:r w:rsidRPr="00B1054A">
        <w:t>PBAC</w:t>
      </w:r>
      <w:r w:rsidR="00113AF9" w:rsidRPr="00B1054A">
        <w:t xml:space="preserve">, by using </w:t>
      </w:r>
      <w:r w:rsidRPr="00B1054A">
        <w:t>EASI</w:t>
      </w:r>
      <w:r w:rsidR="00912BE2" w:rsidRPr="00B1054A">
        <w:t>-</w:t>
      </w:r>
      <w:r w:rsidRPr="00B1054A">
        <w:t>50 and DLQI</w:t>
      </w:r>
      <w:r w:rsidR="00912BE2" w:rsidRPr="00B1054A">
        <w:t xml:space="preserve"> </w:t>
      </w:r>
      <w:r w:rsidRPr="00B1054A">
        <w:t>4 rather than EASI</w:t>
      </w:r>
      <w:r w:rsidR="00912BE2" w:rsidRPr="00B1054A">
        <w:t>-</w:t>
      </w:r>
      <w:r w:rsidRPr="00B1054A">
        <w:t xml:space="preserve">75 and </w:t>
      </w:r>
      <w:r w:rsidR="003A114D" w:rsidRPr="00B1054A">
        <w:t>DLQ</w:t>
      </w:r>
      <w:r w:rsidRPr="00B1054A">
        <w:t>I</w:t>
      </w:r>
      <w:r w:rsidR="00912BE2" w:rsidRPr="00B1054A">
        <w:t xml:space="preserve"> </w:t>
      </w:r>
      <w:r w:rsidRPr="00B1054A">
        <w:t xml:space="preserve">4. </w:t>
      </w:r>
      <w:r w:rsidR="003A114D" w:rsidRPr="00B1054A">
        <w:t>The PBAC noted that using the EASI</w:t>
      </w:r>
      <w:r w:rsidR="00912BE2" w:rsidRPr="00B1054A">
        <w:t>-</w:t>
      </w:r>
      <w:r w:rsidR="003A114D" w:rsidRPr="00B1054A">
        <w:t xml:space="preserve">75 </w:t>
      </w:r>
      <w:r w:rsidR="00113AF9" w:rsidRPr="00B1054A">
        <w:t>and DLQI</w:t>
      </w:r>
      <w:r w:rsidR="00912BE2" w:rsidRPr="00B1054A">
        <w:t xml:space="preserve"> </w:t>
      </w:r>
      <w:r w:rsidR="00113AF9" w:rsidRPr="00B1054A">
        <w:t xml:space="preserve">4 as criteria for response </w:t>
      </w:r>
      <w:r w:rsidR="003A114D" w:rsidRPr="00B1054A">
        <w:t xml:space="preserve">resulted in an increase in the ICER from </w:t>
      </w:r>
      <w:r w:rsidR="00B231EB">
        <w:t>$45,000 to &lt;</w:t>
      </w:r>
      <w:r w:rsidR="00097058">
        <w:t> </w:t>
      </w:r>
      <w:r w:rsidR="00B231EB">
        <w:t xml:space="preserve">$55,000/QALY </w:t>
      </w:r>
      <w:r w:rsidR="003A114D" w:rsidRPr="00B1054A">
        <w:t>to</w:t>
      </w:r>
      <w:r w:rsidR="00771784">
        <w:t xml:space="preserve"> </w:t>
      </w:r>
      <w:r w:rsidR="00B231EB">
        <w:t>$45,000 to &lt;</w:t>
      </w:r>
      <w:r w:rsidR="00097058">
        <w:t> </w:t>
      </w:r>
      <w:r w:rsidR="00B231EB">
        <w:t>$55,000/QALY</w:t>
      </w:r>
      <w:r w:rsidR="003A114D" w:rsidRPr="00B1054A">
        <w:t xml:space="preserve">. </w:t>
      </w:r>
      <w:r w:rsidR="006B51C2" w:rsidRPr="00B1054A">
        <w:t xml:space="preserve">The PBAC </w:t>
      </w:r>
      <w:r w:rsidR="00284C3E" w:rsidRPr="00B1054A">
        <w:t>noted</w:t>
      </w:r>
      <w:r w:rsidR="006B51C2" w:rsidRPr="00B1054A">
        <w:t xml:space="preserve"> </w:t>
      </w:r>
      <w:r w:rsidR="00113AF9" w:rsidRPr="00B1054A">
        <w:t>that the ICER was impacted by the measures chosen f</w:t>
      </w:r>
      <w:r w:rsidR="0005439D" w:rsidRPr="00B1054A">
        <w:t>or response criteria</w:t>
      </w:r>
      <w:r w:rsidR="00B00846" w:rsidRPr="00B1054A">
        <w:t xml:space="preserve">, </w:t>
      </w:r>
      <w:r w:rsidR="0005439D" w:rsidRPr="00B1054A">
        <w:t xml:space="preserve">and </w:t>
      </w:r>
      <w:r w:rsidR="00B00846" w:rsidRPr="00B1054A">
        <w:t>considered it was</w:t>
      </w:r>
      <w:r w:rsidR="0005439D" w:rsidRPr="00B1054A">
        <w:t xml:space="preserve"> </w:t>
      </w:r>
      <w:r w:rsidR="0097137C" w:rsidRPr="00B1054A">
        <w:t>not clear</w:t>
      </w:r>
      <w:r w:rsidR="0005439D" w:rsidRPr="00B1054A">
        <w:t xml:space="preserve"> </w:t>
      </w:r>
      <w:r w:rsidR="00284C3E" w:rsidRPr="00B1054A">
        <w:t>whether this reflects a true d</w:t>
      </w:r>
      <w:r w:rsidR="0097137C" w:rsidRPr="00B1054A">
        <w:t>ifference in cost-effectiveness.</w:t>
      </w:r>
    </w:p>
    <w:p w:rsidR="002C64FE" w:rsidRPr="00B1054A" w:rsidRDefault="00B92D9E" w:rsidP="0000046F">
      <w:pPr>
        <w:widowControl w:val="0"/>
        <w:numPr>
          <w:ilvl w:val="1"/>
          <w:numId w:val="1"/>
        </w:numPr>
        <w:spacing w:after="120"/>
      </w:pPr>
      <w:r w:rsidRPr="00B1054A">
        <w:t xml:space="preserve">The PBAC noted that </w:t>
      </w:r>
      <w:r w:rsidR="00032AF7" w:rsidRPr="00B1054A">
        <w:t>response rates for the</w:t>
      </w:r>
      <w:r w:rsidRPr="00B1054A">
        <w:t xml:space="preserve"> CsA-e</w:t>
      </w:r>
      <w:r w:rsidR="00912BE2" w:rsidRPr="00B1054A">
        <w:t>xperienced and CsA-</w:t>
      </w:r>
      <w:r w:rsidRPr="00B1054A">
        <w:t xml:space="preserve">naïve populations could have been combined for use in the model but considered that the lower ICER for the CsA-experienced population </w:t>
      </w:r>
      <w:r w:rsidR="00032AF7" w:rsidRPr="00B1054A">
        <w:t>(</w:t>
      </w:r>
      <w:r w:rsidR="00E613C3">
        <w:t>$25,000 to &lt;</w:t>
      </w:r>
      <w:r w:rsidR="00097058">
        <w:t> </w:t>
      </w:r>
      <w:r w:rsidR="00E613C3">
        <w:t>$35,000/QALY</w:t>
      </w:r>
      <w:r w:rsidR="00032AF7" w:rsidRPr="00B1054A">
        <w:t xml:space="preserve">), driven mostly by changes in incremental QALYs, </w:t>
      </w:r>
      <w:r w:rsidRPr="00B1054A">
        <w:t>provided confidence that the use of the CsA-naïve population in the base-case was a conservative approach.</w:t>
      </w:r>
    </w:p>
    <w:p w:rsidR="00802EAE" w:rsidRPr="00B1054A" w:rsidRDefault="00F925E6" w:rsidP="0097137C">
      <w:pPr>
        <w:pStyle w:val="3-BodyText"/>
        <w:rPr>
          <w:snapToGrid/>
        </w:rPr>
      </w:pPr>
      <w:r w:rsidRPr="00B1054A">
        <w:t>The PBAC noted that a revised clinician survey with an increased sample size was u</w:t>
      </w:r>
      <w:r w:rsidR="0000046F" w:rsidRPr="00B1054A">
        <w:t>sed as the source</w:t>
      </w:r>
      <w:r w:rsidRPr="00B1054A">
        <w:t xml:space="preserve"> of healthcare resource use. </w:t>
      </w:r>
      <w:r w:rsidR="006C2400" w:rsidRPr="00B1054A">
        <w:t>Despite</w:t>
      </w:r>
      <w:r w:rsidRPr="00B1054A">
        <w:t xml:space="preserve"> reduc</w:t>
      </w:r>
      <w:r w:rsidR="006C2400" w:rsidRPr="00B1054A">
        <w:t>ing</w:t>
      </w:r>
      <w:r w:rsidRPr="00B1054A">
        <w:t xml:space="preserve"> uncertainty in </w:t>
      </w:r>
      <w:r w:rsidR="006C2400" w:rsidRPr="00B1054A">
        <w:t>some resource use</w:t>
      </w:r>
      <w:r w:rsidRPr="00B1054A">
        <w:t xml:space="preserve"> estimates</w:t>
      </w:r>
      <w:r w:rsidR="00DC0201" w:rsidRPr="00B1054A">
        <w:t xml:space="preserve"> (such as hospitalisations)</w:t>
      </w:r>
      <w:r w:rsidRPr="00B1054A">
        <w:t xml:space="preserve">, the PBAC </w:t>
      </w:r>
      <w:r w:rsidR="00802EAE" w:rsidRPr="00B1054A">
        <w:t>agreed with the ESC</w:t>
      </w:r>
      <w:r w:rsidRPr="00B1054A">
        <w:t xml:space="preserve"> that the </w:t>
      </w:r>
      <w:r w:rsidR="006C2400" w:rsidRPr="00B1054A">
        <w:t>magnitude</w:t>
      </w:r>
      <w:r w:rsidR="00802EAE" w:rsidRPr="00B1054A">
        <w:t xml:space="preserve"> of </w:t>
      </w:r>
      <w:r w:rsidR="006C2400" w:rsidRPr="00B1054A">
        <w:t>cost offsets from</w:t>
      </w:r>
      <w:r w:rsidRPr="00B1054A">
        <w:t xml:space="preserve"> phototherapy applied in the model was not reasonable</w:t>
      </w:r>
      <w:r w:rsidR="006C2400" w:rsidRPr="00B1054A">
        <w:t>, particularly as the model included no effectiveness from phototherapy utilisation</w:t>
      </w:r>
      <w:r w:rsidRPr="00B1054A">
        <w:t xml:space="preserve">. </w:t>
      </w:r>
      <w:r w:rsidR="00802EAE" w:rsidRPr="00B1054A">
        <w:t xml:space="preserve">The PBAC noted that excluding </w:t>
      </w:r>
      <w:r w:rsidR="006C2400" w:rsidRPr="00B1054A">
        <w:t xml:space="preserve">the cost </w:t>
      </w:r>
      <w:r w:rsidR="00802EAE" w:rsidRPr="00B1054A">
        <w:t>offsets from phototherapy increased the ICER to</w:t>
      </w:r>
      <w:r w:rsidR="00E613C3">
        <w:t>$55,000 to &lt;</w:t>
      </w:r>
      <w:r w:rsidR="00097058">
        <w:t> </w:t>
      </w:r>
      <w:r w:rsidR="00E613C3">
        <w:t>$75,000/QALY</w:t>
      </w:r>
      <w:r w:rsidR="006C2400" w:rsidRPr="00B1054A">
        <w:t>.</w:t>
      </w:r>
    </w:p>
    <w:p w:rsidR="00A654A7" w:rsidRPr="00B1054A" w:rsidRDefault="00C46175" w:rsidP="00E125CE">
      <w:pPr>
        <w:pStyle w:val="3-BodyText"/>
        <w:rPr>
          <w:rFonts w:ascii="Calibri" w:hAnsi="Calibri" w:cs="Calibri"/>
          <w:sz w:val="20"/>
          <w:szCs w:val="20"/>
        </w:rPr>
      </w:pPr>
      <w:r w:rsidRPr="00B1054A">
        <w:t xml:space="preserve">The PBAC noted, as for the model presented in the July 2019 resubmission, this resubmission assumed a differential maintenance of response for dupilumab and </w:t>
      </w:r>
      <w:r w:rsidR="00B73419" w:rsidRPr="00B1054A">
        <w:t>SoC</w:t>
      </w:r>
      <w:r w:rsidRPr="00B1054A">
        <w:t xml:space="preserve">. </w:t>
      </w:r>
      <w:r w:rsidRPr="00B1054A">
        <w:rPr>
          <w:rFonts w:ascii="Calibri" w:hAnsi="Calibri"/>
        </w:rPr>
        <w:t xml:space="preserve">The </w:t>
      </w:r>
      <w:r w:rsidR="002E56F8" w:rsidRPr="00B1054A">
        <w:rPr>
          <w:rFonts w:ascii="Calibri" w:hAnsi="Calibri"/>
        </w:rPr>
        <w:t>PBAC noted the pre-PBAC response argued that</w:t>
      </w:r>
      <w:r w:rsidR="00C84CA2" w:rsidRPr="00B1054A">
        <w:rPr>
          <w:rFonts w:ascii="Calibri" w:hAnsi="Calibri"/>
        </w:rPr>
        <w:t>,</w:t>
      </w:r>
      <w:r w:rsidR="002E56F8" w:rsidRPr="00B1054A">
        <w:rPr>
          <w:rFonts w:ascii="Calibri" w:hAnsi="Calibri"/>
        </w:rPr>
        <w:t xml:space="preserve"> in the absence of active treatment and outside of the highly controlled clinical trial environment</w:t>
      </w:r>
      <w:r w:rsidR="002E56F8" w:rsidRPr="00B1054A">
        <w:t xml:space="preserve"> which would encourage adherence</w:t>
      </w:r>
      <w:r w:rsidR="002E56F8" w:rsidRPr="00B1054A">
        <w:rPr>
          <w:rFonts w:ascii="Calibri" w:hAnsi="Calibri"/>
        </w:rPr>
        <w:t>, it is reasonable to assume that patients treated with SoC would revert back to their baseline level of disease activity</w:t>
      </w:r>
      <w:r w:rsidR="002E56F8" w:rsidRPr="00B1054A">
        <w:t xml:space="preserve"> but argued that</w:t>
      </w:r>
      <w:r w:rsidR="002E56F8" w:rsidRPr="00B1054A">
        <w:rPr>
          <w:rFonts w:ascii="Calibri" w:hAnsi="Calibri"/>
        </w:rPr>
        <w:t xml:space="preserve"> it is implausible that the response rate for dupilumab-treated patients would decline to the same </w:t>
      </w:r>
      <w:r w:rsidR="002E56F8" w:rsidRPr="00B1054A">
        <w:rPr>
          <w:rFonts w:ascii="Calibri" w:hAnsi="Calibri"/>
        </w:rPr>
        <w:lastRenderedPageBreak/>
        <w:t>extent over the same time period as placebo-treated patients</w:t>
      </w:r>
      <w:r w:rsidR="002E56F8" w:rsidRPr="00B1054A">
        <w:t xml:space="preserve">. </w:t>
      </w:r>
      <w:r w:rsidR="00E125CE" w:rsidRPr="00B1054A">
        <w:t>The pre-PBAC response argued that the assumption adopted in the sensitivity analysis</w:t>
      </w:r>
      <w:r w:rsidR="00DE6764" w:rsidRPr="00B1054A">
        <w:t xml:space="preserve"> conducted during the evaluation</w:t>
      </w:r>
      <w:r w:rsidR="00E125CE" w:rsidRPr="00B1054A">
        <w:t xml:space="preserve">, whereby SoC patients receive the same maintenance of response as the dupilumab patients, was clinically implausible and unfairly biases against dupilumab. The pre-PBAC response noted that this approach </w:t>
      </w:r>
      <w:r w:rsidR="007E5503" w:rsidRPr="00B1054A">
        <w:t xml:space="preserve">resulted in </w:t>
      </w:r>
      <w:r w:rsidR="00E125CE" w:rsidRPr="00B1054A">
        <w:t>the same relative reductions in response</w:t>
      </w:r>
      <w:r w:rsidR="0036002F" w:rsidRPr="00B1054A">
        <w:t xml:space="preserve"> over time but a much larger absolute reduction for dupilumab given the higher number of responders initially</w:t>
      </w:r>
      <w:r w:rsidR="00E125CE" w:rsidRPr="00B1054A">
        <w:t xml:space="preserve">. </w:t>
      </w:r>
      <w:r w:rsidR="0036002F" w:rsidRPr="00B1054A">
        <w:t>Specifically</w:t>
      </w:r>
      <w:r w:rsidR="00E125CE" w:rsidRPr="00B1054A">
        <w:t xml:space="preserve"> over five years, </w:t>
      </w:r>
      <w:r w:rsidR="0036002F" w:rsidRPr="00B1054A">
        <w:t xml:space="preserve">the </w:t>
      </w:r>
      <w:r w:rsidR="00E125CE" w:rsidRPr="00B1054A">
        <w:t xml:space="preserve">dupilumab response </w:t>
      </w:r>
      <w:r w:rsidR="0036002F" w:rsidRPr="00B1054A">
        <w:t xml:space="preserve">was reduced by </w:t>
      </w:r>
      <w:r w:rsidR="00E125CE" w:rsidRPr="00B1054A">
        <w:t xml:space="preserve">31% in absolute terms (from approximately 60% to 29%) versus a </w:t>
      </w:r>
      <w:r w:rsidR="0036002F" w:rsidRPr="00B1054A">
        <w:t xml:space="preserve">reduction </w:t>
      </w:r>
      <w:r w:rsidR="00E125CE" w:rsidRPr="00B1054A">
        <w:t xml:space="preserve">in SoC response of 19% in absolute terms (from approximately 20% to 1%). </w:t>
      </w:r>
      <w:r w:rsidR="00B73419" w:rsidRPr="00B1054A">
        <w:t>The pre-PBAC response proposed an alternative sensitivity analysis in which the absolute reduction in response from year 1 to year 2 was approximately the same for both the dupilumab and SoC arms (approximately 13%). The resulting ICER was</w:t>
      </w:r>
      <w:r w:rsidR="002F3C37">
        <w:t>$45,000 to &lt;</w:t>
      </w:r>
      <w:r w:rsidR="00097058">
        <w:t> </w:t>
      </w:r>
      <w:r w:rsidR="002F3C37">
        <w:t>$55,000/QALY</w:t>
      </w:r>
      <w:r w:rsidR="00B73419" w:rsidRPr="00B1054A">
        <w:t xml:space="preserve">. </w:t>
      </w:r>
      <w:r w:rsidR="00F76AD1" w:rsidRPr="00B1054A">
        <w:t>T</w:t>
      </w:r>
      <w:r w:rsidR="00B73419" w:rsidRPr="00B1054A">
        <w:t>he PBAC considered the base case ICER as presented in the resubmission was a likely underestimate due to the assumptions regarding maintenance of response.</w:t>
      </w:r>
    </w:p>
    <w:p w:rsidR="00F76AD1" w:rsidRPr="00B1054A" w:rsidRDefault="001B073A" w:rsidP="007F0F3C">
      <w:pPr>
        <w:pStyle w:val="3-BodyText"/>
        <w:rPr>
          <w:rFonts w:ascii="Calibri" w:hAnsi="Calibri" w:cs="Calibri"/>
          <w:sz w:val="20"/>
          <w:szCs w:val="20"/>
        </w:rPr>
      </w:pPr>
      <w:r w:rsidRPr="00B1054A">
        <w:t xml:space="preserve">Overall in relation to the cost-effectiveness of dupilumab, the PBAC noted the base case ICERs presented in the resubmission were </w:t>
      </w:r>
      <w:r w:rsidR="005C0CB5">
        <w:t>$45,000 to &lt;</w:t>
      </w:r>
      <w:r w:rsidR="00097058">
        <w:t> </w:t>
      </w:r>
      <w:r w:rsidR="005C0CB5">
        <w:t>$55,000/QALY</w:t>
      </w:r>
      <w:r w:rsidR="005C0CB5" w:rsidRPr="00B1054A" w:rsidDel="005C0CB5">
        <w:t xml:space="preserve"> </w:t>
      </w:r>
      <w:r w:rsidRPr="00B1054A">
        <w:t xml:space="preserve">for the CsA-experienced population and </w:t>
      </w:r>
      <w:r w:rsidR="005C0CB5">
        <w:t>$25,000 to &lt;</w:t>
      </w:r>
      <w:r w:rsidR="00097058">
        <w:t> </w:t>
      </w:r>
      <w:r w:rsidR="005C0CB5">
        <w:t>$35,000/QALY</w:t>
      </w:r>
      <w:r w:rsidR="005C0CB5" w:rsidRPr="00B1054A" w:rsidDel="005C0CB5">
        <w:t xml:space="preserve"> </w:t>
      </w:r>
      <w:r w:rsidRPr="00B1054A">
        <w:t>for</w:t>
      </w:r>
      <w:r w:rsidR="007655AD" w:rsidRPr="00B1054A">
        <w:t xml:space="preserve"> the</w:t>
      </w:r>
      <w:r w:rsidRPr="00B1054A">
        <w:t xml:space="preserve"> CsA-naïve population. The PBAC considered the ICER</w:t>
      </w:r>
      <w:r w:rsidR="00017F6C" w:rsidRPr="00B1054A">
        <w:t>s</w:t>
      </w:r>
      <w:r w:rsidRPr="00B1054A">
        <w:t xml:space="preserve"> to be underestimated due to overestimating the extent of phototherapy use, however</w:t>
      </w:r>
      <w:r w:rsidR="00F164F2" w:rsidRPr="00B1054A">
        <w:t xml:space="preserve"> noted in the extreme case of removing the phototherapy costs</w:t>
      </w:r>
      <w:r w:rsidR="00F76AD1" w:rsidRPr="00B1054A">
        <w:t>,</w:t>
      </w:r>
      <w:r w:rsidR="00F164F2" w:rsidRPr="00B1054A">
        <w:t xml:space="preserve"> the ICER for the CsA experienced population increased to</w:t>
      </w:r>
      <w:r w:rsidR="005C0CB5">
        <w:t>$55,000 to &lt;</w:t>
      </w:r>
      <w:r w:rsidR="00097058">
        <w:t> </w:t>
      </w:r>
      <w:r w:rsidR="005C0CB5">
        <w:t>$75,000/QALY</w:t>
      </w:r>
      <w:r w:rsidR="00F164F2" w:rsidRPr="00B1054A">
        <w:t xml:space="preserve">. The PBAC also considered the ICER to be underestimated due to the submission’s assumptions regarding maintenance of response, and </w:t>
      </w:r>
      <w:r w:rsidR="00DB54AF">
        <w:t>noted that there are</w:t>
      </w:r>
      <w:r w:rsidR="00DB54AF" w:rsidRPr="00B1054A">
        <w:t xml:space="preserve"> </w:t>
      </w:r>
      <w:r w:rsidR="00F164F2" w:rsidRPr="00B1054A">
        <w:t>limited data currently available to inform these assumptions</w:t>
      </w:r>
      <w:r w:rsidR="00DB54AF">
        <w:t>.</w:t>
      </w:r>
      <w:r w:rsidR="00F164F2" w:rsidRPr="00B1054A">
        <w:t xml:space="preserve"> </w:t>
      </w:r>
      <w:r w:rsidR="00DB54AF">
        <w:t>T</w:t>
      </w:r>
      <w:r w:rsidR="00F164F2" w:rsidRPr="00B1054A">
        <w:t>he PBAC considered</w:t>
      </w:r>
      <w:r w:rsidR="007F0F3C">
        <w:t xml:space="preserve"> </w:t>
      </w:r>
      <w:r w:rsidR="007F0F3C" w:rsidRPr="007F0F3C">
        <w:t xml:space="preserve">that the effective price for dupilumab </w:t>
      </w:r>
      <w:r w:rsidR="00CD0066">
        <w:t>should be reduced to address the likely underestimation of the ICER.</w:t>
      </w:r>
      <w:r w:rsidR="00F164F2" w:rsidRPr="00B1054A">
        <w:t xml:space="preserve"> </w:t>
      </w:r>
    </w:p>
    <w:p w:rsidR="009941AF" w:rsidRDefault="00D051A9" w:rsidP="003E2EEB">
      <w:pPr>
        <w:pStyle w:val="3-BodyText"/>
      </w:pPr>
      <w:r>
        <w:t>The PBAC</w:t>
      </w:r>
      <w:r w:rsidR="009941AF">
        <w:t xml:space="preserve"> noted</w:t>
      </w:r>
      <w:r>
        <w:t xml:space="preserve"> </w:t>
      </w:r>
      <w:r w:rsidR="009941AF">
        <w:t>the financial estimates as presented in Table 20 would need to be revised to:</w:t>
      </w:r>
    </w:p>
    <w:p w:rsidR="001521E8" w:rsidRDefault="009941AF" w:rsidP="009941AF">
      <w:pPr>
        <w:pStyle w:val="3-BodyText"/>
        <w:numPr>
          <w:ilvl w:val="0"/>
          <w:numId w:val="31"/>
        </w:numPr>
      </w:pPr>
      <w:r>
        <w:t>Include patients aged 12-17 years. The PBAC considered it would be reasonable to expand the population on which the estimates are based to include the Australian population aged 12-17 years with the remaining assumptions regarding the proportion of patients treated unchanged. The PBAC noted</w:t>
      </w:r>
      <w:r w:rsidR="008277AE">
        <w:t>,</w:t>
      </w:r>
      <w:r>
        <w:t xml:space="preserve"> </w:t>
      </w:r>
      <w:r w:rsidR="001521E8">
        <w:t>b</w:t>
      </w:r>
      <w:r>
        <w:t xml:space="preserve">ased on the population data </w:t>
      </w:r>
      <w:r w:rsidR="001521E8">
        <w:t>included</w:t>
      </w:r>
      <w:r>
        <w:t xml:space="preserve"> in the submission</w:t>
      </w:r>
      <w:r w:rsidR="008277AE">
        <w:t>,</w:t>
      </w:r>
      <w:r w:rsidR="001521E8">
        <w:t xml:space="preserve"> that </w:t>
      </w:r>
      <w:r w:rsidR="00C2299D">
        <w:t>expanding the population</w:t>
      </w:r>
      <w:r w:rsidR="001521E8">
        <w:t xml:space="preserve"> increases the population </w:t>
      </w:r>
      <w:r w:rsidR="008277AE">
        <w:t>size</w:t>
      </w:r>
      <w:r w:rsidR="001521E8">
        <w:t xml:space="preserve"> by approximately 9%. The PBAC noted that a reduced dose (200 mg every other week) is recommended in patients aged 12-17 year</w:t>
      </w:r>
      <w:r w:rsidR="007322AC">
        <w:t>s</w:t>
      </w:r>
      <w:r w:rsidR="001521E8">
        <w:t xml:space="preserve"> with a body weight of &lt;60 kg and </w:t>
      </w:r>
      <w:r w:rsidR="00085053">
        <w:t xml:space="preserve">considered </w:t>
      </w:r>
      <w:r w:rsidR="001521E8">
        <w:t>the reduced dose should be accounted for in the financial estimates.</w:t>
      </w:r>
    </w:p>
    <w:p w:rsidR="00F76AD1" w:rsidRPr="00B1054A" w:rsidRDefault="001521E8" w:rsidP="009941AF">
      <w:pPr>
        <w:pStyle w:val="3-BodyText"/>
        <w:numPr>
          <w:ilvl w:val="0"/>
          <w:numId w:val="31"/>
        </w:numPr>
      </w:pPr>
      <w:r>
        <w:t xml:space="preserve">Apply the uptake rates of 5% in year 1, increasing to 7.5% in year 6 such that they reflect the proportion of continuing patients </w:t>
      </w:r>
      <w:r w:rsidR="008277AE">
        <w:t xml:space="preserve">in each year rather than only the initiating patients (paragraph </w:t>
      </w:r>
      <w:r w:rsidR="008277AE" w:rsidRPr="00F86070">
        <w:t>6.56</w:t>
      </w:r>
      <w:r w:rsidR="008277AE">
        <w:t>)</w:t>
      </w:r>
      <w:r>
        <w:t>.</w:t>
      </w:r>
    </w:p>
    <w:p w:rsidR="00F76AD1" w:rsidRPr="00B1054A" w:rsidRDefault="00F76AD1" w:rsidP="00F76AD1">
      <w:pPr>
        <w:pStyle w:val="3-BodyText"/>
        <w:rPr>
          <w:bCs/>
          <w:lang w:eastAsia="en-US"/>
        </w:rPr>
      </w:pPr>
      <w:r w:rsidRPr="00B1054A">
        <w:lastRenderedPageBreak/>
        <w:t xml:space="preserve">The PBAC </w:t>
      </w:r>
      <w:r w:rsidR="00D74A0B" w:rsidRPr="00B1054A">
        <w:t>considered</w:t>
      </w:r>
      <w:r w:rsidRPr="00B1054A">
        <w:t xml:space="preserve"> that the estimate</w:t>
      </w:r>
      <w:r w:rsidR="00015287" w:rsidRPr="00B1054A">
        <w:t xml:space="preserve">d </w:t>
      </w:r>
      <w:r w:rsidR="00D74A0B" w:rsidRPr="00B1054A">
        <w:t xml:space="preserve">MBS </w:t>
      </w:r>
      <w:r w:rsidRPr="00B1054A">
        <w:t>cost offsets from phototherapy were likely overestimated</w:t>
      </w:r>
      <w:r w:rsidR="00612564">
        <w:t xml:space="preserve">, </w:t>
      </w:r>
      <w:r w:rsidR="00EC54BD">
        <w:t xml:space="preserve">as due to the </w:t>
      </w:r>
      <w:r w:rsidR="008277AE">
        <w:t xml:space="preserve">limited </w:t>
      </w:r>
      <w:r w:rsidR="00EC54BD">
        <w:t>availability and significant burden on patients (frequency and length of treatment and cost), its use in the treatment of AD in Australia is limited</w:t>
      </w:r>
      <w:r w:rsidRPr="00B1054A">
        <w:t xml:space="preserve">. </w:t>
      </w:r>
      <w:r w:rsidR="001151D4">
        <w:t>The PBAC considered that overall phototherapy services are unlikely to be reduced as a result of listing dupilumab as they are largely at capacity and therefore should not be included as cost-offsets in the financial estimates.</w:t>
      </w:r>
    </w:p>
    <w:p w:rsidR="006C2BCD" w:rsidRPr="00B1054A" w:rsidRDefault="009B7678" w:rsidP="007655AD">
      <w:pPr>
        <w:pStyle w:val="3-BodyText"/>
      </w:pPr>
      <w:r w:rsidRPr="00B1054A">
        <w:t xml:space="preserve">The PBAC considered there is potential for substantial use beyond the requested restriction to those with less severe AD, those with comorbid conditions such as asthma, </w:t>
      </w:r>
      <w:r w:rsidR="0028067A">
        <w:t xml:space="preserve">and </w:t>
      </w:r>
      <w:r w:rsidRPr="00B1054A">
        <w:t>those with reduced QoL due to overly complex topical regimens</w:t>
      </w:r>
      <w:r w:rsidR="007655AD" w:rsidRPr="00B1054A">
        <w:t xml:space="preserve">. Regarding this concern the PBAC noted recent changes to the dupilumab TGA-approved indications to include </w:t>
      </w:r>
      <w:r w:rsidR="0028067A">
        <w:t>use</w:t>
      </w:r>
      <w:r w:rsidR="007655AD" w:rsidRPr="00B1054A">
        <w:t xml:space="preserve"> in patients with asthma.</w:t>
      </w:r>
      <w:r w:rsidR="007655AD" w:rsidRPr="00B1054A" w:rsidDel="007655AD">
        <w:t xml:space="preserve"> </w:t>
      </w:r>
      <w:r w:rsidR="007655AD" w:rsidRPr="00B1054A">
        <w:t>T</w:t>
      </w:r>
      <w:r w:rsidR="00173796" w:rsidRPr="00B1054A">
        <w:rPr>
          <w:bCs/>
        </w:rPr>
        <w:t xml:space="preserve">he PBAC considered that there </w:t>
      </w:r>
      <w:r w:rsidR="003C02F3" w:rsidRPr="00B1054A">
        <w:rPr>
          <w:bCs/>
        </w:rPr>
        <w:t xml:space="preserve">remains </w:t>
      </w:r>
      <w:r w:rsidR="00173796" w:rsidRPr="00B1054A">
        <w:rPr>
          <w:bCs/>
        </w:rPr>
        <w:t xml:space="preserve">a high risk of leakage to patients who do not have sufficient response according to the </w:t>
      </w:r>
      <w:r w:rsidRPr="00B1054A">
        <w:rPr>
          <w:bCs/>
        </w:rPr>
        <w:t xml:space="preserve">continuing criteria. </w:t>
      </w:r>
    </w:p>
    <w:p w:rsidR="002B740C" w:rsidRPr="002B740C" w:rsidRDefault="00C30BEA" w:rsidP="0051390F">
      <w:pPr>
        <w:pStyle w:val="3-BodyText"/>
      </w:pPr>
      <w:r w:rsidRPr="00B1054A">
        <w:rPr>
          <w:bCs/>
        </w:rPr>
        <w:t xml:space="preserve">The PBAC noted that the sponsor indicated </w:t>
      </w:r>
      <w:r w:rsidR="00080A6E">
        <w:rPr>
          <w:bCs/>
        </w:rPr>
        <w:t xml:space="preserve">a </w:t>
      </w:r>
      <w:r w:rsidRPr="00B1054A">
        <w:rPr>
          <w:bCs/>
        </w:rPr>
        <w:t xml:space="preserve">willingness to enter a risk sharing agreement. The PBAC considered that </w:t>
      </w:r>
      <w:r w:rsidR="00A654A7" w:rsidRPr="00B1054A">
        <w:rPr>
          <w:bCs/>
        </w:rPr>
        <w:t xml:space="preserve">a </w:t>
      </w:r>
      <w:r w:rsidR="00BB6CB6">
        <w:rPr>
          <w:bCs/>
          <w:noProof/>
          <w:color w:val="000000"/>
          <w:highlight w:val="black"/>
        </w:rPr>
        <w:t>'''''''</w:t>
      </w:r>
      <w:r w:rsidR="00A654A7" w:rsidRPr="00B1054A">
        <w:rPr>
          <w:bCs/>
        </w:rPr>
        <w:t>% rebate would be required for expenditure exceeding</w:t>
      </w:r>
      <w:r w:rsidRPr="00B1054A">
        <w:rPr>
          <w:bCs/>
        </w:rPr>
        <w:t xml:space="preserve"> the </w:t>
      </w:r>
      <w:r w:rsidR="00A654A7" w:rsidRPr="00B1054A">
        <w:rPr>
          <w:bCs/>
        </w:rPr>
        <w:t xml:space="preserve">estimated </w:t>
      </w:r>
      <w:r w:rsidRPr="00B1054A">
        <w:rPr>
          <w:bCs/>
        </w:rPr>
        <w:t>financial cost for dupilumab</w:t>
      </w:r>
      <w:r w:rsidR="00080A6E">
        <w:rPr>
          <w:bCs/>
        </w:rPr>
        <w:t xml:space="preserve"> </w:t>
      </w:r>
      <w:r w:rsidR="007322AC">
        <w:rPr>
          <w:bCs/>
        </w:rPr>
        <w:t>(</w:t>
      </w:r>
      <w:r w:rsidR="00080A6E">
        <w:rPr>
          <w:bCs/>
        </w:rPr>
        <w:t xml:space="preserve">as </w:t>
      </w:r>
      <w:r w:rsidR="007322AC">
        <w:rPr>
          <w:bCs/>
        </w:rPr>
        <w:t>per</w:t>
      </w:r>
      <w:r w:rsidR="00080A6E">
        <w:rPr>
          <w:bCs/>
        </w:rPr>
        <w:t xml:space="preserve"> Table 20 with revisions noted in paragraph 7.18</w:t>
      </w:r>
      <w:r w:rsidR="007322AC">
        <w:rPr>
          <w:bCs/>
        </w:rPr>
        <w:t>)</w:t>
      </w:r>
      <w:r w:rsidRPr="00B1054A">
        <w:rPr>
          <w:bCs/>
        </w:rPr>
        <w:t xml:space="preserve"> to address the potential for use outside the intended population</w:t>
      </w:r>
      <w:r w:rsidR="00AE6956" w:rsidRPr="00B1054A">
        <w:rPr>
          <w:bCs/>
        </w:rPr>
        <w:t xml:space="preserve">, </w:t>
      </w:r>
      <w:r w:rsidRPr="00B1054A">
        <w:rPr>
          <w:bCs/>
        </w:rPr>
        <w:t>and to address the potential continuing use in patients who do not have adequate response</w:t>
      </w:r>
      <w:r w:rsidR="00D44EE4" w:rsidRPr="00B1054A">
        <w:rPr>
          <w:bCs/>
        </w:rPr>
        <w:t>,</w:t>
      </w:r>
      <w:r w:rsidR="00AE6956" w:rsidRPr="00B1054A">
        <w:rPr>
          <w:bCs/>
        </w:rPr>
        <w:t xml:space="preserve"> where use of dupilumab is likely to be less cost-effective</w:t>
      </w:r>
      <w:r w:rsidRPr="00B1054A">
        <w:rPr>
          <w:bCs/>
        </w:rPr>
        <w:t>. The PBAC considered that</w:t>
      </w:r>
      <w:r w:rsidR="007655AD" w:rsidRPr="00B1054A">
        <w:rPr>
          <w:bCs/>
        </w:rPr>
        <w:t xml:space="preserve"> it would not be appropriate for the caps to be increased to account for patients with severe AD exclusively of the hands or face as the </w:t>
      </w:r>
      <w:r w:rsidR="00080A6E">
        <w:rPr>
          <w:bCs/>
        </w:rPr>
        <w:t>cost-effectiveness in these patients is unknown</w:t>
      </w:r>
      <w:r w:rsidR="000400F8">
        <w:rPr>
          <w:bCs/>
        </w:rPr>
        <w:t xml:space="preserve">. </w:t>
      </w:r>
    </w:p>
    <w:p w:rsidR="00D769D6" w:rsidRPr="00B1054A" w:rsidRDefault="00D769D6" w:rsidP="00333F40">
      <w:pPr>
        <w:pStyle w:val="3-BodyText"/>
      </w:pPr>
      <w:r w:rsidRPr="00B1054A">
        <w:t>The PBAC recommended that the grandfather listing be in operation for 12 months to transition patients commenced on non</w:t>
      </w:r>
      <w:r w:rsidRPr="00B1054A">
        <w:noBreakHyphen/>
        <w:t xml:space="preserve">PBS subsidised treatment to PBS subsidised supply, </w:t>
      </w:r>
      <w:r w:rsidR="00EC54BD">
        <w:t>where these patients</w:t>
      </w:r>
      <w:r w:rsidRPr="00B1054A">
        <w:t xml:space="preserve"> would </w:t>
      </w:r>
      <w:r w:rsidR="00EC54BD">
        <w:t xml:space="preserve">otherwise </w:t>
      </w:r>
      <w:r w:rsidRPr="00B1054A">
        <w:t xml:space="preserve">have met the initial treatment criteria. </w:t>
      </w:r>
      <w:r w:rsidR="008F1540" w:rsidRPr="008F1540">
        <w:t xml:space="preserve">The PBAC noted the </w:t>
      </w:r>
      <w:r w:rsidR="008F1540" w:rsidRPr="008F1540">
        <w:rPr>
          <w:iCs/>
        </w:rPr>
        <w:t xml:space="preserve">sponsor’s request that the assessment of grandfather patient eligibility to continue treatment, following their transition to PBS-subsidised treatment with dupilumab, be based on </w:t>
      </w:r>
      <w:r w:rsidR="008F1540" w:rsidRPr="008F1540">
        <w:t xml:space="preserve">EASI score </w:t>
      </w:r>
      <w:r w:rsidR="008F1540" w:rsidRPr="008F1540">
        <w:rPr>
          <w:iCs/>
        </w:rPr>
        <w:t>alone</w:t>
      </w:r>
      <w:r w:rsidR="008F1540" w:rsidRPr="008F1540">
        <w:t xml:space="preserve">, </w:t>
      </w:r>
      <w:r w:rsidR="008F1540" w:rsidRPr="008F1540">
        <w:rPr>
          <w:iCs/>
        </w:rPr>
        <w:t>because the baseline DLQI score would not be recorded in these patients.</w:t>
      </w:r>
    </w:p>
    <w:p w:rsidR="00A11B8B" w:rsidRPr="00B1054A" w:rsidRDefault="00A11B8B" w:rsidP="00333F40">
      <w:pPr>
        <w:pStyle w:val="3-BodyText"/>
      </w:pPr>
      <w:r w:rsidRPr="00B1054A">
        <w:t xml:space="preserve">The PBAC advised that </w:t>
      </w:r>
      <w:r w:rsidR="00333F40" w:rsidRPr="00B1054A">
        <w:t>dupilumab is not suitable for inclusion in the PBS medicines for prescribing by nurse practitioners within collaborative arrangements as the treatment criteria specify that the patient must be treated by a dermatologist or clinical immunologist.</w:t>
      </w:r>
    </w:p>
    <w:p w:rsidR="00AB0F02" w:rsidRPr="00B1054A" w:rsidRDefault="00AB0F02" w:rsidP="00AB0F02">
      <w:pPr>
        <w:pStyle w:val="3-BodyText"/>
        <w:rPr>
          <w:color w:val="FF0000"/>
        </w:rPr>
      </w:pPr>
      <w:r w:rsidRPr="00B1054A">
        <w:t xml:space="preserve">The </w:t>
      </w:r>
      <w:r w:rsidR="00333F40" w:rsidRPr="00B1054A">
        <w:t xml:space="preserve">PBAC </w:t>
      </w:r>
      <w:r w:rsidRPr="00B1054A">
        <w:t>considered that dupilumab</w:t>
      </w:r>
      <w:r w:rsidR="00D769D6" w:rsidRPr="00B1054A">
        <w:t xml:space="preserve"> should </w:t>
      </w:r>
      <w:r w:rsidRPr="00B1054A">
        <w:t xml:space="preserve">be exempt from the Early Supply Rule </w:t>
      </w:r>
      <w:r w:rsidR="00032238" w:rsidRPr="00B1054A">
        <w:t xml:space="preserve">for initial treatment </w:t>
      </w:r>
      <w:r w:rsidRPr="00B1054A">
        <w:t>as the first repeat would need to be dispensed within 20 days</w:t>
      </w:r>
      <w:r w:rsidR="00032238" w:rsidRPr="00B1054A">
        <w:t xml:space="preserve"> according to the dosing directions in the Product Information</w:t>
      </w:r>
      <w:r w:rsidRPr="00B1054A">
        <w:t>.</w:t>
      </w:r>
      <w:r w:rsidR="00032238" w:rsidRPr="00B1054A">
        <w:t xml:space="preserve"> However, for continuing supply, the PBAC considered that dupilumab should not be exempt from the Early Supply rule.</w:t>
      </w:r>
    </w:p>
    <w:p w:rsidR="00477157" w:rsidRPr="00B1054A" w:rsidRDefault="00477157" w:rsidP="00AB0F02">
      <w:pPr>
        <w:pStyle w:val="3-BodyText"/>
        <w:rPr>
          <w:color w:val="FF0000"/>
        </w:rPr>
      </w:pPr>
      <w:r w:rsidRPr="00B1054A">
        <w:t>The PBAC noted that a</w:t>
      </w:r>
      <w:r w:rsidR="00C05050">
        <w:t>n</w:t>
      </w:r>
      <w:r w:rsidRPr="00B1054A">
        <w:t xml:space="preserve"> Authority Required (Written</w:t>
      </w:r>
      <w:r w:rsidR="00D936D7" w:rsidRPr="00B1054A">
        <w:t xml:space="preserve"> only</w:t>
      </w:r>
      <w:r w:rsidRPr="00B1054A">
        <w:t xml:space="preserve">) restriction level was requested. The PBAC considered that </w:t>
      </w:r>
      <w:r w:rsidR="00D936D7" w:rsidRPr="00B1054A">
        <w:t xml:space="preserve">the authority approval method </w:t>
      </w:r>
      <w:r w:rsidRPr="00B1054A">
        <w:t xml:space="preserve">may need </w:t>
      </w:r>
      <w:r w:rsidR="00D936D7" w:rsidRPr="00B1054A">
        <w:t>further refinement between the Department and Services Australia</w:t>
      </w:r>
      <w:r w:rsidR="00B1054A">
        <w:t xml:space="preserve">. </w:t>
      </w:r>
      <w:r w:rsidR="00D936D7" w:rsidRPr="00B1054A">
        <w:t>T</w:t>
      </w:r>
      <w:r w:rsidRPr="00B1054A">
        <w:t xml:space="preserve">he </w:t>
      </w:r>
      <w:r w:rsidR="00D936D7" w:rsidRPr="00B1054A">
        <w:t xml:space="preserve">expected </w:t>
      </w:r>
      <w:r w:rsidRPr="00B1054A">
        <w:lastRenderedPageBreak/>
        <w:t xml:space="preserve">number of </w:t>
      </w:r>
      <w:r w:rsidR="00D936D7" w:rsidRPr="00B1054A">
        <w:t xml:space="preserve">applications </w:t>
      </w:r>
      <w:r w:rsidRPr="00B1054A">
        <w:t>requiring processing</w:t>
      </w:r>
      <w:r w:rsidR="00D936D7" w:rsidRPr="00B1054A">
        <w:t>, logistics and nature of any collected clinical evidence as stated in the restriction are to be considered in determining the authority approval method</w:t>
      </w:r>
      <w:r w:rsidRPr="00B1054A">
        <w:t>.</w:t>
      </w:r>
    </w:p>
    <w:p w:rsidR="00A11B8B" w:rsidRPr="00B1054A" w:rsidRDefault="00A11B8B" w:rsidP="00A11B8B">
      <w:pPr>
        <w:widowControl w:val="0"/>
        <w:numPr>
          <w:ilvl w:val="1"/>
          <w:numId w:val="1"/>
        </w:numPr>
        <w:spacing w:after="120"/>
        <w:rPr>
          <w:rFonts w:asciiTheme="minorHAnsi" w:hAnsiTheme="minorHAnsi"/>
          <w:bCs/>
          <w:snapToGrid w:val="0"/>
        </w:rPr>
      </w:pPr>
      <w:r w:rsidRPr="00B1054A">
        <w:rPr>
          <w:rFonts w:asciiTheme="minorHAnsi" w:hAnsiTheme="minorHAnsi"/>
          <w:bCs/>
          <w:snapToGrid w:val="0"/>
        </w:rPr>
        <w:t>The PBAC noted that this submission is not eligible for an Independent Review</w:t>
      </w:r>
      <w:r w:rsidR="00C9760B" w:rsidRPr="00B1054A">
        <w:rPr>
          <w:rFonts w:asciiTheme="minorHAnsi" w:hAnsiTheme="minorHAnsi"/>
          <w:bCs/>
          <w:snapToGrid w:val="0"/>
        </w:rPr>
        <w:t xml:space="preserve"> as it is a positive recommendation</w:t>
      </w:r>
      <w:r w:rsidRPr="00B1054A">
        <w:rPr>
          <w:rFonts w:asciiTheme="minorHAnsi" w:hAnsiTheme="minorHAnsi"/>
          <w:bCs/>
          <w:snapToGrid w:val="0"/>
        </w:rPr>
        <w:t xml:space="preserve">. </w:t>
      </w:r>
    </w:p>
    <w:p w:rsidR="00A46D75" w:rsidRPr="00B1054A" w:rsidRDefault="00A46D75" w:rsidP="00A46D75">
      <w:pPr>
        <w:pStyle w:val="3-BodyText"/>
        <w:rPr>
          <w:snapToGrid/>
        </w:rPr>
      </w:pPr>
      <w:r w:rsidRPr="00B1054A">
        <w:rPr>
          <w:snapToGrid/>
        </w:rPr>
        <w:t>The PBAC found that the criteria prescribed by the National Health (Pharmaceutical and Vaccines – Cost Recovery) Regulations 2009 for Pricing Pathway A were not met. Specifically, the PBAC found that in the circumstances of its recommendation for dupilumab:</w:t>
      </w:r>
    </w:p>
    <w:p w:rsidR="00A46D75" w:rsidRPr="00B1054A" w:rsidRDefault="00A46D75" w:rsidP="009A4A1A">
      <w:pPr>
        <w:pStyle w:val="3-BodyText"/>
        <w:numPr>
          <w:ilvl w:val="1"/>
          <w:numId w:val="17"/>
        </w:numPr>
        <w:ind w:left="964" w:hanging="284"/>
      </w:pPr>
      <w:r w:rsidRPr="00B1054A">
        <w:t>The treatment is expected to provide a substantial and clinically relevant improvement in efficacy over SoC;</w:t>
      </w:r>
    </w:p>
    <w:p w:rsidR="00A46D75" w:rsidRPr="00B1054A" w:rsidRDefault="00A46D75" w:rsidP="009A4A1A">
      <w:pPr>
        <w:pStyle w:val="3-BodyText"/>
        <w:numPr>
          <w:ilvl w:val="1"/>
          <w:numId w:val="17"/>
        </w:numPr>
        <w:ind w:left="964" w:hanging="284"/>
      </w:pPr>
      <w:r w:rsidRPr="00B1054A">
        <w:t>The treatment is expected to address a high and urgent unmet clinical need</w:t>
      </w:r>
      <w:r w:rsidR="008E1014" w:rsidRPr="00B1054A">
        <w:t>, however alternative treatments (including cyclosporin) are available and therefore this criteri</w:t>
      </w:r>
      <w:r w:rsidR="00A46078">
        <w:t>on</w:t>
      </w:r>
      <w:r w:rsidR="008E1014" w:rsidRPr="00B1054A">
        <w:t xml:space="preserve"> is not met</w:t>
      </w:r>
      <w:r w:rsidRPr="00B1054A">
        <w:t xml:space="preserve">; and </w:t>
      </w:r>
    </w:p>
    <w:p w:rsidR="00A11B8B" w:rsidRPr="004B33CB" w:rsidRDefault="00237208" w:rsidP="004B33CB">
      <w:pPr>
        <w:pStyle w:val="3-BodyText"/>
        <w:numPr>
          <w:ilvl w:val="1"/>
          <w:numId w:val="17"/>
        </w:numPr>
        <w:ind w:left="964" w:hanging="284"/>
      </w:pPr>
      <w:r w:rsidRPr="00B1054A">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rsidR="00A11B8B" w:rsidRPr="00B1054A" w:rsidRDefault="00A11B8B" w:rsidP="00A11B8B">
      <w:pPr>
        <w:spacing w:before="240"/>
        <w:rPr>
          <w:rFonts w:asciiTheme="minorHAnsi" w:hAnsiTheme="minorHAnsi"/>
          <w:b/>
          <w:bCs/>
          <w:snapToGrid w:val="0"/>
        </w:rPr>
      </w:pPr>
      <w:r w:rsidRPr="00B1054A">
        <w:rPr>
          <w:rFonts w:asciiTheme="minorHAnsi" w:hAnsiTheme="minorHAnsi"/>
          <w:b/>
          <w:bCs/>
          <w:snapToGrid w:val="0"/>
        </w:rPr>
        <w:t>Outcome:</w:t>
      </w:r>
    </w:p>
    <w:p w:rsidR="00A11B8B" w:rsidRPr="00B1054A" w:rsidRDefault="00A11B8B" w:rsidP="00A11B8B">
      <w:pPr>
        <w:rPr>
          <w:rFonts w:asciiTheme="minorHAnsi" w:hAnsiTheme="minorHAnsi"/>
          <w:bCs/>
          <w:snapToGrid w:val="0"/>
        </w:rPr>
      </w:pPr>
      <w:r w:rsidRPr="00B1054A">
        <w:rPr>
          <w:rFonts w:asciiTheme="minorHAnsi" w:hAnsiTheme="minorHAnsi"/>
          <w:bCs/>
          <w:snapToGrid w:val="0"/>
        </w:rPr>
        <w:t>Recommended</w:t>
      </w:r>
    </w:p>
    <w:p w:rsidR="00A11B8B" w:rsidRPr="00B1054A" w:rsidRDefault="00A11B8B" w:rsidP="00A11B8B">
      <w:pPr>
        <w:pStyle w:val="2-SectionHeading"/>
        <w:numPr>
          <w:ilvl w:val="0"/>
          <w:numId w:val="1"/>
        </w:numPr>
      </w:pPr>
      <w:r w:rsidRPr="00B1054A">
        <w:t>Recommended listing</w:t>
      </w:r>
    </w:p>
    <w:p w:rsidR="008F1540" w:rsidRPr="008F1540" w:rsidRDefault="008F1540" w:rsidP="008F1540">
      <w:pPr>
        <w:widowControl w:val="0"/>
        <w:numPr>
          <w:ilvl w:val="1"/>
          <w:numId w:val="1"/>
        </w:numPr>
        <w:spacing w:after="120"/>
        <w:rPr>
          <w:rFonts w:asciiTheme="minorHAnsi" w:hAnsiTheme="minorHAnsi" w:cstheme="minorHAnsi"/>
        </w:rPr>
      </w:pPr>
      <w:r w:rsidRPr="008F1540">
        <w:rPr>
          <w:rFonts w:asciiTheme="minorHAnsi" w:hAnsiTheme="minorHAnsi" w:cstheme="minorHAnsi"/>
        </w:rPr>
        <w:t>Restrictions to be finalised.</w:t>
      </w:r>
    </w:p>
    <w:p w:rsidR="00272B8F" w:rsidRPr="00B1054A" w:rsidRDefault="00272B8F">
      <w:pPr>
        <w:jc w:val="left"/>
      </w:pPr>
      <w:bookmarkStart w:id="47" w:name="_GoBack"/>
      <w:bookmarkEnd w:id="47"/>
    </w:p>
    <w:p w:rsidR="00E61865" w:rsidRPr="005D20E1" w:rsidRDefault="00E61865" w:rsidP="00E61865">
      <w:pPr>
        <w:rPr>
          <w:rFonts w:cs="Calibri"/>
          <w:b/>
          <w:i/>
          <w:iCs/>
        </w:rPr>
      </w:pPr>
      <w:r w:rsidRPr="005D20E1">
        <w:rPr>
          <w:b/>
          <w:i/>
          <w:iCs/>
        </w:rPr>
        <w:t>This restriction may be subject to further review. Should there be any changes made to the restriction the Sponsor will be informed.</w:t>
      </w:r>
    </w:p>
    <w:p w:rsidR="00A11B8B" w:rsidRDefault="00A11B8B" w:rsidP="00FB432B">
      <w:pPr>
        <w:rPr>
          <w:rFonts w:cs="Calibri"/>
        </w:rPr>
      </w:pPr>
    </w:p>
    <w:p w:rsidR="00077708" w:rsidRDefault="00077708" w:rsidP="00077708">
      <w:pPr>
        <w:pStyle w:val="2-SectionHeading"/>
        <w:numPr>
          <w:ilvl w:val="0"/>
          <w:numId w:val="1"/>
        </w:numPr>
        <w:rPr>
          <w:color w:val="1F497D"/>
        </w:rPr>
      </w:pPr>
      <w:r w:rsidRPr="00C07617">
        <w:t>Context for Decision</w:t>
      </w:r>
    </w:p>
    <w:p w:rsidR="00077708" w:rsidRPr="007129F2" w:rsidRDefault="00077708" w:rsidP="00077708">
      <w:pPr>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77708" w:rsidRPr="00C07617" w:rsidRDefault="00077708" w:rsidP="00077708">
      <w:pPr>
        <w:pStyle w:val="2-SectionHeading"/>
        <w:numPr>
          <w:ilvl w:val="0"/>
          <w:numId w:val="1"/>
        </w:numPr>
        <w:rPr>
          <w:b w:val="0"/>
        </w:rPr>
      </w:pPr>
      <w:r>
        <w:lastRenderedPageBreak/>
        <w:t>Sponsor’s Comment</w:t>
      </w:r>
    </w:p>
    <w:p w:rsidR="00077708" w:rsidRPr="00B1054A" w:rsidRDefault="00077708" w:rsidP="00077708">
      <w:pPr>
        <w:ind w:firstLine="709"/>
        <w:rPr>
          <w:rFonts w:cs="Calibri"/>
        </w:rPr>
      </w:pPr>
      <w:r w:rsidRPr="00C07617">
        <w:rPr>
          <w:rFonts w:asciiTheme="minorHAnsi" w:hAnsiTheme="minorHAnsi"/>
          <w:bCs/>
        </w:rPr>
        <w:t>The sponsor had no comment.</w:t>
      </w:r>
    </w:p>
    <w:sectPr w:rsidR="00077708" w:rsidRPr="00B1054A" w:rsidSect="00272B8F">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6ECA4" w16cid:durableId="21FD939D"/>
  <w16cid:commentId w16cid:paraId="0F2EA9D6" w16cid:durableId="21FD9A42"/>
  <w16cid:commentId w16cid:paraId="086FA1E4" w16cid:durableId="21FD9401"/>
  <w16cid:commentId w16cid:paraId="775899D6" w16cid:durableId="21FFB5FA"/>
  <w16cid:commentId w16cid:paraId="39FD2E15" w16cid:durableId="21FFB618"/>
  <w16cid:commentId w16cid:paraId="76D61332" w16cid:durableId="21FD96B7"/>
  <w16cid:commentId w16cid:paraId="249E6EF8" w16cid:durableId="21FD97DC"/>
  <w16cid:commentId w16cid:paraId="593C459B" w16cid:durableId="21FFB5FD"/>
  <w16cid:commentId w16cid:paraId="4A6A0F74" w16cid:durableId="21FFB5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B6" w:rsidRDefault="00BB6CB6" w:rsidP="00124A51">
      <w:r>
        <w:separator/>
      </w:r>
    </w:p>
    <w:p w:rsidR="00BB6CB6" w:rsidRDefault="00BB6CB6"/>
  </w:endnote>
  <w:endnote w:type="continuationSeparator" w:id="0">
    <w:p w:rsidR="00BB6CB6" w:rsidRDefault="00BB6CB6" w:rsidP="00124A51">
      <w:r>
        <w:continuationSeparator/>
      </w:r>
    </w:p>
    <w:p w:rsidR="00BB6CB6" w:rsidRDefault="00BB6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557" w:rsidRDefault="002F7557" w:rsidP="00CB2821">
    <w:pPr>
      <w:ind w:right="360"/>
      <w:jc w:val="center"/>
    </w:pPr>
  </w:p>
  <w:p w:rsidR="002F7557" w:rsidRPr="00E8706D" w:rsidRDefault="002F7557" w:rsidP="00131FFC">
    <w:pPr>
      <w:ind w:right="360"/>
      <w:jc w:val="center"/>
      <w:rPr>
        <w:b/>
      </w:rPr>
    </w:pPr>
    <w:r w:rsidRPr="00E8706D">
      <w:rPr>
        <w:b/>
      </w:rPr>
      <w:fldChar w:fldCharType="begin"/>
    </w:r>
    <w:r w:rsidRPr="00E8706D">
      <w:rPr>
        <w:b/>
      </w:rPr>
      <w:instrText xml:space="preserve"> PAGE   \* MERGEFORMAT </w:instrText>
    </w:r>
    <w:r w:rsidRPr="00E8706D">
      <w:rPr>
        <w:b/>
      </w:rPr>
      <w:fldChar w:fldCharType="separate"/>
    </w:r>
    <w:r w:rsidR="008F1540">
      <w:rPr>
        <w:b/>
        <w:noProof/>
      </w:rPr>
      <w:t>41</w:t>
    </w:r>
    <w:r w:rsidRPr="00E8706D">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B6" w:rsidRDefault="00BB6CB6" w:rsidP="00124A51">
      <w:r>
        <w:separator/>
      </w:r>
    </w:p>
    <w:p w:rsidR="00BB6CB6" w:rsidRDefault="00BB6CB6"/>
  </w:footnote>
  <w:footnote w:type="continuationSeparator" w:id="0">
    <w:p w:rsidR="00BB6CB6" w:rsidRDefault="00BB6CB6" w:rsidP="00124A51">
      <w:r>
        <w:continuationSeparator/>
      </w:r>
    </w:p>
    <w:p w:rsidR="00BB6CB6" w:rsidRDefault="00BB6CB6"/>
  </w:footnote>
  <w:footnote w:id="1">
    <w:p w:rsidR="002F7557" w:rsidRDefault="002F7557">
      <w:pPr>
        <w:pStyle w:val="FootnoteText"/>
      </w:pPr>
      <w:r>
        <w:rPr>
          <w:rStyle w:val="FootnoteReference"/>
        </w:rPr>
        <w:footnoteRef/>
      </w:r>
      <w:r>
        <w:t xml:space="preserve"> </w:t>
      </w:r>
      <w:r w:rsidRPr="00FB47C2">
        <w:rPr>
          <w:iCs/>
        </w:rPr>
        <w:t>Smith, Saxon, et al. "Atopic dermatitis in adults: An Australian management consensus." Australasian Journal of Dermatology (2019).</w:t>
      </w:r>
    </w:p>
  </w:footnote>
  <w:footnote w:id="2">
    <w:p w:rsidR="002F7557" w:rsidRDefault="002F7557">
      <w:pPr>
        <w:pStyle w:val="FootnoteText"/>
      </w:pPr>
      <w:r>
        <w:rPr>
          <w:rStyle w:val="FootnoteReference"/>
        </w:rPr>
        <w:footnoteRef/>
      </w:r>
      <w:r>
        <w:t xml:space="preserve"> </w:t>
      </w:r>
      <w:r w:rsidRPr="00FB47C2">
        <w:rPr>
          <w:iCs/>
          <w:lang w:val="en-GB"/>
        </w:rPr>
        <w:t>Blauvelt, A., et al. "Improvement of atopic dermatitis with dupilumab occurs equally well across different anatomical regions: data from phase III clinical trials." The British journal of dermatology 181.1 (2019): 196</w:t>
      </w:r>
    </w:p>
  </w:footnote>
  <w:footnote w:id="3">
    <w:p w:rsidR="002F7557" w:rsidRDefault="002F7557">
      <w:pPr>
        <w:pStyle w:val="FootnoteText"/>
      </w:pPr>
      <w:r>
        <w:rPr>
          <w:rStyle w:val="FootnoteReference"/>
        </w:rPr>
        <w:footnoteRef/>
      </w:r>
      <w:r>
        <w:t xml:space="preserve"> Sandhu et al. Association between atopic dermatitis and suicidality. A systematic review and meta-analysis. JAMA Dermatol 2019; 155(2): 178-187</w:t>
      </w:r>
    </w:p>
  </w:footnote>
  <w:footnote w:id="4">
    <w:p w:rsidR="002F7557" w:rsidRPr="00FB47C2" w:rsidRDefault="002F7557">
      <w:pPr>
        <w:pStyle w:val="FootnoteText"/>
      </w:pPr>
      <w:r>
        <w:rPr>
          <w:rStyle w:val="FootnoteReference"/>
        </w:rPr>
        <w:footnoteRef/>
      </w:r>
      <w:r>
        <w:t xml:space="preserve"> </w:t>
      </w:r>
      <w:r w:rsidRPr="00FB47C2">
        <w:rPr>
          <w:iCs/>
          <w:lang w:val="en-GB"/>
        </w:rPr>
        <w:t>Deleuran, Mette, et al. "Dupilumab shows long-term safety and efficacy in patients with moderate to severe atopic dermatitis enrolled in a phase 3 open-label extension study." Journal of the American Academy of Dermatology 82.2 (2020): 377-388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557" w:rsidRPr="00E8706D" w:rsidRDefault="002F7557">
    <w:pPr>
      <w:pStyle w:val="Header"/>
      <w:rPr>
        <w:i/>
      </w:rPr>
    </w:pPr>
    <w:r w:rsidRPr="00077708">
      <w:rPr>
        <w:i/>
      </w:rPr>
      <w:t>Public Summary Document</w:t>
    </w:r>
    <w:r>
      <w:rPr>
        <w:i/>
      </w:rPr>
      <w:t xml:space="preserve"> </w:t>
    </w:r>
    <w:r w:rsidRPr="00E8706D">
      <w:rPr>
        <w:i/>
      </w:rPr>
      <w:t>– March 2020 PBAC Meeting</w:t>
    </w:r>
  </w:p>
  <w:p w:rsidR="002F7557" w:rsidRDefault="002F75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CA78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02EC0"/>
    <w:multiLevelType w:val="hybridMultilevel"/>
    <w:tmpl w:val="6A40B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F14A5F"/>
    <w:multiLevelType w:val="multilevel"/>
    <w:tmpl w:val="C29A32E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93A7F"/>
    <w:multiLevelType w:val="hybridMultilevel"/>
    <w:tmpl w:val="7D9AF2AE"/>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6094F"/>
    <w:multiLevelType w:val="hybridMultilevel"/>
    <w:tmpl w:val="9FC0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9473A"/>
    <w:multiLevelType w:val="multilevel"/>
    <w:tmpl w:val="7930977E"/>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D87BF4"/>
    <w:multiLevelType w:val="hybridMultilevel"/>
    <w:tmpl w:val="2194AEC8"/>
    <w:lvl w:ilvl="0" w:tplc="6F6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0B2C96"/>
    <w:multiLevelType w:val="hybridMultilevel"/>
    <w:tmpl w:val="78420520"/>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4C5D05"/>
    <w:multiLevelType w:val="hybridMultilevel"/>
    <w:tmpl w:val="BB72B9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728E1"/>
    <w:multiLevelType w:val="hybridMultilevel"/>
    <w:tmpl w:val="DA60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24F94"/>
    <w:multiLevelType w:val="hybridMultilevel"/>
    <w:tmpl w:val="4FD889BE"/>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479A6"/>
    <w:multiLevelType w:val="hybridMultilevel"/>
    <w:tmpl w:val="6164B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270395"/>
    <w:multiLevelType w:val="hybridMultilevel"/>
    <w:tmpl w:val="428A06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B26D2"/>
    <w:multiLevelType w:val="hybridMultilevel"/>
    <w:tmpl w:val="16506DE6"/>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16C9C"/>
    <w:multiLevelType w:val="hybridMultilevel"/>
    <w:tmpl w:val="F39C5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B775B5"/>
    <w:multiLevelType w:val="hybridMultilevel"/>
    <w:tmpl w:val="C34A92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0C7503F"/>
    <w:multiLevelType w:val="hybridMultilevel"/>
    <w:tmpl w:val="0820EE9A"/>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455CF"/>
    <w:multiLevelType w:val="hybridMultilevel"/>
    <w:tmpl w:val="4ABEB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826B80"/>
    <w:multiLevelType w:val="multilevel"/>
    <w:tmpl w:val="CC8E134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46A50"/>
    <w:multiLevelType w:val="hybridMultilevel"/>
    <w:tmpl w:val="BB72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874280"/>
    <w:multiLevelType w:val="hybridMultilevel"/>
    <w:tmpl w:val="A7948A0C"/>
    <w:lvl w:ilvl="0" w:tplc="5374220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1C6C54"/>
    <w:multiLevelType w:val="hybridMultilevel"/>
    <w:tmpl w:val="C0865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7C266D"/>
    <w:multiLevelType w:val="hybridMultilevel"/>
    <w:tmpl w:val="987A1958"/>
    <w:lvl w:ilvl="0" w:tplc="4D5297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471EA4AC"/>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1"/>
  </w:num>
  <w:num w:numId="3">
    <w:abstractNumId w:val="23"/>
  </w:num>
  <w:num w:numId="4">
    <w:abstractNumId w:val="0"/>
  </w:num>
  <w:num w:numId="5">
    <w:abstractNumId w:val="28"/>
  </w:num>
  <w:num w:numId="6">
    <w:abstractNumId w:val="11"/>
  </w:num>
  <w:num w:numId="7">
    <w:abstractNumId w:val="5"/>
  </w:num>
  <w:num w:numId="8">
    <w:abstractNumId w:val="26"/>
  </w:num>
  <w:num w:numId="9">
    <w:abstractNumId w:val="19"/>
  </w:num>
  <w:num w:numId="10">
    <w:abstractNumId w:val="16"/>
  </w:num>
  <w:num w:numId="11">
    <w:abstractNumId w:val="17"/>
  </w:num>
  <w:num w:numId="12">
    <w:abstractNumId w:val="1"/>
  </w:num>
  <w:num w:numId="13">
    <w:abstractNumId w:val="20"/>
  </w:num>
  <w:num w:numId="14">
    <w:abstractNumId w:val="3"/>
  </w:num>
  <w:num w:numId="15">
    <w:abstractNumId w:val="22"/>
  </w:num>
  <w:num w:numId="16">
    <w:abstractNumId w:val="7"/>
  </w:num>
  <w:num w:numId="17">
    <w:abstractNumId w:val="24"/>
  </w:num>
  <w:num w:numId="18">
    <w:abstractNumId w:val="13"/>
  </w:num>
  <w:num w:numId="19">
    <w:abstractNumId w:val="6"/>
  </w:num>
  <w:num w:numId="20">
    <w:abstractNumId w:val="25"/>
  </w:num>
  <w:num w:numId="21">
    <w:abstractNumId w:val="14"/>
  </w:num>
  <w:num w:numId="22">
    <w:abstractNumId w:val="10"/>
  </w:num>
  <w:num w:numId="23">
    <w:abstractNumId w:val="4"/>
  </w:num>
  <w:num w:numId="24">
    <w:abstractNumId w:val="15"/>
  </w:num>
  <w:num w:numId="25">
    <w:abstractNumId w:val="18"/>
  </w:num>
  <w:num w:numId="26">
    <w:abstractNumId w:val="9"/>
  </w:num>
  <w:num w:numId="27">
    <w:abstractNumId w:val="27"/>
  </w:num>
  <w:num w:numId="28">
    <w:abstractNumId w:val="12"/>
  </w:num>
  <w:num w:numId="29">
    <w:abstractNumId w:val="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8"/>
  </w:num>
  <w:num w:numId="3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46F"/>
    <w:rsid w:val="00000790"/>
    <w:rsid w:val="0000110B"/>
    <w:rsid w:val="00003499"/>
    <w:rsid w:val="000039B7"/>
    <w:rsid w:val="00005937"/>
    <w:rsid w:val="0000639A"/>
    <w:rsid w:val="00011608"/>
    <w:rsid w:val="00013247"/>
    <w:rsid w:val="00015287"/>
    <w:rsid w:val="00015886"/>
    <w:rsid w:val="000162EF"/>
    <w:rsid w:val="00017A9E"/>
    <w:rsid w:val="00017F6C"/>
    <w:rsid w:val="000207C9"/>
    <w:rsid w:val="00021A4A"/>
    <w:rsid w:val="000220DC"/>
    <w:rsid w:val="00022152"/>
    <w:rsid w:val="0002225F"/>
    <w:rsid w:val="00023763"/>
    <w:rsid w:val="000274B8"/>
    <w:rsid w:val="00031CC0"/>
    <w:rsid w:val="00032238"/>
    <w:rsid w:val="00032AF7"/>
    <w:rsid w:val="00033863"/>
    <w:rsid w:val="00035DC0"/>
    <w:rsid w:val="00036829"/>
    <w:rsid w:val="000400F8"/>
    <w:rsid w:val="00040895"/>
    <w:rsid w:val="0004276E"/>
    <w:rsid w:val="000435EE"/>
    <w:rsid w:val="00043C37"/>
    <w:rsid w:val="00044700"/>
    <w:rsid w:val="00045017"/>
    <w:rsid w:val="00045953"/>
    <w:rsid w:val="00045A2B"/>
    <w:rsid w:val="0004698F"/>
    <w:rsid w:val="0004735A"/>
    <w:rsid w:val="000539D0"/>
    <w:rsid w:val="00054087"/>
    <w:rsid w:val="0005439D"/>
    <w:rsid w:val="00054621"/>
    <w:rsid w:val="000546D7"/>
    <w:rsid w:val="00054F38"/>
    <w:rsid w:val="00056ECF"/>
    <w:rsid w:val="000604DF"/>
    <w:rsid w:val="000653B5"/>
    <w:rsid w:val="00065BD4"/>
    <w:rsid w:val="00066360"/>
    <w:rsid w:val="00066AF8"/>
    <w:rsid w:val="0007048C"/>
    <w:rsid w:val="00071248"/>
    <w:rsid w:val="00071ADB"/>
    <w:rsid w:val="000720B9"/>
    <w:rsid w:val="00072E2A"/>
    <w:rsid w:val="000737F7"/>
    <w:rsid w:val="000739CB"/>
    <w:rsid w:val="00075C7C"/>
    <w:rsid w:val="0007672F"/>
    <w:rsid w:val="00076B54"/>
    <w:rsid w:val="000774F0"/>
    <w:rsid w:val="00077708"/>
    <w:rsid w:val="00077E65"/>
    <w:rsid w:val="00080909"/>
    <w:rsid w:val="00080A6E"/>
    <w:rsid w:val="000812CA"/>
    <w:rsid w:val="00081E63"/>
    <w:rsid w:val="0008258D"/>
    <w:rsid w:val="0008376A"/>
    <w:rsid w:val="00083E99"/>
    <w:rsid w:val="00084FA8"/>
    <w:rsid w:val="00085053"/>
    <w:rsid w:val="000856C5"/>
    <w:rsid w:val="00085C31"/>
    <w:rsid w:val="000902D9"/>
    <w:rsid w:val="00090C7E"/>
    <w:rsid w:val="00092600"/>
    <w:rsid w:val="0009262B"/>
    <w:rsid w:val="00093310"/>
    <w:rsid w:val="0009445C"/>
    <w:rsid w:val="00094A97"/>
    <w:rsid w:val="00095200"/>
    <w:rsid w:val="00095FE5"/>
    <w:rsid w:val="00096284"/>
    <w:rsid w:val="00097058"/>
    <w:rsid w:val="000A1BC0"/>
    <w:rsid w:val="000A6039"/>
    <w:rsid w:val="000A7453"/>
    <w:rsid w:val="000A7D08"/>
    <w:rsid w:val="000A7D48"/>
    <w:rsid w:val="000B0121"/>
    <w:rsid w:val="000B0527"/>
    <w:rsid w:val="000B0670"/>
    <w:rsid w:val="000B0E75"/>
    <w:rsid w:val="000B2DCB"/>
    <w:rsid w:val="000B4379"/>
    <w:rsid w:val="000B5C2C"/>
    <w:rsid w:val="000B5CE0"/>
    <w:rsid w:val="000B6CAC"/>
    <w:rsid w:val="000B7612"/>
    <w:rsid w:val="000B78AE"/>
    <w:rsid w:val="000C3DF9"/>
    <w:rsid w:val="000C6713"/>
    <w:rsid w:val="000C70FA"/>
    <w:rsid w:val="000D1BFC"/>
    <w:rsid w:val="000D1D5D"/>
    <w:rsid w:val="000D281A"/>
    <w:rsid w:val="000D2848"/>
    <w:rsid w:val="000D326A"/>
    <w:rsid w:val="000D51FB"/>
    <w:rsid w:val="000D5266"/>
    <w:rsid w:val="000E0640"/>
    <w:rsid w:val="000E135D"/>
    <w:rsid w:val="000E2F2D"/>
    <w:rsid w:val="000F00BA"/>
    <w:rsid w:val="000F00E2"/>
    <w:rsid w:val="000F134B"/>
    <w:rsid w:val="000F1678"/>
    <w:rsid w:val="000F1682"/>
    <w:rsid w:val="000F316A"/>
    <w:rsid w:val="000F3C74"/>
    <w:rsid w:val="000F4BB8"/>
    <w:rsid w:val="000F4FA9"/>
    <w:rsid w:val="000F53FB"/>
    <w:rsid w:val="000F7127"/>
    <w:rsid w:val="000F7A2D"/>
    <w:rsid w:val="000F7B54"/>
    <w:rsid w:val="00100F8A"/>
    <w:rsid w:val="0010118E"/>
    <w:rsid w:val="001033C4"/>
    <w:rsid w:val="0010452E"/>
    <w:rsid w:val="00104C16"/>
    <w:rsid w:val="00105163"/>
    <w:rsid w:val="00105AE2"/>
    <w:rsid w:val="001060C6"/>
    <w:rsid w:val="00106B80"/>
    <w:rsid w:val="0011032E"/>
    <w:rsid w:val="001116F0"/>
    <w:rsid w:val="0011348B"/>
    <w:rsid w:val="00113AF9"/>
    <w:rsid w:val="001151D4"/>
    <w:rsid w:val="00115982"/>
    <w:rsid w:val="00116A14"/>
    <w:rsid w:val="00116C53"/>
    <w:rsid w:val="00121799"/>
    <w:rsid w:val="001222FC"/>
    <w:rsid w:val="00123902"/>
    <w:rsid w:val="0012464A"/>
    <w:rsid w:val="00124A51"/>
    <w:rsid w:val="00125C13"/>
    <w:rsid w:val="00126621"/>
    <w:rsid w:val="00126B1D"/>
    <w:rsid w:val="001301E9"/>
    <w:rsid w:val="00131D82"/>
    <w:rsid w:val="00131E6E"/>
    <w:rsid w:val="00131FFC"/>
    <w:rsid w:val="00132071"/>
    <w:rsid w:val="001329D7"/>
    <w:rsid w:val="00132B22"/>
    <w:rsid w:val="00133D36"/>
    <w:rsid w:val="00134905"/>
    <w:rsid w:val="00137645"/>
    <w:rsid w:val="0014015A"/>
    <w:rsid w:val="00140849"/>
    <w:rsid w:val="00140E99"/>
    <w:rsid w:val="00142CE0"/>
    <w:rsid w:val="00143F67"/>
    <w:rsid w:val="00145540"/>
    <w:rsid w:val="001456B0"/>
    <w:rsid w:val="00146C25"/>
    <w:rsid w:val="0015064D"/>
    <w:rsid w:val="001521E8"/>
    <w:rsid w:val="00154AF0"/>
    <w:rsid w:val="001551AF"/>
    <w:rsid w:val="00156F8F"/>
    <w:rsid w:val="00157130"/>
    <w:rsid w:val="001576B1"/>
    <w:rsid w:val="0016047B"/>
    <w:rsid w:val="00160A4C"/>
    <w:rsid w:val="0016128A"/>
    <w:rsid w:val="00162913"/>
    <w:rsid w:val="00163EFF"/>
    <w:rsid w:val="00163F66"/>
    <w:rsid w:val="00164436"/>
    <w:rsid w:val="001644B0"/>
    <w:rsid w:val="00165402"/>
    <w:rsid w:val="001661FB"/>
    <w:rsid w:val="00166FEB"/>
    <w:rsid w:val="001671A0"/>
    <w:rsid w:val="0016767F"/>
    <w:rsid w:val="00173565"/>
    <w:rsid w:val="00173796"/>
    <w:rsid w:val="00173B07"/>
    <w:rsid w:val="00173EB7"/>
    <w:rsid w:val="001751FA"/>
    <w:rsid w:val="001779C5"/>
    <w:rsid w:val="00177B0A"/>
    <w:rsid w:val="00181D9C"/>
    <w:rsid w:val="00184B0E"/>
    <w:rsid w:val="0018752F"/>
    <w:rsid w:val="00192F83"/>
    <w:rsid w:val="00193838"/>
    <w:rsid w:val="00194AD8"/>
    <w:rsid w:val="00195222"/>
    <w:rsid w:val="001975D8"/>
    <w:rsid w:val="001A178E"/>
    <w:rsid w:val="001A1B7C"/>
    <w:rsid w:val="001A43FA"/>
    <w:rsid w:val="001A47C5"/>
    <w:rsid w:val="001A492C"/>
    <w:rsid w:val="001A59FB"/>
    <w:rsid w:val="001A5E9E"/>
    <w:rsid w:val="001A6354"/>
    <w:rsid w:val="001A6366"/>
    <w:rsid w:val="001A7AE8"/>
    <w:rsid w:val="001B073A"/>
    <w:rsid w:val="001B204E"/>
    <w:rsid w:val="001B21D2"/>
    <w:rsid w:val="001B2372"/>
    <w:rsid w:val="001B3443"/>
    <w:rsid w:val="001B4D20"/>
    <w:rsid w:val="001B5990"/>
    <w:rsid w:val="001C1258"/>
    <w:rsid w:val="001C2A9B"/>
    <w:rsid w:val="001C4299"/>
    <w:rsid w:val="001C4874"/>
    <w:rsid w:val="001C5F94"/>
    <w:rsid w:val="001C6E66"/>
    <w:rsid w:val="001C7391"/>
    <w:rsid w:val="001D1100"/>
    <w:rsid w:val="001D1391"/>
    <w:rsid w:val="001D25D7"/>
    <w:rsid w:val="001D50B2"/>
    <w:rsid w:val="001D7645"/>
    <w:rsid w:val="001E1E86"/>
    <w:rsid w:val="001E238E"/>
    <w:rsid w:val="001E2483"/>
    <w:rsid w:val="001E2B1E"/>
    <w:rsid w:val="001E2CA9"/>
    <w:rsid w:val="001E2CFF"/>
    <w:rsid w:val="001E2F24"/>
    <w:rsid w:val="001E30D4"/>
    <w:rsid w:val="001E34DF"/>
    <w:rsid w:val="001E403E"/>
    <w:rsid w:val="001E52EB"/>
    <w:rsid w:val="001E61D2"/>
    <w:rsid w:val="001E740C"/>
    <w:rsid w:val="001F1235"/>
    <w:rsid w:val="001F1CB3"/>
    <w:rsid w:val="001F2545"/>
    <w:rsid w:val="001F38B5"/>
    <w:rsid w:val="001F4081"/>
    <w:rsid w:val="001F5C6E"/>
    <w:rsid w:val="001F6DBF"/>
    <w:rsid w:val="001F7361"/>
    <w:rsid w:val="002011B0"/>
    <w:rsid w:val="00203181"/>
    <w:rsid w:val="00203783"/>
    <w:rsid w:val="0020385F"/>
    <w:rsid w:val="00206308"/>
    <w:rsid w:val="002068A0"/>
    <w:rsid w:val="00207021"/>
    <w:rsid w:val="0020732F"/>
    <w:rsid w:val="00207D00"/>
    <w:rsid w:val="00210197"/>
    <w:rsid w:val="002105C1"/>
    <w:rsid w:val="002107ED"/>
    <w:rsid w:val="00213EF5"/>
    <w:rsid w:val="00215B87"/>
    <w:rsid w:val="00216100"/>
    <w:rsid w:val="00216BF5"/>
    <w:rsid w:val="00216EF1"/>
    <w:rsid w:val="00216F1B"/>
    <w:rsid w:val="002205DF"/>
    <w:rsid w:val="00222E15"/>
    <w:rsid w:val="00223B49"/>
    <w:rsid w:val="00223B9F"/>
    <w:rsid w:val="00223D5A"/>
    <w:rsid w:val="00223FBF"/>
    <w:rsid w:val="00224D80"/>
    <w:rsid w:val="00224DD4"/>
    <w:rsid w:val="002253A0"/>
    <w:rsid w:val="002278A0"/>
    <w:rsid w:val="002309CC"/>
    <w:rsid w:val="0023209F"/>
    <w:rsid w:val="00233C01"/>
    <w:rsid w:val="0023413C"/>
    <w:rsid w:val="002346F0"/>
    <w:rsid w:val="0023629D"/>
    <w:rsid w:val="00237208"/>
    <w:rsid w:val="00237255"/>
    <w:rsid w:val="00240812"/>
    <w:rsid w:val="002420F5"/>
    <w:rsid w:val="002424AF"/>
    <w:rsid w:val="002439DC"/>
    <w:rsid w:val="002441D2"/>
    <w:rsid w:val="00244DC8"/>
    <w:rsid w:val="002454B9"/>
    <w:rsid w:val="002458BA"/>
    <w:rsid w:val="00245CE9"/>
    <w:rsid w:val="0024636C"/>
    <w:rsid w:val="00247925"/>
    <w:rsid w:val="0025041F"/>
    <w:rsid w:val="00251006"/>
    <w:rsid w:val="002524D5"/>
    <w:rsid w:val="00253B1D"/>
    <w:rsid w:val="00254964"/>
    <w:rsid w:val="00254DCF"/>
    <w:rsid w:val="0025534B"/>
    <w:rsid w:val="00255BB7"/>
    <w:rsid w:val="002564C2"/>
    <w:rsid w:val="00257541"/>
    <w:rsid w:val="00257A39"/>
    <w:rsid w:val="00257AC4"/>
    <w:rsid w:val="00260DD4"/>
    <w:rsid w:val="00261403"/>
    <w:rsid w:val="00261EEF"/>
    <w:rsid w:val="00262A1A"/>
    <w:rsid w:val="00262A87"/>
    <w:rsid w:val="00262E29"/>
    <w:rsid w:val="00264D26"/>
    <w:rsid w:val="00267642"/>
    <w:rsid w:val="002679D2"/>
    <w:rsid w:val="00267AEA"/>
    <w:rsid w:val="002700E6"/>
    <w:rsid w:val="00270648"/>
    <w:rsid w:val="002722EC"/>
    <w:rsid w:val="0027294B"/>
    <w:rsid w:val="00272B8F"/>
    <w:rsid w:val="00273C43"/>
    <w:rsid w:val="00273EB4"/>
    <w:rsid w:val="00274682"/>
    <w:rsid w:val="00275C5A"/>
    <w:rsid w:val="002765A2"/>
    <w:rsid w:val="0028067A"/>
    <w:rsid w:val="00280A5C"/>
    <w:rsid w:val="00281014"/>
    <w:rsid w:val="00281E7B"/>
    <w:rsid w:val="00282AE7"/>
    <w:rsid w:val="0028474C"/>
    <w:rsid w:val="00284C3E"/>
    <w:rsid w:val="0028665D"/>
    <w:rsid w:val="002910BB"/>
    <w:rsid w:val="00296653"/>
    <w:rsid w:val="002A0C2F"/>
    <w:rsid w:val="002A0FC7"/>
    <w:rsid w:val="002A14AB"/>
    <w:rsid w:val="002A2ADE"/>
    <w:rsid w:val="002A2F50"/>
    <w:rsid w:val="002A63F0"/>
    <w:rsid w:val="002B05A1"/>
    <w:rsid w:val="002B076F"/>
    <w:rsid w:val="002B09A4"/>
    <w:rsid w:val="002B1286"/>
    <w:rsid w:val="002B1C1F"/>
    <w:rsid w:val="002B432F"/>
    <w:rsid w:val="002B4F70"/>
    <w:rsid w:val="002B62B3"/>
    <w:rsid w:val="002B6754"/>
    <w:rsid w:val="002B6CCE"/>
    <w:rsid w:val="002B740C"/>
    <w:rsid w:val="002B74DA"/>
    <w:rsid w:val="002B779A"/>
    <w:rsid w:val="002C1183"/>
    <w:rsid w:val="002C19C4"/>
    <w:rsid w:val="002C2510"/>
    <w:rsid w:val="002C2775"/>
    <w:rsid w:val="002C27C1"/>
    <w:rsid w:val="002C5099"/>
    <w:rsid w:val="002C5889"/>
    <w:rsid w:val="002C64FE"/>
    <w:rsid w:val="002C71CE"/>
    <w:rsid w:val="002C76C0"/>
    <w:rsid w:val="002D08F8"/>
    <w:rsid w:val="002D227A"/>
    <w:rsid w:val="002D35C6"/>
    <w:rsid w:val="002D577C"/>
    <w:rsid w:val="002E1071"/>
    <w:rsid w:val="002E15B9"/>
    <w:rsid w:val="002E19BB"/>
    <w:rsid w:val="002E2158"/>
    <w:rsid w:val="002E4F02"/>
    <w:rsid w:val="002E56F8"/>
    <w:rsid w:val="002E6742"/>
    <w:rsid w:val="002E7201"/>
    <w:rsid w:val="002E7722"/>
    <w:rsid w:val="002E7D06"/>
    <w:rsid w:val="002F07BA"/>
    <w:rsid w:val="002F0DA9"/>
    <w:rsid w:val="002F1014"/>
    <w:rsid w:val="002F3C37"/>
    <w:rsid w:val="002F58AF"/>
    <w:rsid w:val="002F643C"/>
    <w:rsid w:val="002F6ADE"/>
    <w:rsid w:val="002F71C0"/>
    <w:rsid w:val="002F74F1"/>
    <w:rsid w:val="002F7557"/>
    <w:rsid w:val="00301017"/>
    <w:rsid w:val="0030155F"/>
    <w:rsid w:val="0030587B"/>
    <w:rsid w:val="00305957"/>
    <w:rsid w:val="00306D98"/>
    <w:rsid w:val="0030786C"/>
    <w:rsid w:val="0031031A"/>
    <w:rsid w:val="00310981"/>
    <w:rsid w:val="00311020"/>
    <w:rsid w:val="00312283"/>
    <w:rsid w:val="003124D9"/>
    <w:rsid w:val="00312594"/>
    <w:rsid w:val="0031379B"/>
    <w:rsid w:val="00315498"/>
    <w:rsid w:val="003163BF"/>
    <w:rsid w:val="00316474"/>
    <w:rsid w:val="0032068F"/>
    <w:rsid w:val="00322107"/>
    <w:rsid w:val="00322355"/>
    <w:rsid w:val="00322846"/>
    <w:rsid w:val="0032500D"/>
    <w:rsid w:val="00325B60"/>
    <w:rsid w:val="00326DA7"/>
    <w:rsid w:val="003270E4"/>
    <w:rsid w:val="00330A14"/>
    <w:rsid w:val="00330DAA"/>
    <w:rsid w:val="00330F5C"/>
    <w:rsid w:val="00331890"/>
    <w:rsid w:val="00332FF9"/>
    <w:rsid w:val="00333F40"/>
    <w:rsid w:val="00335077"/>
    <w:rsid w:val="003366C9"/>
    <w:rsid w:val="0033673C"/>
    <w:rsid w:val="003371B0"/>
    <w:rsid w:val="00340700"/>
    <w:rsid w:val="0034081D"/>
    <w:rsid w:val="00340C91"/>
    <w:rsid w:val="00340DF1"/>
    <w:rsid w:val="00344873"/>
    <w:rsid w:val="00344BE0"/>
    <w:rsid w:val="00344F35"/>
    <w:rsid w:val="0035050D"/>
    <w:rsid w:val="003517F9"/>
    <w:rsid w:val="00351BA9"/>
    <w:rsid w:val="003531CD"/>
    <w:rsid w:val="00354F64"/>
    <w:rsid w:val="0035620E"/>
    <w:rsid w:val="0036002F"/>
    <w:rsid w:val="00360345"/>
    <w:rsid w:val="00361A05"/>
    <w:rsid w:val="0036219D"/>
    <w:rsid w:val="003624C4"/>
    <w:rsid w:val="00363B00"/>
    <w:rsid w:val="003654AC"/>
    <w:rsid w:val="003710CF"/>
    <w:rsid w:val="00371307"/>
    <w:rsid w:val="0037358A"/>
    <w:rsid w:val="003750F6"/>
    <w:rsid w:val="00375916"/>
    <w:rsid w:val="00375E4C"/>
    <w:rsid w:val="003760FC"/>
    <w:rsid w:val="00377971"/>
    <w:rsid w:val="0038365C"/>
    <w:rsid w:val="0038369B"/>
    <w:rsid w:val="00383840"/>
    <w:rsid w:val="00383B78"/>
    <w:rsid w:val="003841CB"/>
    <w:rsid w:val="00385A9D"/>
    <w:rsid w:val="003902B1"/>
    <w:rsid w:val="0039179C"/>
    <w:rsid w:val="00392074"/>
    <w:rsid w:val="00392BEF"/>
    <w:rsid w:val="00393A6A"/>
    <w:rsid w:val="00396896"/>
    <w:rsid w:val="00396FD0"/>
    <w:rsid w:val="003A0977"/>
    <w:rsid w:val="003A114D"/>
    <w:rsid w:val="003A1A7A"/>
    <w:rsid w:val="003A2392"/>
    <w:rsid w:val="003A2831"/>
    <w:rsid w:val="003A3CB6"/>
    <w:rsid w:val="003A3ED1"/>
    <w:rsid w:val="003A44DB"/>
    <w:rsid w:val="003A63D0"/>
    <w:rsid w:val="003A6A3E"/>
    <w:rsid w:val="003A73B0"/>
    <w:rsid w:val="003B09BC"/>
    <w:rsid w:val="003B0C28"/>
    <w:rsid w:val="003B3971"/>
    <w:rsid w:val="003B55D1"/>
    <w:rsid w:val="003B5B61"/>
    <w:rsid w:val="003C02F3"/>
    <w:rsid w:val="003C0F48"/>
    <w:rsid w:val="003C0F58"/>
    <w:rsid w:val="003C1654"/>
    <w:rsid w:val="003C1874"/>
    <w:rsid w:val="003C1A43"/>
    <w:rsid w:val="003C2EC6"/>
    <w:rsid w:val="003C3452"/>
    <w:rsid w:val="003C5542"/>
    <w:rsid w:val="003C7D19"/>
    <w:rsid w:val="003C7D2F"/>
    <w:rsid w:val="003D1828"/>
    <w:rsid w:val="003D1DE4"/>
    <w:rsid w:val="003D1E9A"/>
    <w:rsid w:val="003D2422"/>
    <w:rsid w:val="003D2E9F"/>
    <w:rsid w:val="003D39A1"/>
    <w:rsid w:val="003D3FBF"/>
    <w:rsid w:val="003D4A30"/>
    <w:rsid w:val="003D6BD2"/>
    <w:rsid w:val="003D7452"/>
    <w:rsid w:val="003D79BB"/>
    <w:rsid w:val="003D7C98"/>
    <w:rsid w:val="003D7D9D"/>
    <w:rsid w:val="003E0543"/>
    <w:rsid w:val="003E2EEB"/>
    <w:rsid w:val="003E41A8"/>
    <w:rsid w:val="003E533B"/>
    <w:rsid w:val="003E749E"/>
    <w:rsid w:val="003F3151"/>
    <w:rsid w:val="003F4156"/>
    <w:rsid w:val="003F5ADF"/>
    <w:rsid w:val="003F6520"/>
    <w:rsid w:val="00400B29"/>
    <w:rsid w:val="00402BC4"/>
    <w:rsid w:val="00403B1D"/>
    <w:rsid w:val="00404D96"/>
    <w:rsid w:val="00404D97"/>
    <w:rsid w:val="0040504B"/>
    <w:rsid w:val="004059F4"/>
    <w:rsid w:val="00407FE5"/>
    <w:rsid w:val="004101B0"/>
    <w:rsid w:val="00410326"/>
    <w:rsid w:val="00410708"/>
    <w:rsid w:val="00410EC7"/>
    <w:rsid w:val="00411B39"/>
    <w:rsid w:val="004127A7"/>
    <w:rsid w:val="00412A2C"/>
    <w:rsid w:val="00413581"/>
    <w:rsid w:val="00413A1E"/>
    <w:rsid w:val="00414476"/>
    <w:rsid w:val="00414C2E"/>
    <w:rsid w:val="004151CF"/>
    <w:rsid w:val="00416364"/>
    <w:rsid w:val="0042047F"/>
    <w:rsid w:val="00420AA6"/>
    <w:rsid w:val="00420B9F"/>
    <w:rsid w:val="00421724"/>
    <w:rsid w:val="0042192C"/>
    <w:rsid w:val="00421AB4"/>
    <w:rsid w:val="00422260"/>
    <w:rsid w:val="0042413F"/>
    <w:rsid w:val="00424A83"/>
    <w:rsid w:val="0042619E"/>
    <w:rsid w:val="004319F8"/>
    <w:rsid w:val="00431AE1"/>
    <w:rsid w:val="00431E55"/>
    <w:rsid w:val="004321F6"/>
    <w:rsid w:val="00433044"/>
    <w:rsid w:val="00434057"/>
    <w:rsid w:val="00434088"/>
    <w:rsid w:val="00434C61"/>
    <w:rsid w:val="004375B9"/>
    <w:rsid w:val="00442653"/>
    <w:rsid w:val="004428D0"/>
    <w:rsid w:val="00442A84"/>
    <w:rsid w:val="00444185"/>
    <w:rsid w:val="004443A7"/>
    <w:rsid w:val="0044442C"/>
    <w:rsid w:val="00445941"/>
    <w:rsid w:val="004460F2"/>
    <w:rsid w:val="004464EB"/>
    <w:rsid w:val="00447D26"/>
    <w:rsid w:val="00447DFC"/>
    <w:rsid w:val="00450A89"/>
    <w:rsid w:val="004523A1"/>
    <w:rsid w:val="00455D45"/>
    <w:rsid w:val="00457805"/>
    <w:rsid w:val="00461210"/>
    <w:rsid w:val="004632F0"/>
    <w:rsid w:val="00463801"/>
    <w:rsid w:val="00464595"/>
    <w:rsid w:val="004647A7"/>
    <w:rsid w:val="00464B55"/>
    <w:rsid w:val="00465705"/>
    <w:rsid w:val="004658B5"/>
    <w:rsid w:val="00465B78"/>
    <w:rsid w:val="00471EA5"/>
    <w:rsid w:val="00472A79"/>
    <w:rsid w:val="004730C1"/>
    <w:rsid w:val="00473F19"/>
    <w:rsid w:val="00475E22"/>
    <w:rsid w:val="00477157"/>
    <w:rsid w:val="00477B92"/>
    <w:rsid w:val="0048088E"/>
    <w:rsid w:val="00480C87"/>
    <w:rsid w:val="00480F2B"/>
    <w:rsid w:val="004817B7"/>
    <w:rsid w:val="00481F54"/>
    <w:rsid w:val="004820CC"/>
    <w:rsid w:val="00482720"/>
    <w:rsid w:val="00482E55"/>
    <w:rsid w:val="004835E7"/>
    <w:rsid w:val="004838F7"/>
    <w:rsid w:val="004849D9"/>
    <w:rsid w:val="004867E2"/>
    <w:rsid w:val="00487AFB"/>
    <w:rsid w:val="00490B17"/>
    <w:rsid w:val="00491B3A"/>
    <w:rsid w:val="0049267F"/>
    <w:rsid w:val="00492CFD"/>
    <w:rsid w:val="00494207"/>
    <w:rsid w:val="00494900"/>
    <w:rsid w:val="00494DD5"/>
    <w:rsid w:val="00495E4A"/>
    <w:rsid w:val="004962D2"/>
    <w:rsid w:val="004A0DA1"/>
    <w:rsid w:val="004A13D6"/>
    <w:rsid w:val="004A2016"/>
    <w:rsid w:val="004A52E9"/>
    <w:rsid w:val="004A5D84"/>
    <w:rsid w:val="004A6040"/>
    <w:rsid w:val="004A6597"/>
    <w:rsid w:val="004A7848"/>
    <w:rsid w:val="004A79E4"/>
    <w:rsid w:val="004A7C1E"/>
    <w:rsid w:val="004B1CB4"/>
    <w:rsid w:val="004B2223"/>
    <w:rsid w:val="004B2F18"/>
    <w:rsid w:val="004B33CB"/>
    <w:rsid w:val="004B3DDB"/>
    <w:rsid w:val="004B44FD"/>
    <w:rsid w:val="004B5CFC"/>
    <w:rsid w:val="004B67EF"/>
    <w:rsid w:val="004B6F79"/>
    <w:rsid w:val="004B774D"/>
    <w:rsid w:val="004C2282"/>
    <w:rsid w:val="004C4922"/>
    <w:rsid w:val="004C4AED"/>
    <w:rsid w:val="004D02B4"/>
    <w:rsid w:val="004D2C2D"/>
    <w:rsid w:val="004D34B8"/>
    <w:rsid w:val="004D69B5"/>
    <w:rsid w:val="004D6A98"/>
    <w:rsid w:val="004D7227"/>
    <w:rsid w:val="004D73B5"/>
    <w:rsid w:val="004E0E7F"/>
    <w:rsid w:val="004E0EB8"/>
    <w:rsid w:val="004E18E9"/>
    <w:rsid w:val="004E2112"/>
    <w:rsid w:val="004E2ADC"/>
    <w:rsid w:val="004E43B2"/>
    <w:rsid w:val="004E6EDE"/>
    <w:rsid w:val="004F1D02"/>
    <w:rsid w:val="004F2679"/>
    <w:rsid w:val="004F2F21"/>
    <w:rsid w:val="004F3DE5"/>
    <w:rsid w:val="004F6913"/>
    <w:rsid w:val="004F6BE3"/>
    <w:rsid w:val="004F7865"/>
    <w:rsid w:val="004F79C7"/>
    <w:rsid w:val="005014FF"/>
    <w:rsid w:val="0050174E"/>
    <w:rsid w:val="00501854"/>
    <w:rsid w:val="0050219B"/>
    <w:rsid w:val="00503F17"/>
    <w:rsid w:val="005046AF"/>
    <w:rsid w:val="005054B6"/>
    <w:rsid w:val="00506918"/>
    <w:rsid w:val="00506928"/>
    <w:rsid w:val="005077EF"/>
    <w:rsid w:val="00511AD5"/>
    <w:rsid w:val="00511DC7"/>
    <w:rsid w:val="0051390F"/>
    <w:rsid w:val="005142C5"/>
    <w:rsid w:val="0051501B"/>
    <w:rsid w:val="005152B5"/>
    <w:rsid w:val="00515D8F"/>
    <w:rsid w:val="00520336"/>
    <w:rsid w:val="0052123C"/>
    <w:rsid w:val="00521319"/>
    <w:rsid w:val="00521F9A"/>
    <w:rsid w:val="00522BC8"/>
    <w:rsid w:val="00522E7C"/>
    <w:rsid w:val="00523C28"/>
    <w:rsid w:val="0052557D"/>
    <w:rsid w:val="00530219"/>
    <w:rsid w:val="00531166"/>
    <w:rsid w:val="0053176B"/>
    <w:rsid w:val="005331F8"/>
    <w:rsid w:val="0053445A"/>
    <w:rsid w:val="0053556B"/>
    <w:rsid w:val="00535C11"/>
    <w:rsid w:val="0053626B"/>
    <w:rsid w:val="00536F42"/>
    <w:rsid w:val="00537182"/>
    <w:rsid w:val="00541EDD"/>
    <w:rsid w:val="00542743"/>
    <w:rsid w:val="00542C2D"/>
    <w:rsid w:val="00543343"/>
    <w:rsid w:val="00543F29"/>
    <w:rsid w:val="005478BD"/>
    <w:rsid w:val="005479E3"/>
    <w:rsid w:val="00547EEF"/>
    <w:rsid w:val="00551985"/>
    <w:rsid w:val="00552BD3"/>
    <w:rsid w:val="005532A0"/>
    <w:rsid w:val="00555109"/>
    <w:rsid w:val="00556B35"/>
    <w:rsid w:val="0055741A"/>
    <w:rsid w:val="005611B7"/>
    <w:rsid w:val="005618D4"/>
    <w:rsid w:val="00561C07"/>
    <w:rsid w:val="00561EA1"/>
    <w:rsid w:val="0056292D"/>
    <w:rsid w:val="00565DF0"/>
    <w:rsid w:val="0056696F"/>
    <w:rsid w:val="00570213"/>
    <w:rsid w:val="00572269"/>
    <w:rsid w:val="0057244A"/>
    <w:rsid w:val="00572F26"/>
    <w:rsid w:val="005731C3"/>
    <w:rsid w:val="005750C5"/>
    <w:rsid w:val="005752DE"/>
    <w:rsid w:val="00575D8D"/>
    <w:rsid w:val="00576972"/>
    <w:rsid w:val="00577252"/>
    <w:rsid w:val="005835D4"/>
    <w:rsid w:val="00583699"/>
    <w:rsid w:val="00585CDD"/>
    <w:rsid w:val="00587058"/>
    <w:rsid w:val="00587C59"/>
    <w:rsid w:val="00591957"/>
    <w:rsid w:val="00591AD5"/>
    <w:rsid w:val="005940E2"/>
    <w:rsid w:val="0059463E"/>
    <w:rsid w:val="005960C3"/>
    <w:rsid w:val="00597067"/>
    <w:rsid w:val="0059793A"/>
    <w:rsid w:val="00597BF9"/>
    <w:rsid w:val="005A309A"/>
    <w:rsid w:val="005A373D"/>
    <w:rsid w:val="005A5F0C"/>
    <w:rsid w:val="005A64E0"/>
    <w:rsid w:val="005A73BA"/>
    <w:rsid w:val="005B0B58"/>
    <w:rsid w:val="005B13D8"/>
    <w:rsid w:val="005B2C67"/>
    <w:rsid w:val="005B4E53"/>
    <w:rsid w:val="005B5857"/>
    <w:rsid w:val="005B5A27"/>
    <w:rsid w:val="005B66D7"/>
    <w:rsid w:val="005C0CB5"/>
    <w:rsid w:val="005C1B83"/>
    <w:rsid w:val="005C25FF"/>
    <w:rsid w:val="005C29AD"/>
    <w:rsid w:val="005C2D55"/>
    <w:rsid w:val="005C346B"/>
    <w:rsid w:val="005C36FF"/>
    <w:rsid w:val="005C40CE"/>
    <w:rsid w:val="005C7993"/>
    <w:rsid w:val="005D044D"/>
    <w:rsid w:val="005D0ABD"/>
    <w:rsid w:val="005D18AD"/>
    <w:rsid w:val="005D20E1"/>
    <w:rsid w:val="005D26B4"/>
    <w:rsid w:val="005D3692"/>
    <w:rsid w:val="005D4103"/>
    <w:rsid w:val="005E1F4F"/>
    <w:rsid w:val="005E35EA"/>
    <w:rsid w:val="005E6C88"/>
    <w:rsid w:val="005E6CBC"/>
    <w:rsid w:val="005E72FF"/>
    <w:rsid w:val="005E73C0"/>
    <w:rsid w:val="005F2706"/>
    <w:rsid w:val="005F6A8F"/>
    <w:rsid w:val="005F6BB7"/>
    <w:rsid w:val="005F7588"/>
    <w:rsid w:val="00600617"/>
    <w:rsid w:val="00601813"/>
    <w:rsid w:val="00603DB9"/>
    <w:rsid w:val="00605005"/>
    <w:rsid w:val="00606FBA"/>
    <w:rsid w:val="00607669"/>
    <w:rsid w:val="006076F4"/>
    <w:rsid w:val="00607AFD"/>
    <w:rsid w:val="00612564"/>
    <w:rsid w:val="00612F97"/>
    <w:rsid w:val="0061345D"/>
    <w:rsid w:val="00613A0C"/>
    <w:rsid w:val="00613E75"/>
    <w:rsid w:val="0061549B"/>
    <w:rsid w:val="00616802"/>
    <w:rsid w:val="00617922"/>
    <w:rsid w:val="00617E12"/>
    <w:rsid w:val="00620C25"/>
    <w:rsid w:val="00621477"/>
    <w:rsid w:val="00621ADA"/>
    <w:rsid w:val="00623F7B"/>
    <w:rsid w:val="00625D23"/>
    <w:rsid w:val="00626B5E"/>
    <w:rsid w:val="0063158F"/>
    <w:rsid w:val="00631D6B"/>
    <w:rsid w:val="00632183"/>
    <w:rsid w:val="006330A1"/>
    <w:rsid w:val="0063361F"/>
    <w:rsid w:val="00633FEB"/>
    <w:rsid w:val="0063479F"/>
    <w:rsid w:val="006353F0"/>
    <w:rsid w:val="006357B5"/>
    <w:rsid w:val="006364A1"/>
    <w:rsid w:val="0063678E"/>
    <w:rsid w:val="00637BFD"/>
    <w:rsid w:val="00641C4E"/>
    <w:rsid w:val="00641FB3"/>
    <w:rsid w:val="00642F0D"/>
    <w:rsid w:val="0064434C"/>
    <w:rsid w:val="00644E1B"/>
    <w:rsid w:val="006471CC"/>
    <w:rsid w:val="00647A29"/>
    <w:rsid w:val="00647ACC"/>
    <w:rsid w:val="0065079F"/>
    <w:rsid w:val="00651430"/>
    <w:rsid w:val="00652A28"/>
    <w:rsid w:val="0065379F"/>
    <w:rsid w:val="00654EB1"/>
    <w:rsid w:val="00656188"/>
    <w:rsid w:val="00656314"/>
    <w:rsid w:val="00656792"/>
    <w:rsid w:val="0065715A"/>
    <w:rsid w:val="0065720D"/>
    <w:rsid w:val="00660865"/>
    <w:rsid w:val="006610F1"/>
    <w:rsid w:val="00661330"/>
    <w:rsid w:val="00661C6B"/>
    <w:rsid w:val="006631BC"/>
    <w:rsid w:val="00667FE6"/>
    <w:rsid w:val="00671004"/>
    <w:rsid w:val="00672283"/>
    <w:rsid w:val="00672646"/>
    <w:rsid w:val="00674E42"/>
    <w:rsid w:val="006813F8"/>
    <w:rsid w:val="00682112"/>
    <w:rsid w:val="00682BA6"/>
    <w:rsid w:val="006841DA"/>
    <w:rsid w:val="006854C5"/>
    <w:rsid w:val="00685DD4"/>
    <w:rsid w:val="00686054"/>
    <w:rsid w:val="00686957"/>
    <w:rsid w:val="006872BA"/>
    <w:rsid w:val="00690795"/>
    <w:rsid w:val="00691648"/>
    <w:rsid w:val="006917D7"/>
    <w:rsid w:val="0069434C"/>
    <w:rsid w:val="00694F44"/>
    <w:rsid w:val="006959A1"/>
    <w:rsid w:val="00695EAA"/>
    <w:rsid w:val="0069625B"/>
    <w:rsid w:val="00696F51"/>
    <w:rsid w:val="00697618"/>
    <w:rsid w:val="00697664"/>
    <w:rsid w:val="006979A5"/>
    <w:rsid w:val="006A151B"/>
    <w:rsid w:val="006A16F9"/>
    <w:rsid w:val="006A5169"/>
    <w:rsid w:val="006A5513"/>
    <w:rsid w:val="006A6380"/>
    <w:rsid w:val="006A6B99"/>
    <w:rsid w:val="006A7E5F"/>
    <w:rsid w:val="006B261B"/>
    <w:rsid w:val="006B2C90"/>
    <w:rsid w:val="006B35E6"/>
    <w:rsid w:val="006B465A"/>
    <w:rsid w:val="006B51C2"/>
    <w:rsid w:val="006B6DD0"/>
    <w:rsid w:val="006C0399"/>
    <w:rsid w:val="006C17F3"/>
    <w:rsid w:val="006C2400"/>
    <w:rsid w:val="006C246C"/>
    <w:rsid w:val="006C2A8E"/>
    <w:rsid w:val="006C2BCD"/>
    <w:rsid w:val="006C3255"/>
    <w:rsid w:val="006C36CD"/>
    <w:rsid w:val="006C37FB"/>
    <w:rsid w:val="006C3F26"/>
    <w:rsid w:val="006D0D17"/>
    <w:rsid w:val="006D3C7D"/>
    <w:rsid w:val="006D428B"/>
    <w:rsid w:val="006D4659"/>
    <w:rsid w:val="006D491C"/>
    <w:rsid w:val="006D5D5F"/>
    <w:rsid w:val="006D5E23"/>
    <w:rsid w:val="006D68FB"/>
    <w:rsid w:val="006E2868"/>
    <w:rsid w:val="006F1DA8"/>
    <w:rsid w:val="006F306C"/>
    <w:rsid w:val="006F5DA7"/>
    <w:rsid w:val="006F63A5"/>
    <w:rsid w:val="006F7F29"/>
    <w:rsid w:val="0070142B"/>
    <w:rsid w:val="0070276E"/>
    <w:rsid w:val="00702F8F"/>
    <w:rsid w:val="00703D17"/>
    <w:rsid w:val="007079FC"/>
    <w:rsid w:val="00710944"/>
    <w:rsid w:val="00711A36"/>
    <w:rsid w:val="00714C26"/>
    <w:rsid w:val="0071529C"/>
    <w:rsid w:val="00716C71"/>
    <w:rsid w:val="007170DA"/>
    <w:rsid w:val="007172AD"/>
    <w:rsid w:val="00720801"/>
    <w:rsid w:val="00722B1B"/>
    <w:rsid w:val="00722C19"/>
    <w:rsid w:val="00723EFA"/>
    <w:rsid w:val="0072416F"/>
    <w:rsid w:val="00724A94"/>
    <w:rsid w:val="00724BB7"/>
    <w:rsid w:val="00727C94"/>
    <w:rsid w:val="0073017F"/>
    <w:rsid w:val="00731B0A"/>
    <w:rsid w:val="00731EAE"/>
    <w:rsid w:val="007322AC"/>
    <w:rsid w:val="00733073"/>
    <w:rsid w:val="00735033"/>
    <w:rsid w:val="00735271"/>
    <w:rsid w:val="00735328"/>
    <w:rsid w:val="00735B3E"/>
    <w:rsid w:val="0073685B"/>
    <w:rsid w:val="00737118"/>
    <w:rsid w:val="007408EC"/>
    <w:rsid w:val="0074097F"/>
    <w:rsid w:val="00741A25"/>
    <w:rsid w:val="007449BF"/>
    <w:rsid w:val="00746BC0"/>
    <w:rsid w:val="00750042"/>
    <w:rsid w:val="007510B4"/>
    <w:rsid w:val="00752142"/>
    <w:rsid w:val="007523F9"/>
    <w:rsid w:val="00753468"/>
    <w:rsid w:val="0075357E"/>
    <w:rsid w:val="00753E9E"/>
    <w:rsid w:val="007573E8"/>
    <w:rsid w:val="00757415"/>
    <w:rsid w:val="00757DE3"/>
    <w:rsid w:val="0076087A"/>
    <w:rsid w:val="00760C4E"/>
    <w:rsid w:val="00760F9E"/>
    <w:rsid w:val="00761A30"/>
    <w:rsid w:val="007627BE"/>
    <w:rsid w:val="00763ABC"/>
    <w:rsid w:val="00764F03"/>
    <w:rsid w:val="00765461"/>
    <w:rsid w:val="007655AD"/>
    <w:rsid w:val="00765B1A"/>
    <w:rsid w:val="007701AF"/>
    <w:rsid w:val="00771784"/>
    <w:rsid w:val="007725E4"/>
    <w:rsid w:val="00777335"/>
    <w:rsid w:val="00781CA3"/>
    <w:rsid w:val="00783989"/>
    <w:rsid w:val="0078437F"/>
    <w:rsid w:val="007843F2"/>
    <w:rsid w:val="00784FB6"/>
    <w:rsid w:val="00785A9F"/>
    <w:rsid w:val="007870C2"/>
    <w:rsid w:val="007925DF"/>
    <w:rsid w:val="0079269C"/>
    <w:rsid w:val="007A08AA"/>
    <w:rsid w:val="007A0A12"/>
    <w:rsid w:val="007A132D"/>
    <w:rsid w:val="007A1345"/>
    <w:rsid w:val="007A2DDB"/>
    <w:rsid w:val="007A70BA"/>
    <w:rsid w:val="007B07D4"/>
    <w:rsid w:val="007B0D68"/>
    <w:rsid w:val="007B251D"/>
    <w:rsid w:val="007B2FBB"/>
    <w:rsid w:val="007B4F58"/>
    <w:rsid w:val="007B528D"/>
    <w:rsid w:val="007B5693"/>
    <w:rsid w:val="007B63CA"/>
    <w:rsid w:val="007B77D1"/>
    <w:rsid w:val="007B7BF1"/>
    <w:rsid w:val="007C07C7"/>
    <w:rsid w:val="007C1CD9"/>
    <w:rsid w:val="007C32EF"/>
    <w:rsid w:val="007C361D"/>
    <w:rsid w:val="007C37F1"/>
    <w:rsid w:val="007C4B84"/>
    <w:rsid w:val="007C5786"/>
    <w:rsid w:val="007C70FF"/>
    <w:rsid w:val="007C7559"/>
    <w:rsid w:val="007C7C25"/>
    <w:rsid w:val="007D004F"/>
    <w:rsid w:val="007D0B38"/>
    <w:rsid w:val="007D3389"/>
    <w:rsid w:val="007D5440"/>
    <w:rsid w:val="007D5995"/>
    <w:rsid w:val="007D69EB"/>
    <w:rsid w:val="007E128F"/>
    <w:rsid w:val="007E5503"/>
    <w:rsid w:val="007F0B3D"/>
    <w:rsid w:val="007F0F3C"/>
    <w:rsid w:val="007F1017"/>
    <w:rsid w:val="007F1BDE"/>
    <w:rsid w:val="007F1E56"/>
    <w:rsid w:val="007F4A3F"/>
    <w:rsid w:val="007F4A61"/>
    <w:rsid w:val="007F5255"/>
    <w:rsid w:val="007F56CC"/>
    <w:rsid w:val="007F61C2"/>
    <w:rsid w:val="00802EAE"/>
    <w:rsid w:val="00803994"/>
    <w:rsid w:val="008048D3"/>
    <w:rsid w:val="00805142"/>
    <w:rsid w:val="00805FCE"/>
    <w:rsid w:val="00806094"/>
    <w:rsid w:val="00807A8B"/>
    <w:rsid w:val="00810F26"/>
    <w:rsid w:val="00811383"/>
    <w:rsid w:val="00812149"/>
    <w:rsid w:val="00812CAC"/>
    <w:rsid w:val="00814D5F"/>
    <w:rsid w:val="008157CA"/>
    <w:rsid w:val="00816361"/>
    <w:rsid w:val="008166EF"/>
    <w:rsid w:val="00816FEF"/>
    <w:rsid w:val="00820A8C"/>
    <w:rsid w:val="008215FB"/>
    <w:rsid w:val="00823174"/>
    <w:rsid w:val="00825751"/>
    <w:rsid w:val="008264EB"/>
    <w:rsid w:val="0082662A"/>
    <w:rsid w:val="0082666F"/>
    <w:rsid w:val="008277AE"/>
    <w:rsid w:val="00830087"/>
    <w:rsid w:val="00833B05"/>
    <w:rsid w:val="00835AE9"/>
    <w:rsid w:val="008362B4"/>
    <w:rsid w:val="00840CA2"/>
    <w:rsid w:val="0084374F"/>
    <w:rsid w:val="00844A22"/>
    <w:rsid w:val="00847703"/>
    <w:rsid w:val="00847DF5"/>
    <w:rsid w:val="0085065B"/>
    <w:rsid w:val="0085309D"/>
    <w:rsid w:val="00856897"/>
    <w:rsid w:val="008568A8"/>
    <w:rsid w:val="00856E9A"/>
    <w:rsid w:val="0086075D"/>
    <w:rsid w:val="00862502"/>
    <w:rsid w:val="00862CC1"/>
    <w:rsid w:val="0086323A"/>
    <w:rsid w:val="00863250"/>
    <w:rsid w:val="00865E5F"/>
    <w:rsid w:val="008660D4"/>
    <w:rsid w:val="0086618B"/>
    <w:rsid w:val="00871FA9"/>
    <w:rsid w:val="008728E9"/>
    <w:rsid w:val="00881154"/>
    <w:rsid w:val="00882874"/>
    <w:rsid w:val="00882E3C"/>
    <w:rsid w:val="00883787"/>
    <w:rsid w:val="008855E4"/>
    <w:rsid w:val="00886CD2"/>
    <w:rsid w:val="00891E6F"/>
    <w:rsid w:val="008924AF"/>
    <w:rsid w:val="0089275D"/>
    <w:rsid w:val="00892A36"/>
    <w:rsid w:val="00893239"/>
    <w:rsid w:val="00893F5C"/>
    <w:rsid w:val="00894489"/>
    <w:rsid w:val="008963A5"/>
    <w:rsid w:val="00896D5D"/>
    <w:rsid w:val="008977AB"/>
    <w:rsid w:val="008A3363"/>
    <w:rsid w:val="008A3371"/>
    <w:rsid w:val="008A3C3E"/>
    <w:rsid w:val="008A61C2"/>
    <w:rsid w:val="008A738F"/>
    <w:rsid w:val="008A79DE"/>
    <w:rsid w:val="008A7F28"/>
    <w:rsid w:val="008B1699"/>
    <w:rsid w:val="008B1757"/>
    <w:rsid w:val="008B6FC8"/>
    <w:rsid w:val="008B767A"/>
    <w:rsid w:val="008B7992"/>
    <w:rsid w:val="008B7D7E"/>
    <w:rsid w:val="008C3807"/>
    <w:rsid w:val="008C4037"/>
    <w:rsid w:val="008C4168"/>
    <w:rsid w:val="008C49C9"/>
    <w:rsid w:val="008C5610"/>
    <w:rsid w:val="008C5739"/>
    <w:rsid w:val="008C7ECB"/>
    <w:rsid w:val="008D0083"/>
    <w:rsid w:val="008D02D7"/>
    <w:rsid w:val="008D3B86"/>
    <w:rsid w:val="008D4755"/>
    <w:rsid w:val="008D4C3D"/>
    <w:rsid w:val="008D743C"/>
    <w:rsid w:val="008E0D3C"/>
    <w:rsid w:val="008E1014"/>
    <w:rsid w:val="008E1B9E"/>
    <w:rsid w:val="008E55AB"/>
    <w:rsid w:val="008F0377"/>
    <w:rsid w:val="008F120A"/>
    <w:rsid w:val="008F1540"/>
    <w:rsid w:val="008F1618"/>
    <w:rsid w:val="008F27E0"/>
    <w:rsid w:val="008F3887"/>
    <w:rsid w:val="008F43FB"/>
    <w:rsid w:val="008F48EB"/>
    <w:rsid w:val="008F4CBB"/>
    <w:rsid w:val="008F4F0B"/>
    <w:rsid w:val="008F7DFA"/>
    <w:rsid w:val="00900016"/>
    <w:rsid w:val="009046C4"/>
    <w:rsid w:val="009062A5"/>
    <w:rsid w:val="00910FA7"/>
    <w:rsid w:val="00911272"/>
    <w:rsid w:val="00911600"/>
    <w:rsid w:val="0091178E"/>
    <w:rsid w:val="00912BE2"/>
    <w:rsid w:val="009135D6"/>
    <w:rsid w:val="00914A8B"/>
    <w:rsid w:val="00914C77"/>
    <w:rsid w:val="009157A8"/>
    <w:rsid w:val="00917C25"/>
    <w:rsid w:val="00921ACB"/>
    <w:rsid w:val="0092369B"/>
    <w:rsid w:val="00924527"/>
    <w:rsid w:val="009255B7"/>
    <w:rsid w:val="00926292"/>
    <w:rsid w:val="00930E09"/>
    <w:rsid w:val="00932611"/>
    <w:rsid w:val="0093391B"/>
    <w:rsid w:val="00934988"/>
    <w:rsid w:val="00937089"/>
    <w:rsid w:val="00937A4D"/>
    <w:rsid w:val="00944F8A"/>
    <w:rsid w:val="00945730"/>
    <w:rsid w:val="00945AF2"/>
    <w:rsid w:val="009510A2"/>
    <w:rsid w:val="00953257"/>
    <w:rsid w:val="0095474C"/>
    <w:rsid w:val="00954FAE"/>
    <w:rsid w:val="00956846"/>
    <w:rsid w:val="0096211F"/>
    <w:rsid w:val="009626B0"/>
    <w:rsid w:val="00962CB9"/>
    <w:rsid w:val="00964312"/>
    <w:rsid w:val="00965B8A"/>
    <w:rsid w:val="00965D7B"/>
    <w:rsid w:val="00965F11"/>
    <w:rsid w:val="0097071F"/>
    <w:rsid w:val="0097137C"/>
    <w:rsid w:val="009717AC"/>
    <w:rsid w:val="009724B4"/>
    <w:rsid w:val="0097475C"/>
    <w:rsid w:val="009751C1"/>
    <w:rsid w:val="00975AFE"/>
    <w:rsid w:val="00976EE3"/>
    <w:rsid w:val="009801E5"/>
    <w:rsid w:val="009811F1"/>
    <w:rsid w:val="00982053"/>
    <w:rsid w:val="00982662"/>
    <w:rsid w:val="00983E57"/>
    <w:rsid w:val="00985DE2"/>
    <w:rsid w:val="0098675D"/>
    <w:rsid w:val="009867F5"/>
    <w:rsid w:val="009926E0"/>
    <w:rsid w:val="00993CC6"/>
    <w:rsid w:val="009941AF"/>
    <w:rsid w:val="0099451E"/>
    <w:rsid w:val="00996B1A"/>
    <w:rsid w:val="00996BBB"/>
    <w:rsid w:val="009977D1"/>
    <w:rsid w:val="009A2DCC"/>
    <w:rsid w:val="009A3FFC"/>
    <w:rsid w:val="009A4A1A"/>
    <w:rsid w:val="009A523E"/>
    <w:rsid w:val="009A5ABC"/>
    <w:rsid w:val="009A6A5F"/>
    <w:rsid w:val="009A7F10"/>
    <w:rsid w:val="009B06AF"/>
    <w:rsid w:val="009B07AD"/>
    <w:rsid w:val="009B3E26"/>
    <w:rsid w:val="009B565E"/>
    <w:rsid w:val="009B62F4"/>
    <w:rsid w:val="009B7678"/>
    <w:rsid w:val="009B7718"/>
    <w:rsid w:val="009C29B5"/>
    <w:rsid w:val="009C3706"/>
    <w:rsid w:val="009C3A3A"/>
    <w:rsid w:val="009C6CEA"/>
    <w:rsid w:val="009C7B85"/>
    <w:rsid w:val="009D0254"/>
    <w:rsid w:val="009D1A64"/>
    <w:rsid w:val="009D2719"/>
    <w:rsid w:val="009D2CFB"/>
    <w:rsid w:val="009D5B91"/>
    <w:rsid w:val="009D6159"/>
    <w:rsid w:val="009D758C"/>
    <w:rsid w:val="009D77CA"/>
    <w:rsid w:val="009D792E"/>
    <w:rsid w:val="009E0DFE"/>
    <w:rsid w:val="009E31F6"/>
    <w:rsid w:val="009E3560"/>
    <w:rsid w:val="009E4C07"/>
    <w:rsid w:val="009F1351"/>
    <w:rsid w:val="009F1C3D"/>
    <w:rsid w:val="009F2640"/>
    <w:rsid w:val="009F6014"/>
    <w:rsid w:val="009F7AB6"/>
    <w:rsid w:val="00A00C7A"/>
    <w:rsid w:val="00A01184"/>
    <w:rsid w:val="00A037C2"/>
    <w:rsid w:val="00A03D43"/>
    <w:rsid w:val="00A04380"/>
    <w:rsid w:val="00A05472"/>
    <w:rsid w:val="00A05C32"/>
    <w:rsid w:val="00A0653F"/>
    <w:rsid w:val="00A11461"/>
    <w:rsid w:val="00A11B8B"/>
    <w:rsid w:val="00A11CD0"/>
    <w:rsid w:val="00A13948"/>
    <w:rsid w:val="00A1555B"/>
    <w:rsid w:val="00A155C5"/>
    <w:rsid w:val="00A16AD8"/>
    <w:rsid w:val="00A172AC"/>
    <w:rsid w:val="00A21C95"/>
    <w:rsid w:val="00A21CF3"/>
    <w:rsid w:val="00A22D27"/>
    <w:rsid w:val="00A2382D"/>
    <w:rsid w:val="00A24813"/>
    <w:rsid w:val="00A2594E"/>
    <w:rsid w:val="00A26F93"/>
    <w:rsid w:val="00A27AEC"/>
    <w:rsid w:val="00A320DB"/>
    <w:rsid w:val="00A32656"/>
    <w:rsid w:val="00A347DC"/>
    <w:rsid w:val="00A35D16"/>
    <w:rsid w:val="00A3792A"/>
    <w:rsid w:val="00A37BCD"/>
    <w:rsid w:val="00A400B6"/>
    <w:rsid w:val="00A41689"/>
    <w:rsid w:val="00A41828"/>
    <w:rsid w:val="00A42592"/>
    <w:rsid w:val="00A4391C"/>
    <w:rsid w:val="00A43C59"/>
    <w:rsid w:val="00A45304"/>
    <w:rsid w:val="00A46078"/>
    <w:rsid w:val="00A46D75"/>
    <w:rsid w:val="00A46F22"/>
    <w:rsid w:val="00A46FB0"/>
    <w:rsid w:val="00A4753F"/>
    <w:rsid w:val="00A50AA0"/>
    <w:rsid w:val="00A50D68"/>
    <w:rsid w:val="00A50ECD"/>
    <w:rsid w:val="00A518F3"/>
    <w:rsid w:val="00A52213"/>
    <w:rsid w:val="00A52729"/>
    <w:rsid w:val="00A53675"/>
    <w:rsid w:val="00A53B45"/>
    <w:rsid w:val="00A564D7"/>
    <w:rsid w:val="00A56B4F"/>
    <w:rsid w:val="00A56B6A"/>
    <w:rsid w:val="00A578DC"/>
    <w:rsid w:val="00A60E9B"/>
    <w:rsid w:val="00A63377"/>
    <w:rsid w:val="00A63A73"/>
    <w:rsid w:val="00A640E2"/>
    <w:rsid w:val="00A64D65"/>
    <w:rsid w:val="00A654A7"/>
    <w:rsid w:val="00A66CBD"/>
    <w:rsid w:val="00A6725B"/>
    <w:rsid w:val="00A70605"/>
    <w:rsid w:val="00A717FE"/>
    <w:rsid w:val="00A72451"/>
    <w:rsid w:val="00A73134"/>
    <w:rsid w:val="00A73CC9"/>
    <w:rsid w:val="00A76001"/>
    <w:rsid w:val="00A777B2"/>
    <w:rsid w:val="00A825D4"/>
    <w:rsid w:val="00A828F6"/>
    <w:rsid w:val="00A82B73"/>
    <w:rsid w:val="00A839EC"/>
    <w:rsid w:val="00A84781"/>
    <w:rsid w:val="00A84A02"/>
    <w:rsid w:val="00A86E8B"/>
    <w:rsid w:val="00A87164"/>
    <w:rsid w:val="00A905BA"/>
    <w:rsid w:val="00A93072"/>
    <w:rsid w:val="00A938BD"/>
    <w:rsid w:val="00A93953"/>
    <w:rsid w:val="00A94D8F"/>
    <w:rsid w:val="00A9564A"/>
    <w:rsid w:val="00A959D8"/>
    <w:rsid w:val="00AA092F"/>
    <w:rsid w:val="00AA113D"/>
    <w:rsid w:val="00AA6BD5"/>
    <w:rsid w:val="00AA6BD8"/>
    <w:rsid w:val="00AA6C7D"/>
    <w:rsid w:val="00AA7FD6"/>
    <w:rsid w:val="00AB042A"/>
    <w:rsid w:val="00AB09C1"/>
    <w:rsid w:val="00AB0F02"/>
    <w:rsid w:val="00AB19EF"/>
    <w:rsid w:val="00AB2D34"/>
    <w:rsid w:val="00AB3133"/>
    <w:rsid w:val="00AB3430"/>
    <w:rsid w:val="00AB37B9"/>
    <w:rsid w:val="00AB419F"/>
    <w:rsid w:val="00AB4AD1"/>
    <w:rsid w:val="00AB5E07"/>
    <w:rsid w:val="00AB7CFA"/>
    <w:rsid w:val="00AC0697"/>
    <w:rsid w:val="00AC0703"/>
    <w:rsid w:val="00AC25F3"/>
    <w:rsid w:val="00AC3E44"/>
    <w:rsid w:val="00AC470B"/>
    <w:rsid w:val="00AC5B48"/>
    <w:rsid w:val="00AD1450"/>
    <w:rsid w:val="00AD2208"/>
    <w:rsid w:val="00AD6502"/>
    <w:rsid w:val="00AE0695"/>
    <w:rsid w:val="00AE13C2"/>
    <w:rsid w:val="00AE3E7E"/>
    <w:rsid w:val="00AE5C13"/>
    <w:rsid w:val="00AE6956"/>
    <w:rsid w:val="00AF1315"/>
    <w:rsid w:val="00AF19BF"/>
    <w:rsid w:val="00AF210D"/>
    <w:rsid w:val="00AF2DC3"/>
    <w:rsid w:val="00AF3FE6"/>
    <w:rsid w:val="00B00846"/>
    <w:rsid w:val="00B033E5"/>
    <w:rsid w:val="00B03A63"/>
    <w:rsid w:val="00B1054A"/>
    <w:rsid w:val="00B10704"/>
    <w:rsid w:val="00B10F7F"/>
    <w:rsid w:val="00B13A6C"/>
    <w:rsid w:val="00B1785F"/>
    <w:rsid w:val="00B201A4"/>
    <w:rsid w:val="00B201D1"/>
    <w:rsid w:val="00B20399"/>
    <w:rsid w:val="00B213A6"/>
    <w:rsid w:val="00B231EB"/>
    <w:rsid w:val="00B235B0"/>
    <w:rsid w:val="00B24DF6"/>
    <w:rsid w:val="00B27313"/>
    <w:rsid w:val="00B3093C"/>
    <w:rsid w:val="00B328D1"/>
    <w:rsid w:val="00B34FE2"/>
    <w:rsid w:val="00B35166"/>
    <w:rsid w:val="00B357D8"/>
    <w:rsid w:val="00B360F4"/>
    <w:rsid w:val="00B36A00"/>
    <w:rsid w:val="00B37BFC"/>
    <w:rsid w:val="00B37C61"/>
    <w:rsid w:val="00B40358"/>
    <w:rsid w:val="00B414AF"/>
    <w:rsid w:val="00B41614"/>
    <w:rsid w:val="00B42851"/>
    <w:rsid w:val="00B42F80"/>
    <w:rsid w:val="00B435CB"/>
    <w:rsid w:val="00B4361F"/>
    <w:rsid w:val="00B505C8"/>
    <w:rsid w:val="00B50DB8"/>
    <w:rsid w:val="00B51606"/>
    <w:rsid w:val="00B53654"/>
    <w:rsid w:val="00B53905"/>
    <w:rsid w:val="00B54B5B"/>
    <w:rsid w:val="00B55169"/>
    <w:rsid w:val="00B5562E"/>
    <w:rsid w:val="00B55D65"/>
    <w:rsid w:val="00B5612A"/>
    <w:rsid w:val="00B57000"/>
    <w:rsid w:val="00B57C17"/>
    <w:rsid w:val="00B60939"/>
    <w:rsid w:val="00B60AFD"/>
    <w:rsid w:val="00B62715"/>
    <w:rsid w:val="00B63C9B"/>
    <w:rsid w:val="00B645C3"/>
    <w:rsid w:val="00B64626"/>
    <w:rsid w:val="00B65611"/>
    <w:rsid w:val="00B669CC"/>
    <w:rsid w:val="00B70E8E"/>
    <w:rsid w:val="00B73419"/>
    <w:rsid w:val="00B74418"/>
    <w:rsid w:val="00B76C92"/>
    <w:rsid w:val="00B81789"/>
    <w:rsid w:val="00B818A4"/>
    <w:rsid w:val="00B84117"/>
    <w:rsid w:val="00B858F0"/>
    <w:rsid w:val="00B85AA2"/>
    <w:rsid w:val="00B8649C"/>
    <w:rsid w:val="00B8695D"/>
    <w:rsid w:val="00B86AB6"/>
    <w:rsid w:val="00B8714D"/>
    <w:rsid w:val="00B87F0A"/>
    <w:rsid w:val="00B92AFB"/>
    <w:rsid w:val="00B92D0B"/>
    <w:rsid w:val="00B92D9E"/>
    <w:rsid w:val="00B94945"/>
    <w:rsid w:val="00B94DD6"/>
    <w:rsid w:val="00B96C46"/>
    <w:rsid w:val="00BA1E9E"/>
    <w:rsid w:val="00BA322D"/>
    <w:rsid w:val="00BA36D3"/>
    <w:rsid w:val="00BA48C9"/>
    <w:rsid w:val="00BA63FA"/>
    <w:rsid w:val="00BB00B3"/>
    <w:rsid w:val="00BB0BDD"/>
    <w:rsid w:val="00BB176C"/>
    <w:rsid w:val="00BB19B1"/>
    <w:rsid w:val="00BB2A73"/>
    <w:rsid w:val="00BB2E7A"/>
    <w:rsid w:val="00BB3A45"/>
    <w:rsid w:val="00BB4ACC"/>
    <w:rsid w:val="00BB6CB6"/>
    <w:rsid w:val="00BB703E"/>
    <w:rsid w:val="00BB7280"/>
    <w:rsid w:val="00BB732D"/>
    <w:rsid w:val="00BB7405"/>
    <w:rsid w:val="00BC012E"/>
    <w:rsid w:val="00BC1746"/>
    <w:rsid w:val="00BC3631"/>
    <w:rsid w:val="00BC43C4"/>
    <w:rsid w:val="00BC591F"/>
    <w:rsid w:val="00BC6E20"/>
    <w:rsid w:val="00BC79B3"/>
    <w:rsid w:val="00BC7D6D"/>
    <w:rsid w:val="00BD018A"/>
    <w:rsid w:val="00BD0D5B"/>
    <w:rsid w:val="00BD10AD"/>
    <w:rsid w:val="00BD1FFA"/>
    <w:rsid w:val="00BD2108"/>
    <w:rsid w:val="00BD5539"/>
    <w:rsid w:val="00BD660D"/>
    <w:rsid w:val="00BD68A3"/>
    <w:rsid w:val="00BD6938"/>
    <w:rsid w:val="00BD6CF3"/>
    <w:rsid w:val="00BD74EE"/>
    <w:rsid w:val="00BE0ECA"/>
    <w:rsid w:val="00BE192D"/>
    <w:rsid w:val="00BE2180"/>
    <w:rsid w:val="00BE21F2"/>
    <w:rsid w:val="00BE4275"/>
    <w:rsid w:val="00BE6F10"/>
    <w:rsid w:val="00BF06AE"/>
    <w:rsid w:val="00BF0F95"/>
    <w:rsid w:val="00BF1390"/>
    <w:rsid w:val="00BF2433"/>
    <w:rsid w:val="00BF61C9"/>
    <w:rsid w:val="00BF6C94"/>
    <w:rsid w:val="00C00424"/>
    <w:rsid w:val="00C00EAD"/>
    <w:rsid w:val="00C05050"/>
    <w:rsid w:val="00C05FE0"/>
    <w:rsid w:val="00C1179F"/>
    <w:rsid w:val="00C12C14"/>
    <w:rsid w:val="00C13744"/>
    <w:rsid w:val="00C15F04"/>
    <w:rsid w:val="00C17674"/>
    <w:rsid w:val="00C179B3"/>
    <w:rsid w:val="00C17E3F"/>
    <w:rsid w:val="00C200AA"/>
    <w:rsid w:val="00C2299D"/>
    <w:rsid w:val="00C237ED"/>
    <w:rsid w:val="00C24632"/>
    <w:rsid w:val="00C251D5"/>
    <w:rsid w:val="00C25418"/>
    <w:rsid w:val="00C25D9C"/>
    <w:rsid w:val="00C267E0"/>
    <w:rsid w:val="00C2778B"/>
    <w:rsid w:val="00C30BEA"/>
    <w:rsid w:val="00C31649"/>
    <w:rsid w:val="00C332A9"/>
    <w:rsid w:val="00C332AB"/>
    <w:rsid w:val="00C34277"/>
    <w:rsid w:val="00C3434C"/>
    <w:rsid w:val="00C369D9"/>
    <w:rsid w:val="00C36B4B"/>
    <w:rsid w:val="00C40385"/>
    <w:rsid w:val="00C40B98"/>
    <w:rsid w:val="00C41768"/>
    <w:rsid w:val="00C42AEE"/>
    <w:rsid w:val="00C451D7"/>
    <w:rsid w:val="00C45C07"/>
    <w:rsid w:val="00C46175"/>
    <w:rsid w:val="00C475AA"/>
    <w:rsid w:val="00C509C2"/>
    <w:rsid w:val="00C5137D"/>
    <w:rsid w:val="00C53C98"/>
    <w:rsid w:val="00C546AA"/>
    <w:rsid w:val="00C56FCF"/>
    <w:rsid w:val="00C57B6C"/>
    <w:rsid w:val="00C62251"/>
    <w:rsid w:val="00C628A6"/>
    <w:rsid w:val="00C64344"/>
    <w:rsid w:val="00C644E1"/>
    <w:rsid w:val="00C65108"/>
    <w:rsid w:val="00C65576"/>
    <w:rsid w:val="00C65A63"/>
    <w:rsid w:val="00C65CBF"/>
    <w:rsid w:val="00C66165"/>
    <w:rsid w:val="00C67024"/>
    <w:rsid w:val="00C7046C"/>
    <w:rsid w:val="00C7057E"/>
    <w:rsid w:val="00C7060A"/>
    <w:rsid w:val="00C7151A"/>
    <w:rsid w:val="00C717E3"/>
    <w:rsid w:val="00C71F60"/>
    <w:rsid w:val="00C72241"/>
    <w:rsid w:val="00C734D0"/>
    <w:rsid w:val="00C750C8"/>
    <w:rsid w:val="00C7560F"/>
    <w:rsid w:val="00C7640D"/>
    <w:rsid w:val="00C774CB"/>
    <w:rsid w:val="00C80A0E"/>
    <w:rsid w:val="00C81205"/>
    <w:rsid w:val="00C8213F"/>
    <w:rsid w:val="00C82AB2"/>
    <w:rsid w:val="00C844E4"/>
    <w:rsid w:val="00C84CA2"/>
    <w:rsid w:val="00C85154"/>
    <w:rsid w:val="00C8797A"/>
    <w:rsid w:val="00C900B8"/>
    <w:rsid w:val="00C90C71"/>
    <w:rsid w:val="00C91C28"/>
    <w:rsid w:val="00C91FD1"/>
    <w:rsid w:val="00C931CF"/>
    <w:rsid w:val="00C938CF"/>
    <w:rsid w:val="00C94053"/>
    <w:rsid w:val="00C95386"/>
    <w:rsid w:val="00C9624D"/>
    <w:rsid w:val="00C969DA"/>
    <w:rsid w:val="00C9760B"/>
    <w:rsid w:val="00CA1597"/>
    <w:rsid w:val="00CA1A8E"/>
    <w:rsid w:val="00CA2C77"/>
    <w:rsid w:val="00CA444F"/>
    <w:rsid w:val="00CA49DF"/>
    <w:rsid w:val="00CA5080"/>
    <w:rsid w:val="00CA5245"/>
    <w:rsid w:val="00CA71F4"/>
    <w:rsid w:val="00CA7B09"/>
    <w:rsid w:val="00CB12A5"/>
    <w:rsid w:val="00CB1CAC"/>
    <w:rsid w:val="00CB2821"/>
    <w:rsid w:val="00CB2F2A"/>
    <w:rsid w:val="00CB5B1A"/>
    <w:rsid w:val="00CB60B7"/>
    <w:rsid w:val="00CB6B22"/>
    <w:rsid w:val="00CB766D"/>
    <w:rsid w:val="00CB7F5F"/>
    <w:rsid w:val="00CC0F2F"/>
    <w:rsid w:val="00CC11DB"/>
    <w:rsid w:val="00CC1B39"/>
    <w:rsid w:val="00CC35EA"/>
    <w:rsid w:val="00CC3848"/>
    <w:rsid w:val="00CC3C7A"/>
    <w:rsid w:val="00CC68B8"/>
    <w:rsid w:val="00CC6BF7"/>
    <w:rsid w:val="00CD0066"/>
    <w:rsid w:val="00CD1018"/>
    <w:rsid w:val="00CD3F77"/>
    <w:rsid w:val="00CD6ADC"/>
    <w:rsid w:val="00CD7193"/>
    <w:rsid w:val="00CE38C8"/>
    <w:rsid w:val="00CE6274"/>
    <w:rsid w:val="00CE77B6"/>
    <w:rsid w:val="00CF2B8D"/>
    <w:rsid w:val="00CF2C6B"/>
    <w:rsid w:val="00CF2ED8"/>
    <w:rsid w:val="00CF333B"/>
    <w:rsid w:val="00CF3AF0"/>
    <w:rsid w:val="00CF456B"/>
    <w:rsid w:val="00CF5A22"/>
    <w:rsid w:val="00CF65FC"/>
    <w:rsid w:val="00CF7724"/>
    <w:rsid w:val="00D0123C"/>
    <w:rsid w:val="00D0262E"/>
    <w:rsid w:val="00D0377C"/>
    <w:rsid w:val="00D04DCB"/>
    <w:rsid w:val="00D051A9"/>
    <w:rsid w:val="00D05E3D"/>
    <w:rsid w:val="00D06139"/>
    <w:rsid w:val="00D10B4A"/>
    <w:rsid w:val="00D110BD"/>
    <w:rsid w:val="00D13581"/>
    <w:rsid w:val="00D13675"/>
    <w:rsid w:val="00D141E1"/>
    <w:rsid w:val="00D15314"/>
    <w:rsid w:val="00D17D6C"/>
    <w:rsid w:val="00D17DA3"/>
    <w:rsid w:val="00D2155B"/>
    <w:rsid w:val="00D23D11"/>
    <w:rsid w:val="00D244B6"/>
    <w:rsid w:val="00D24524"/>
    <w:rsid w:val="00D24BC5"/>
    <w:rsid w:val="00D2754D"/>
    <w:rsid w:val="00D27B27"/>
    <w:rsid w:val="00D27DD6"/>
    <w:rsid w:val="00D304E7"/>
    <w:rsid w:val="00D30CA6"/>
    <w:rsid w:val="00D33BE9"/>
    <w:rsid w:val="00D33F93"/>
    <w:rsid w:val="00D357FF"/>
    <w:rsid w:val="00D36056"/>
    <w:rsid w:val="00D37C1E"/>
    <w:rsid w:val="00D41813"/>
    <w:rsid w:val="00D424C7"/>
    <w:rsid w:val="00D432A2"/>
    <w:rsid w:val="00D43B2A"/>
    <w:rsid w:val="00D43D83"/>
    <w:rsid w:val="00D44EE4"/>
    <w:rsid w:val="00D46487"/>
    <w:rsid w:val="00D47575"/>
    <w:rsid w:val="00D5027A"/>
    <w:rsid w:val="00D50402"/>
    <w:rsid w:val="00D5243B"/>
    <w:rsid w:val="00D52FB8"/>
    <w:rsid w:val="00D533EC"/>
    <w:rsid w:val="00D56A95"/>
    <w:rsid w:val="00D70F16"/>
    <w:rsid w:val="00D72F57"/>
    <w:rsid w:val="00D7401D"/>
    <w:rsid w:val="00D7409E"/>
    <w:rsid w:val="00D74A0B"/>
    <w:rsid w:val="00D7674C"/>
    <w:rsid w:val="00D769D6"/>
    <w:rsid w:val="00D76A44"/>
    <w:rsid w:val="00D80073"/>
    <w:rsid w:val="00D808EB"/>
    <w:rsid w:val="00D815EF"/>
    <w:rsid w:val="00D81F26"/>
    <w:rsid w:val="00D82AB4"/>
    <w:rsid w:val="00D86231"/>
    <w:rsid w:val="00D90320"/>
    <w:rsid w:val="00D91923"/>
    <w:rsid w:val="00D936D7"/>
    <w:rsid w:val="00D93753"/>
    <w:rsid w:val="00D95F16"/>
    <w:rsid w:val="00D97D6E"/>
    <w:rsid w:val="00DA3167"/>
    <w:rsid w:val="00DA4DC3"/>
    <w:rsid w:val="00DA53A1"/>
    <w:rsid w:val="00DA77A5"/>
    <w:rsid w:val="00DB012E"/>
    <w:rsid w:val="00DB3DBF"/>
    <w:rsid w:val="00DB484F"/>
    <w:rsid w:val="00DB54AF"/>
    <w:rsid w:val="00DB7E30"/>
    <w:rsid w:val="00DC0201"/>
    <w:rsid w:val="00DC04F6"/>
    <w:rsid w:val="00DC0690"/>
    <w:rsid w:val="00DC1D65"/>
    <w:rsid w:val="00DC32F9"/>
    <w:rsid w:val="00DC3B42"/>
    <w:rsid w:val="00DC3C57"/>
    <w:rsid w:val="00DC5501"/>
    <w:rsid w:val="00DC7154"/>
    <w:rsid w:val="00DC7E8A"/>
    <w:rsid w:val="00DD0327"/>
    <w:rsid w:val="00DD0F78"/>
    <w:rsid w:val="00DD273C"/>
    <w:rsid w:val="00DD3F28"/>
    <w:rsid w:val="00DD4537"/>
    <w:rsid w:val="00DD4E15"/>
    <w:rsid w:val="00DD5179"/>
    <w:rsid w:val="00DD73C4"/>
    <w:rsid w:val="00DE0E35"/>
    <w:rsid w:val="00DE1DFB"/>
    <w:rsid w:val="00DE2304"/>
    <w:rsid w:val="00DE266C"/>
    <w:rsid w:val="00DE2F0D"/>
    <w:rsid w:val="00DE3138"/>
    <w:rsid w:val="00DE37F8"/>
    <w:rsid w:val="00DE4FCB"/>
    <w:rsid w:val="00DE5D07"/>
    <w:rsid w:val="00DE6764"/>
    <w:rsid w:val="00DE72A7"/>
    <w:rsid w:val="00DE7832"/>
    <w:rsid w:val="00DE7FD3"/>
    <w:rsid w:val="00DF18FC"/>
    <w:rsid w:val="00DF5C6F"/>
    <w:rsid w:val="00DF5D2B"/>
    <w:rsid w:val="00DF5F1B"/>
    <w:rsid w:val="00DF669F"/>
    <w:rsid w:val="00E00492"/>
    <w:rsid w:val="00E00E8E"/>
    <w:rsid w:val="00E01207"/>
    <w:rsid w:val="00E015EB"/>
    <w:rsid w:val="00E035D4"/>
    <w:rsid w:val="00E05630"/>
    <w:rsid w:val="00E05C48"/>
    <w:rsid w:val="00E06DBB"/>
    <w:rsid w:val="00E07F36"/>
    <w:rsid w:val="00E10149"/>
    <w:rsid w:val="00E11340"/>
    <w:rsid w:val="00E122A1"/>
    <w:rsid w:val="00E125CE"/>
    <w:rsid w:val="00E16372"/>
    <w:rsid w:val="00E20E09"/>
    <w:rsid w:val="00E20E4D"/>
    <w:rsid w:val="00E20ED6"/>
    <w:rsid w:val="00E212AC"/>
    <w:rsid w:val="00E21358"/>
    <w:rsid w:val="00E2249B"/>
    <w:rsid w:val="00E22A0D"/>
    <w:rsid w:val="00E244F6"/>
    <w:rsid w:val="00E24C8A"/>
    <w:rsid w:val="00E265DF"/>
    <w:rsid w:val="00E2771E"/>
    <w:rsid w:val="00E311EF"/>
    <w:rsid w:val="00E31C90"/>
    <w:rsid w:val="00E32180"/>
    <w:rsid w:val="00E336A5"/>
    <w:rsid w:val="00E34948"/>
    <w:rsid w:val="00E37569"/>
    <w:rsid w:val="00E3769B"/>
    <w:rsid w:val="00E401B2"/>
    <w:rsid w:val="00E40915"/>
    <w:rsid w:val="00E41CF2"/>
    <w:rsid w:val="00E41E30"/>
    <w:rsid w:val="00E42F73"/>
    <w:rsid w:val="00E43D70"/>
    <w:rsid w:val="00E446C9"/>
    <w:rsid w:val="00E466F3"/>
    <w:rsid w:val="00E47B2C"/>
    <w:rsid w:val="00E51560"/>
    <w:rsid w:val="00E53FC8"/>
    <w:rsid w:val="00E54347"/>
    <w:rsid w:val="00E55424"/>
    <w:rsid w:val="00E55915"/>
    <w:rsid w:val="00E55BB5"/>
    <w:rsid w:val="00E613C3"/>
    <w:rsid w:val="00E61865"/>
    <w:rsid w:val="00E639E0"/>
    <w:rsid w:val="00E642F9"/>
    <w:rsid w:val="00E65E79"/>
    <w:rsid w:val="00E66136"/>
    <w:rsid w:val="00E66BA2"/>
    <w:rsid w:val="00E67416"/>
    <w:rsid w:val="00E674B3"/>
    <w:rsid w:val="00E67B4E"/>
    <w:rsid w:val="00E718B6"/>
    <w:rsid w:val="00E723BA"/>
    <w:rsid w:val="00E73581"/>
    <w:rsid w:val="00E7377B"/>
    <w:rsid w:val="00E833F7"/>
    <w:rsid w:val="00E83BDF"/>
    <w:rsid w:val="00E8706D"/>
    <w:rsid w:val="00E878DC"/>
    <w:rsid w:val="00E87A1D"/>
    <w:rsid w:val="00E9094A"/>
    <w:rsid w:val="00E91D35"/>
    <w:rsid w:val="00E926A5"/>
    <w:rsid w:val="00E92C15"/>
    <w:rsid w:val="00EA17C3"/>
    <w:rsid w:val="00EA1D13"/>
    <w:rsid w:val="00EA2CAA"/>
    <w:rsid w:val="00EA3555"/>
    <w:rsid w:val="00EA3864"/>
    <w:rsid w:val="00EA5A01"/>
    <w:rsid w:val="00EA7F1C"/>
    <w:rsid w:val="00EB15B6"/>
    <w:rsid w:val="00EB3D06"/>
    <w:rsid w:val="00EB4916"/>
    <w:rsid w:val="00EC00C9"/>
    <w:rsid w:val="00EC0DD9"/>
    <w:rsid w:val="00EC2649"/>
    <w:rsid w:val="00EC293F"/>
    <w:rsid w:val="00EC31ED"/>
    <w:rsid w:val="00EC44DE"/>
    <w:rsid w:val="00EC45B8"/>
    <w:rsid w:val="00EC4AA2"/>
    <w:rsid w:val="00EC54BD"/>
    <w:rsid w:val="00EC5836"/>
    <w:rsid w:val="00EC688C"/>
    <w:rsid w:val="00EC77F5"/>
    <w:rsid w:val="00EC7C04"/>
    <w:rsid w:val="00ED01A5"/>
    <w:rsid w:val="00ED2916"/>
    <w:rsid w:val="00ED3D21"/>
    <w:rsid w:val="00ED4ADF"/>
    <w:rsid w:val="00ED57EA"/>
    <w:rsid w:val="00ED5BD4"/>
    <w:rsid w:val="00ED6798"/>
    <w:rsid w:val="00ED7DE9"/>
    <w:rsid w:val="00EE07D3"/>
    <w:rsid w:val="00EE0B01"/>
    <w:rsid w:val="00EE1996"/>
    <w:rsid w:val="00EE1C01"/>
    <w:rsid w:val="00EE1CA5"/>
    <w:rsid w:val="00EE22AF"/>
    <w:rsid w:val="00EE24A2"/>
    <w:rsid w:val="00EE24F3"/>
    <w:rsid w:val="00EE2D29"/>
    <w:rsid w:val="00EE49DF"/>
    <w:rsid w:val="00EE53AD"/>
    <w:rsid w:val="00EE62D4"/>
    <w:rsid w:val="00EE7A98"/>
    <w:rsid w:val="00EF0171"/>
    <w:rsid w:val="00EF1B25"/>
    <w:rsid w:val="00EF1DA0"/>
    <w:rsid w:val="00EF39D2"/>
    <w:rsid w:val="00EF4201"/>
    <w:rsid w:val="00EF4747"/>
    <w:rsid w:val="00EF4BF8"/>
    <w:rsid w:val="00F02253"/>
    <w:rsid w:val="00F03C2E"/>
    <w:rsid w:val="00F04162"/>
    <w:rsid w:val="00F04A66"/>
    <w:rsid w:val="00F04B4B"/>
    <w:rsid w:val="00F0516C"/>
    <w:rsid w:val="00F0598C"/>
    <w:rsid w:val="00F067A2"/>
    <w:rsid w:val="00F06B98"/>
    <w:rsid w:val="00F07B9E"/>
    <w:rsid w:val="00F1116F"/>
    <w:rsid w:val="00F12495"/>
    <w:rsid w:val="00F1263A"/>
    <w:rsid w:val="00F1380A"/>
    <w:rsid w:val="00F15B66"/>
    <w:rsid w:val="00F15B77"/>
    <w:rsid w:val="00F164F2"/>
    <w:rsid w:val="00F16619"/>
    <w:rsid w:val="00F169DB"/>
    <w:rsid w:val="00F2061F"/>
    <w:rsid w:val="00F206C5"/>
    <w:rsid w:val="00F20954"/>
    <w:rsid w:val="00F24837"/>
    <w:rsid w:val="00F2575F"/>
    <w:rsid w:val="00F26468"/>
    <w:rsid w:val="00F27565"/>
    <w:rsid w:val="00F310D4"/>
    <w:rsid w:val="00F31D5A"/>
    <w:rsid w:val="00F33975"/>
    <w:rsid w:val="00F33DE9"/>
    <w:rsid w:val="00F346CB"/>
    <w:rsid w:val="00F34B5B"/>
    <w:rsid w:val="00F35E6D"/>
    <w:rsid w:val="00F3619A"/>
    <w:rsid w:val="00F37252"/>
    <w:rsid w:val="00F4001B"/>
    <w:rsid w:val="00F40AAA"/>
    <w:rsid w:val="00F40B64"/>
    <w:rsid w:val="00F40BA7"/>
    <w:rsid w:val="00F40F9D"/>
    <w:rsid w:val="00F41ACD"/>
    <w:rsid w:val="00F4436D"/>
    <w:rsid w:val="00F46CB6"/>
    <w:rsid w:val="00F47172"/>
    <w:rsid w:val="00F4756D"/>
    <w:rsid w:val="00F47DE8"/>
    <w:rsid w:val="00F523CF"/>
    <w:rsid w:val="00F542C1"/>
    <w:rsid w:val="00F55E73"/>
    <w:rsid w:val="00F55EDA"/>
    <w:rsid w:val="00F56C80"/>
    <w:rsid w:val="00F60092"/>
    <w:rsid w:val="00F61C18"/>
    <w:rsid w:val="00F65DE1"/>
    <w:rsid w:val="00F65F4B"/>
    <w:rsid w:val="00F67A69"/>
    <w:rsid w:val="00F70BFF"/>
    <w:rsid w:val="00F70C9D"/>
    <w:rsid w:val="00F7148B"/>
    <w:rsid w:val="00F74CD9"/>
    <w:rsid w:val="00F76AD1"/>
    <w:rsid w:val="00F80A7B"/>
    <w:rsid w:val="00F80BA0"/>
    <w:rsid w:val="00F80E5D"/>
    <w:rsid w:val="00F81E78"/>
    <w:rsid w:val="00F81FCA"/>
    <w:rsid w:val="00F838AD"/>
    <w:rsid w:val="00F851CE"/>
    <w:rsid w:val="00F86070"/>
    <w:rsid w:val="00F91219"/>
    <w:rsid w:val="00F92444"/>
    <w:rsid w:val="00F925E6"/>
    <w:rsid w:val="00F9393E"/>
    <w:rsid w:val="00F96FD0"/>
    <w:rsid w:val="00F97A78"/>
    <w:rsid w:val="00FA0B20"/>
    <w:rsid w:val="00FA24E7"/>
    <w:rsid w:val="00FA2B91"/>
    <w:rsid w:val="00FA462C"/>
    <w:rsid w:val="00FA5EE6"/>
    <w:rsid w:val="00FA7956"/>
    <w:rsid w:val="00FA7AD8"/>
    <w:rsid w:val="00FB2FCB"/>
    <w:rsid w:val="00FB432B"/>
    <w:rsid w:val="00FB47C2"/>
    <w:rsid w:val="00FB48A8"/>
    <w:rsid w:val="00FB5F33"/>
    <w:rsid w:val="00FB6741"/>
    <w:rsid w:val="00FB7C55"/>
    <w:rsid w:val="00FC0935"/>
    <w:rsid w:val="00FC0968"/>
    <w:rsid w:val="00FC1074"/>
    <w:rsid w:val="00FC1884"/>
    <w:rsid w:val="00FC33B1"/>
    <w:rsid w:val="00FC371D"/>
    <w:rsid w:val="00FC5D58"/>
    <w:rsid w:val="00FC5F0B"/>
    <w:rsid w:val="00FC6E4F"/>
    <w:rsid w:val="00FD09B1"/>
    <w:rsid w:val="00FD14BC"/>
    <w:rsid w:val="00FD2051"/>
    <w:rsid w:val="00FD2100"/>
    <w:rsid w:val="00FD410F"/>
    <w:rsid w:val="00FD436C"/>
    <w:rsid w:val="00FD446D"/>
    <w:rsid w:val="00FD4F2C"/>
    <w:rsid w:val="00FD6394"/>
    <w:rsid w:val="00FD7A5F"/>
    <w:rsid w:val="00FE0E6C"/>
    <w:rsid w:val="00FE1CDC"/>
    <w:rsid w:val="00FE3642"/>
    <w:rsid w:val="00FE59C7"/>
    <w:rsid w:val="00FE70C3"/>
    <w:rsid w:val="00FF2AD9"/>
    <w:rsid w:val="00FF359F"/>
    <w:rsid w:val="00FF3DCF"/>
    <w:rsid w:val="00FF428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DE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FE59C7"/>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E59C7"/>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FigNoteLast">
    <w:name w:val="TableFigNote Last"/>
    <w:basedOn w:val="Normal"/>
    <w:next w:val="Normal"/>
    <w:qFormat/>
    <w:rsid w:val="00481F54"/>
    <w:pPr>
      <w:spacing w:after="120"/>
      <w:jc w:val="left"/>
    </w:pPr>
    <w:rPr>
      <w:rFonts w:asciiTheme="minorHAnsi" w:eastAsiaTheme="minorHAnsi" w:hAnsiTheme="minorHAnsi" w:cstheme="minorBidi"/>
      <w:sz w:val="16"/>
      <w:szCs w:val="22"/>
      <w:lang w:eastAsia="en-US"/>
    </w:rPr>
  </w:style>
  <w:style w:type="paragraph" w:customStyle="1" w:styleId="TableHeading0">
    <w:name w:val="Table Heading"/>
    <w:basedOn w:val="Normal"/>
    <w:qFormat/>
    <w:rsid w:val="00481F54"/>
    <w:pPr>
      <w:keepNext/>
      <w:spacing w:after="60"/>
      <w:jc w:val="left"/>
    </w:pPr>
    <w:rPr>
      <w:rFonts w:ascii="Arial Narrow" w:eastAsiaTheme="minorHAnsi" w:hAnsi="Arial Narrow" w:cstheme="minorBidi"/>
      <w:b/>
      <w:sz w:val="20"/>
      <w:szCs w:val="22"/>
      <w:lang w:eastAsia="en-US"/>
    </w:rPr>
  </w:style>
  <w:style w:type="paragraph" w:customStyle="1" w:styleId="TableFigNote">
    <w:name w:val="TableFigNote"/>
    <w:basedOn w:val="Normal"/>
    <w:qFormat/>
    <w:rsid w:val="00481F54"/>
    <w:pPr>
      <w:jc w:val="left"/>
    </w:pPr>
    <w:rPr>
      <w:rFonts w:asciiTheme="minorHAnsi" w:eastAsiaTheme="minorHAnsi" w:hAnsiTheme="minorHAnsi" w:cstheme="minorBidi"/>
      <w:sz w:val="16"/>
      <w:szCs w:val="22"/>
      <w:lang w:eastAsia="en-US"/>
    </w:rPr>
  </w:style>
  <w:style w:type="paragraph" w:customStyle="1" w:styleId="BodyText1">
    <w:name w:val="Body Text1"/>
    <w:basedOn w:val="Normal"/>
    <w:link w:val="BodytextChar0"/>
    <w:qFormat/>
    <w:rsid w:val="00481F54"/>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481F54"/>
    <w:rPr>
      <w:rFonts w:asciiTheme="minorHAnsi" w:eastAsiaTheme="minorHAnsi" w:hAnsiTheme="minorHAnsi" w:cstheme="minorBidi"/>
      <w:sz w:val="22"/>
      <w:szCs w:val="22"/>
      <w:lang w:eastAsia="en-US"/>
    </w:rPr>
  </w:style>
  <w:style w:type="paragraph" w:customStyle="1" w:styleId="TableBullet">
    <w:name w:val="Table Bullet"/>
    <w:basedOn w:val="TableText0"/>
    <w:rsid w:val="00481F54"/>
    <w:pPr>
      <w:keepNext w:val="0"/>
      <w:numPr>
        <w:numId w:val="7"/>
      </w:numPr>
      <w:spacing w:before="40" w:after="40"/>
      <w:ind w:left="357" w:hanging="357"/>
    </w:pPr>
    <w:rPr>
      <w:rFonts w:asciiTheme="minorHAnsi" w:eastAsiaTheme="minorHAnsi" w:hAnsiTheme="minorHAnsi" w:cstheme="minorHAnsi"/>
      <w:bCs w:val="0"/>
      <w:sz w:val="18"/>
      <w:szCs w:val="18"/>
      <w:lang w:eastAsia="en-US"/>
    </w:rPr>
  </w:style>
  <w:style w:type="table" w:customStyle="1" w:styleId="GridTable4-Accent61">
    <w:name w:val="Grid Table 4 - Accent 61"/>
    <w:basedOn w:val="TableNormal"/>
    <w:uiPriority w:val="49"/>
    <w:rsid w:val="00481F54"/>
    <w:rPr>
      <w:rFonts w:asciiTheme="minorHAnsi" w:hAnsiTheme="minorHAnsi" w:cs="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Arial"/>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Arial"/>
        <w:b/>
        <w:bCs/>
      </w:rPr>
      <w:tblPr/>
      <w:tcPr>
        <w:tcBorders>
          <w:top w:val="double" w:sz="4"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hemeFill="accent6" w:themeFillTint="33"/>
      </w:tcPr>
    </w:tblStylePr>
    <w:tblStylePr w:type="band1Horz">
      <w:rPr>
        <w:rFonts w:cs="Arial"/>
      </w:rPr>
      <w:tblPr/>
      <w:tcPr>
        <w:shd w:val="clear" w:color="auto" w:fill="FDE9D9" w:themeFill="accent6" w:themeFillTint="33"/>
      </w:tcPr>
    </w:tblStylePr>
  </w:style>
  <w:style w:type="paragraph" w:customStyle="1" w:styleId="TableNotes">
    <w:name w:val="TableNotes"/>
    <w:basedOn w:val="Normal"/>
    <w:qFormat/>
    <w:rsid w:val="00481F54"/>
    <w:pPr>
      <w:spacing w:after="160" w:line="256" w:lineRule="auto"/>
      <w:contextualSpacing/>
      <w:jc w:val="left"/>
    </w:pPr>
    <w:rPr>
      <w:rFonts w:asciiTheme="minorHAnsi" w:eastAsiaTheme="minorHAnsi" w:hAnsiTheme="minorHAnsi" w:cstheme="minorBidi"/>
      <w:sz w:val="16"/>
      <w:szCs w:val="16"/>
      <w:lang w:eastAsia="en-US"/>
    </w:rPr>
  </w:style>
  <w:style w:type="paragraph" w:styleId="FootnoteText">
    <w:name w:val="footnote text"/>
    <w:basedOn w:val="Normal"/>
    <w:link w:val="FootnoteTextChar"/>
    <w:uiPriority w:val="99"/>
    <w:unhideWhenUsed/>
    <w:rsid w:val="00481F54"/>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481F54"/>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481F54"/>
    <w:rPr>
      <w:vertAlign w:val="superscript"/>
    </w:rPr>
  </w:style>
  <w:style w:type="character" w:styleId="Emphasis">
    <w:name w:val="Emphasis"/>
    <w:basedOn w:val="DefaultParagraphFont"/>
    <w:uiPriority w:val="20"/>
    <w:rsid w:val="00481F54"/>
    <w:rPr>
      <w:b w:val="0"/>
      <w:i/>
      <w:iCs/>
    </w:rPr>
  </w:style>
  <w:style w:type="table" w:customStyle="1" w:styleId="TableGrid1">
    <w:name w:val="Table Grid1"/>
    <w:basedOn w:val="TableNormal"/>
    <w:uiPriority w:val="59"/>
    <w:rsid w:val="00481F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qFormat/>
    <w:rsid w:val="00481F54"/>
    <w:pPr>
      <w:keepNext/>
      <w:spacing w:before="60" w:after="60"/>
      <w:jc w:val="left"/>
    </w:pPr>
    <w:rPr>
      <w:rFonts w:cs="Times New Roman"/>
      <w:color w:val="000000"/>
      <w:sz w:val="22"/>
      <w:szCs w:val="21"/>
    </w:rPr>
  </w:style>
  <w:style w:type="table" w:customStyle="1" w:styleId="TableGrid2">
    <w:name w:val="Table Grid2"/>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1F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1F54"/>
    <w:pPr>
      <w:autoSpaceDE w:val="0"/>
      <w:autoSpaceDN w:val="0"/>
      <w:adjustRightInd w:val="0"/>
    </w:pPr>
    <w:rPr>
      <w:color w:val="000000"/>
      <w:sz w:val="24"/>
      <w:szCs w:val="24"/>
    </w:rPr>
  </w:style>
  <w:style w:type="paragraph" w:customStyle="1" w:styleId="PBACheading10">
    <w:name w:val="PBAC heading 1"/>
    <w:qFormat/>
    <w:rsid w:val="00A46D75"/>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7B5693"/>
    <w:rPr>
      <w:rFonts w:ascii="Calibri" w:hAnsi="Calibri" w:cs="Arial"/>
      <w:b/>
      <w:caps/>
      <w:sz w:val="32"/>
      <w:szCs w:val="24"/>
    </w:rPr>
  </w:style>
  <w:style w:type="character" w:customStyle="1" w:styleId="Heading3Char">
    <w:name w:val="Heading 3 Char"/>
    <w:basedOn w:val="DefaultParagraphFont"/>
    <w:link w:val="Heading3"/>
    <w:uiPriority w:val="9"/>
    <w:rsid w:val="007B5693"/>
    <w:rPr>
      <w:rFonts w:ascii="Calibri" w:hAnsi="Calibri" w:cs="Arial"/>
      <w:sz w:val="24"/>
      <w:szCs w:val="24"/>
      <w:u w:val="single"/>
    </w:rPr>
  </w:style>
  <w:style w:type="character" w:styleId="SubtleReference">
    <w:name w:val="Subtle Reference"/>
    <w:basedOn w:val="DefaultParagraphFont"/>
    <w:uiPriority w:val="31"/>
    <w:qFormat/>
    <w:rsid w:val="007B569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334691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5778190">
      <w:bodyDiv w:val="1"/>
      <w:marLeft w:val="0"/>
      <w:marRight w:val="0"/>
      <w:marTop w:val="0"/>
      <w:marBottom w:val="0"/>
      <w:divBdr>
        <w:top w:val="none" w:sz="0" w:space="0" w:color="auto"/>
        <w:left w:val="none" w:sz="0" w:space="0" w:color="auto"/>
        <w:bottom w:val="none" w:sz="0" w:space="0" w:color="auto"/>
        <w:right w:val="none" w:sz="0" w:space="0" w:color="auto"/>
      </w:divBdr>
    </w:div>
    <w:div w:id="536084669">
      <w:bodyDiv w:val="1"/>
      <w:marLeft w:val="0"/>
      <w:marRight w:val="0"/>
      <w:marTop w:val="0"/>
      <w:marBottom w:val="0"/>
      <w:divBdr>
        <w:top w:val="none" w:sz="0" w:space="0" w:color="auto"/>
        <w:left w:val="none" w:sz="0" w:space="0" w:color="auto"/>
        <w:bottom w:val="none" w:sz="0" w:space="0" w:color="auto"/>
        <w:right w:val="none" w:sz="0" w:space="0" w:color="auto"/>
      </w:divBdr>
    </w:div>
    <w:div w:id="802041203">
      <w:bodyDiv w:val="1"/>
      <w:marLeft w:val="0"/>
      <w:marRight w:val="0"/>
      <w:marTop w:val="0"/>
      <w:marBottom w:val="0"/>
      <w:divBdr>
        <w:top w:val="none" w:sz="0" w:space="0" w:color="auto"/>
        <w:left w:val="none" w:sz="0" w:space="0" w:color="auto"/>
        <w:bottom w:val="none" w:sz="0" w:space="0" w:color="auto"/>
        <w:right w:val="none" w:sz="0" w:space="0" w:color="auto"/>
      </w:divBdr>
    </w:div>
    <w:div w:id="1095519673">
      <w:bodyDiv w:val="1"/>
      <w:marLeft w:val="0"/>
      <w:marRight w:val="0"/>
      <w:marTop w:val="0"/>
      <w:marBottom w:val="0"/>
      <w:divBdr>
        <w:top w:val="none" w:sz="0" w:space="0" w:color="auto"/>
        <w:left w:val="none" w:sz="0" w:space="0" w:color="auto"/>
        <w:bottom w:val="none" w:sz="0" w:space="0" w:color="auto"/>
        <w:right w:val="none" w:sz="0" w:space="0" w:color="auto"/>
      </w:divBdr>
    </w:div>
    <w:div w:id="110022510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2050">
      <w:bodyDiv w:val="1"/>
      <w:marLeft w:val="0"/>
      <w:marRight w:val="0"/>
      <w:marTop w:val="0"/>
      <w:marBottom w:val="0"/>
      <w:divBdr>
        <w:top w:val="none" w:sz="0" w:space="0" w:color="auto"/>
        <w:left w:val="none" w:sz="0" w:space="0" w:color="auto"/>
        <w:bottom w:val="none" w:sz="0" w:space="0" w:color="auto"/>
        <w:right w:val="none" w:sz="0" w:space="0" w:color="auto"/>
      </w:divBdr>
    </w:div>
    <w:div w:id="1642879447">
      <w:bodyDiv w:val="1"/>
      <w:marLeft w:val="0"/>
      <w:marRight w:val="0"/>
      <w:marTop w:val="0"/>
      <w:marBottom w:val="0"/>
      <w:divBdr>
        <w:top w:val="none" w:sz="0" w:space="0" w:color="auto"/>
        <w:left w:val="none" w:sz="0" w:space="0" w:color="auto"/>
        <w:bottom w:val="none" w:sz="0" w:space="0" w:color="auto"/>
        <w:right w:val="none" w:sz="0" w:space="0" w:color="auto"/>
      </w:divBdr>
    </w:div>
    <w:div w:id="18485169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21382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BCF2-4A59-46E2-B812-CA0E8420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16152</Words>
  <Characters>89338</Characters>
  <Application>Microsoft Office Word</Application>
  <DocSecurity>0</DocSecurity>
  <Lines>744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2020-06-15T12:43:00Z</dcterms:created>
  <dcterms:modified xsi:type="dcterms:W3CDTF">2020-06-30T00:50:00Z</dcterms:modified>
</cp:coreProperties>
</file>