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94" w:rsidRPr="000F1284" w:rsidRDefault="005C66EB" w:rsidP="00237512">
      <w:pPr>
        <w:pStyle w:val="1-MainHeading"/>
      </w:pPr>
      <w:bookmarkStart w:id="0" w:name="_Toc30493352"/>
      <w:r>
        <w:t>7.01</w:t>
      </w:r>
      <w:r w:rsidR="008E7F49">
        <w:tab/>
        <w:t>BEZLOTOXUMAB</w:t>
      </w:r>
      <w:r w:rsidR="00163F66">
        <w:t>,</w:t>
      </w:r>
      <w:r w:rsidR="00163F66">
        <w:br/>
      </w:r>
      <w:r w:rsidR="00DE2E46" w:rsidRPr="00560BF3">
        <w:t>Solution concentrate for I.V. infusion 1000 mg in 40</w:t>
      </w:r>
      <w:r w:rsidR="00ED52C7">
        <w:t> </w:t>
      </w:r>
      <w:r w:rsidR="00DE2E46" w:rsidRPr="00560BF3">
        <w:t>mL</w:t>
      </w:r>
      <w:r w:rsidR="00DE2E46">
        <w:t>,</w:t>
      </w:r>
      <w:r w:rsidR="00163F66">
        <w:br/>
      </w:r>
      <w:r w:rsidR="00DE2E46">
        <w:t>Zinplava</w:t>
      </w:r>
      <w:r w:rsidR="00DE2E46" w:rsidRPr="00C12C14">
        <w:rPr>
          <w:vertAlign w:val="superscript"/>
        </w:rPr>
        <w:t>®</w:t>
      </w:r>
      <w:r w:rsidR="004A6040" w:rsidRPr="004A6040">
        <w:t>,</w:t>
      </w:r>
      <w:r w:rsidR="004A6040" w:rsidRPr="004A6040">
        <w:br/>
      </w:r>
      <w:r w:rsidR="00DE2E46">
        <w:t>Merck Sharp &amp; Dohme (Australia) Pty Ltd</w:t>
      </w:r>
      <w:r w:rsidR="00B60939" w:rsidRPr="004A6040">
        <w:t>.</w:t>
      </w:r>
      <w:bookmarkEnd w:id="0"/>
    </w:p>
    <w:p w:rsidR="00B50DB8" w:rsidRPr="00407F2D" w:rsidRDefault="00B50DB8" w:rsidP="004A6040">
      <w:pPr>
        <w:pStyle w:val="2-SectionHeading"/>
      </w:pPr>
      <w:bookmarkStart w:id="1" w:name="_Toc30493354"/>
      <w:r w:rsidRPr="00407F2D">
        <w:t xml:space="preserve">Purpose of </w:t>
      </w:r>
      <w:r w:rsidR="00CD7193">
        <w:t>s</w:t>
      </w:r>
      <w:r w:rsidR="00BB3A45">
        <w:t>ubmission</w:t>
      </w:r>
      <w:bookmarkEnd w:id="1"/>
    </w:p>
    <w:p w:rsidR="00323CBC" w:rsidRPr="00A64859" w:rsidRDefault="00323CBC" w:rsidP="00E47A92">
      <w:pPr>
        <w:pStyle w:val="3-BodyText"/>
        <w:rPr>
          <w:iCs/>
        </w:rPr>
      </w:pPr>
      <w:r w:rsidRPr="00323CBC">
        <w:t xml:space="preserve">The </w:t>
      </w:r>
      <w:r>
        <w:t>re</w:t>
      </w:r>
      <w:r w:rsidRPr="00323CBC">
        <w:t xml:space="preserve">submission requested Section 100 (Authority Required) listing for bezlotoxumab for prevention of </w:t>
      </w:r>
      <w:r w:rsidRPr="006373C7">
        <w:rPr>
          <w:i/>
        </w:rPr>
        <w:t>Clostridium difficile</w:t>
      </w:r>
      <w:r w:rsidRPr="00323CBC">
        <w:t xml:space="preserve"> infection (CDI) recurrence in patients aged 18 years or older with confirmed diagnosis of toxin B positive CDI, who are at high risk of CDI recurrence and receiving </w:t>
      </w:r>
      <w:r w:rsidRPr="005B6C6A">
        <w:t>antibiotics</w:t>
      </w:r>
      <w:r w:rsidRPr="00323CBC">
        <w:t xml:space="preserve"> for CDI.  </w:t>
      </w:r>
      <w:r w:rsidRPr="00A64859">
        <w:rPr>
          <w:iCs/>
        </w:rPr>
        <w:t>This was the fourth submission for bezlotoxumab for prevention of CDI recurrence (see Previous PBAC consideration below).</w:t>
      </w:r>
    </w:p>
    <w:p w:rsidR="00323CBC" w:rsidRPr="00A64859" w:rsidRDefault="00323CBC" w:rsidP="00323CBC">
      <w:pPr>
        <w:numPr>
          <w:ilvl w:val="1"/>
          <w:numId w:val="1"/>
        </w:numPr>
        <w:spacing w:after="120"/>
        <w:rPr>
          <w:rFonts w:asciiTheme="minorHAnsi" w:hAnsiTheme="minorHAnsi"/>
          <w:snapToGrid w:val="0"/>
        </w:rPr>
      </w:pPr>
      <w:r w:rsidRPr="00A64859">
        <w:rPr>
          <w:rFonts w:asciiTheme="minorHAnsi" w:hAnsiTheme="minorHAnsi"/>
          <w:snapToGrid w:val="0"/>
        </w:rPr>
        <w:t xml:space="preserve">As with the previous submissions, the key rationale for the PBS listing of bezlotoxumab was that there is currently no PBS listed treatments for the prevention of recurrent CDI and bezlotoxumab works via a novel mechanism of action.  </w:t>
      </w:r>
      <w:r w:rsidRPr="00A64859">
        <w:rPr>
          <w:rFonts w:asciiTheme="minorHAnsi" w:hAnsiTheme="minorHAnsi"/>
          <w:iCs/>
          <w:snapToGrid w:val="0"/>
        </w:rPr>
        <w:t>While there are no other drugs listed on the PBS to prevent recurrent CDIs, subsequent lines of antibiotic therapy are available for treatment of recurrent CDIs.  In that sense, bezlotoxumab would delay or reduce the need for patients to access subsequent lines of antibiotics for treatment of CDI.</w:t>
      </w:r>
    </w:p>
    <w:p w:rsidR="00323CBC" w:rsidRPr="00323CBC" w:rsidRDefault="00323CBC" w:rsidP="00323CBC">
      <w:pPr>
        <w:numPr>
          <w:ilvl w:val="1"/>
          <w:numId w:val="1"/>
        </w:numPr>
        <w:spacing w:after="120"/>
        <w:rPr>
          <w:rFonts w:asciiTheme="minorHAnsi" w:hAnsiTheme="minorHAnsi"/>
          <w:snapToGrid w:val="0"/>
        </w:rPr>
      </w:pPr>
      <w:r w:rsidRPr="00323CBC">
        <w:rPr>
          <w:rFonts w:asciiTheme="minorHAnsi" w:hAnsiTheme="minorHAnsi"/>
          <w:snapToGrid w:val="0"/>
        </w:rPr>
        <w:t>The basis for the resubmission’s requested listing was cost-effectiveness of bezlotoxumab plus standard of care (SoC) versus SoC alone.</w:t>
      </w:r>
    </w:p>
    <w:p w:rsidR="00323CBC" w:rsidRPr="00323CBC" w:rsidRDefault="00323CBC" w:rsidP="00323CBC">
      <w:pPr>
        <w:keepNext/>
        <w:jc w:val="left"/>
        <w:rPr>
          <w:rFonts w:ascii="Arial Narrow" w:eastAsiaTheme="majorEastAsia" w:hAnsi="Arial Narrow" w:cstheme="majorBidi"/>
          <w:b/>
          <w:bCs/>
          <w:sz w:val="20"/>
        </w:rPr>
      </w:pPr>
      <w:r w:rsidRPr="00323CBC">
        <w:rPr>
          <w:rFonts w:ascii="Arial Narrow" w:eastAsiaTheme="majorEastAsia" w:hAnsi="Arial Narrow" w:cstheme="majorBidi"/>
          <w:b/>
          <w:bCs/>
          <w:sz w:val="20"/>
        </w:rPr>
        <w:t>Table 1: Key components of the clinical issue addressed by the submission (as stated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351"/>
      </w:tblGrid>
      <w:tr w:rsidR="00323CBC" w:rsidRPr="00323CBC" w:rsidTr="00D87ED5">
        <w:trPr>
          <w:cantSplit/>
          <w:tblHeader/>
        </w:trPr>
        <w:tc>
          <w:tcPr>
            <w:tcW w:w="924" w:type="pct"/>
            <w:shd w:val="clear" w:color="auto" w:fill="auto"/>
          </w:tcPr>
          <w:p w:rsidR="00323CBC" w:rsidRPr="00323CBC" w:rsidRDefault="00323CBC" w:rsidP="00323CBC">
            <w:pPr>
              <w:keepNext/>
              <w:jc w:val="left"/>
              <w:rPr>
                <w:rFonts w:ascii="Arial Narrow" w:eastAsiaTheme="majorEastAsia" w:hAnsi="Arial Narrow" w:cs="Times New Roman"/>
                <w:b/>
                <w:sz w:val="20"/>
                <w:szCs w:val="20"/>
                <w:lang w:val="en-US"/>
              </w:rPr>
            </w:pPr>
            <w:r w:rsidRPr="00323CBC">
              <w:rPr>
                <w:rFonts w:ascii="Arial Narrow" w:eastAsiaTheme="majorEastAsia" w:hAnsi="Arial Narrow" w:cs="Times New Roman"/>
                <w:b/>
                <w:sz w:val="20"/>
                <w:lang w:val="en-US"/>
              </w:rPr>
              <w:t>Component</w:t>
            </w:r>
          </w:p>
        </w:tc>
        <w:tc>
          <w:tcPr>
            <w:tcW w:w="4076" w:type="pct"/>
            <w:shd w:val="clear" w:color="auto" w:fill="auto"/>
          </w:tcPr>
          <w:p w:rsidR="00323CBC" w:rsidRPr="00323CBC" w:rsidRDefault="00323CBC" w:rsidP="00323CBC">
            <w:pPr>
              <w:keepNext/>
              <w:jc w:val="left"/>
              <w:rPr>
                <w:rFonts w:ascii="Arial Narrow" w:eastAsiaTheme="majorEastAsia" w:hAnsi="Arial Narrow" w:cs="Times New Roman"/>
                <w:b/>
                <w:sz w:val="20"/>
                <w:lang w:val="en-US"/>
              </w:rPr>
            </w:pPr>
            <w:r w:rsidRPr="00323CBC">
              <w:rPr>
                <w:rFonts w:ascii="Arial Narrow" w:eastAsiaTheme="majorEastAsia" w:hAnsi="Arial Narrow" w:cs="Times New Roman"/>
                <w:b/>
                <w:sz w:val="20"/>
                <w:lang w:val="en-US"/>
              </w:rPr>
              <w:t>Description</w:t>
            </w:r>
          </w:p>
        </w:tc>
      </w:tr>
      <w:tr w:rsidR="00323CBC" w:rsidRPr="00323CBC" w:rsidTr="00D87ED5">
        <w:trPr>
          <w:cantSplit/>
        </w:trPr>
        <w:tc>
          <w:tcPr>
            <w:tcW w:w="924" w:type="pct"/>
            <w:shd w:val="clear" w:color="auto" w:fill="auto"/>
          </w:tcPr>
          <w:p w:rsidR="00323CBC" w:rsidRPr="00323CBC" w:rsidRDefault="00323CBC" w:rsidP="00323CBC">
            <w:pPr>
              <w:keepNext/>
              <w:jc w:val="left"/>
              <w:rPr>
                <w:rFonts w:ascii="Arial Narrow" w:eastAsiaTheme="majorEastAsia" w:hAnsi="Arial Narrow" w:cstheme="majorBidi"/>
                <w:bCs/>
                <w:sz w:val="20"/>
              </w:rPr>
            </w:pPr>
            <w:r w:rsidRPr="00323CBC">
              <w:rPr>
                <w:rFonts w:ascii="Arial Narrow" w:eastAsiaTheme="majorEastAsia" w:hAnsi="Arial Narrow" w:cstheme="majorBidi"/>
                <w:bCs/>
                <w:sz w:val="20"/>
              </w:rPr>
              <w:t>Population</w:t>
            </w:r>
          </w:p>
        </w:tc>
        <w:tc>
          <w:tcPr>
            <w:tcW w:w="4076" w:type="pct"/>
            <w:shd w:val="clear" w:color="auto" w:fill="auto"/>
            <w:vAlign w:val="center"/>
          </w:tcPr>
          <w:p w:rsidR="00323CBC" w:rsidRPr="00323CBC" w:rsidRDefault="00323CBC" w:rsidP="00323CBC">
            <w:pPr>
              <w:keepNext/>
              <w:jc w:val="left"/>
              <w:rPr>
                <w:rFonts w:ascii="Arial Narrow" w:eastAsiaTheme="majorEastAsia" w:hAnsi="Arial Narrow" w:cstheme="majorBidi"/>
                <w:bCs/>
                <w:sz w:val="20"/>
                <w:u w:val="single"/>
              </w:rPr>
            </w:pPr>
            <w:r w:rsidRPr="00323CBC">
              <w:rPr>
                <w:rFonts w:ascii="Arial Narrow" w:eastAsiaTheme="majorEastAsia" w:hAnsi="Arial Narrow" w:cstheme="majorBidi"/>
                <w:bCs/>
                <w:sz w:val="20"/>
              </w:rPr>
              <w:t xml:space="preserve">Patients aged 18 year or older with a confirmed diagnosis of toxin B positive CDI, receiving oral </w:t>
            </w:r>
            <w:r w:rsidRPr="005B6C6A">
              <w:rPr>
                <w:rFonts w:ascii="Arial Narrow" w:eastAsiaTheme="majorEastAsia" w:hAnsi="Arial Narrow" w:cstheme="majorBidi"/>
                <w:bCs/>
                <w:sz w:val="20"/>
              </w:rPr>
              <w:t>antibiotics, and</w:t>
            </w:r>
            <w:r w:rsidRPr="00323CBC">
              <w:rPr>
                <w:rFonts w:ascii="Arial Narrow" w:eastAsiaTheme="majorEastAsia" w:hAnsi="Arial Narrow" w:cstheme="majorBidi"/>
                <w:bCs/>
                <w:sz w:val="20"/>
              </w:rPr>
              <w:t xml:space="preserve"> at high risk of CDI recurrence. </w:t>
            </w:r>
            <w:r w:rsidRPr="00323CBC">
              <w:rPr>
                <w:rFonts w:ascii="Arial Narrow" w:eastAsiaTheme="majorEastAsia" w:hAnsi="Arial Narrow" w:cstheme="majorBidi"/>
                <w:bCs/>
                <w:sz w:val="20"/>
                <w:u w:val="single"/>
              </w:rPr>
              <w:t>High risk is defined as patients with one or more of the following risk factors:</w:t>
            </w:r>
          </w:p>
          <w:p w:rsidR="00323CBC" w:rsidRPr="00323CBC" w:rsidRDefault="00323CBC" w:rsidP="000735EA">
            <w:pPr>
              <w:keepNext/>
              <w:numPr>
                <w:ilvl w:val="0"/>
                <w:numId w:val="6"/>
              </w:numPr>
              <w:jc w:val="left"/>
              <w:rPr>
                <w:rFonts w:ascii="Arial Narrow" w:eastAsiaTheme="majorEastAsia" w:hAnsi="Arial Narrow" w:cstheme="majorBidi"/>
                <w:bCs/>
                <w:sz w:val="20"/>
                <w:u w:val="single"/>
              </w:rPr>
            </w:pPr>
            <w:r w:rsidRPr="00323CBC">
              <w:rPr>
                <w:rFonts w:ascii="Arial Narrow" w:eastAsiaTheme="majorEastAsia" w:hAnsi="Arial Narrow" w:cstheme="majorBidi"/>
                <w:bCs/>
                <w:sz w:val="20"/>
                <w:u w:val="single"/>
              </w:rPr>
              <w:t xml:space="preserve">age ≥65, </w:t>
            </w:r>
          </w:p>
          <w:p w:rsidR="00323CBC" w:rsidRPr="00323CBC" w:rsidRDefault="00323CBC" w:rsidP="000735EA">
            <w:pPr>
              <w:keepNext/>
              <w:numPr>
                <w:ilvl w:val="0"/>
                <w:numId w:val="6"/>
              </w:numPr>
              <w:jc w:val="left"/>
              <w:rPr>
                <w:rFonts w:ascii="Arial Narrow" w:eastAsiaTheme="majorEastAsia" w:hAnsi="Arial Narrow" w:cstheme="majorBidi"/>
                <w:bCs/>
                <w:sz w:val="20"/>
                <w:u w:val="single"/>
              </w:rPr>
            </w:pPr>
            <w:r w:rsidRPr="00323CBC">
              <w:rPr>
                <w:rFonts w:ascii="Arial Narrow" w:eastAsiaTheme="majorEastAsia" w:hAnsi="Arial Narrow" w:cstheme="majorBidi"/>
                <w:bCs/>
                <w:sz w:val="20"/>
                <w:u w:val="single"/>
              </w:rPr>
              <w:t xml:space="preserve">history of CDI in the past 6 months, </w:t>
            </w:r>
          </w:p>
          <w:p w:rsidR="00323CBC" w:rsidRPr="00323CBC" w:rsidRDefault="00323CBC" w:rsidP="000735EA">
            <w:pPr>
              <w:keepNext/>
              <w:numPr>
                <w:ilvl w:val="0"/>
                <w:numId w:val="6"/>
              </w:numPr>
              <w:jc w:val="left"/>
              <w:rPr>
                <w:rFonts w:ascii="Arial Narrow" w:eastAsiaTheme="majorEastAsia" w:hAnsi="Arial Narrow" w:cstheme="majorBidi"/>
                <w:bCs/>
                <w:sz w:val="20"/>
                <w:u w:val="single"/>
              </w:rPr>
            </w:pPr>
            <w:r w:rsidRPr="00323CBC">
              <w:rPr>
                <w:rFonts w:ascii="Arial Narrow" w:eastAsiaTheme="majorEastAsia" w:hAnsi="Arial Narrow" w:cstheme="majorBidi"/>
                <w:bCs/>
                <w:sz w:val="20"/>
                <w:u w:val="single"/>
              </w:rPr>
              <w:t>immunocompromised due to history of stem cell or solid organ transplant (SOT).</w:t>
            </w:r>
          </w:p>
        </w:tc>
      </w:tr>
      <w:tr w:rsidR="00323CBC" w:rsidRPr="00323CBC" w:rsidTr="00D87ED5">
        <w:trPr>
          <w:cantSplit/>
        </w:trPr>
        <w:tc>
          <w:tcPr>
            <w:tcW w:w="924" w:type="pct"/>
            <w:shd w:val="clear" w:color="auto" w:fill="B8CCE4" w:themeFill="accent1" w:themeFillTint="66"/>
          </w:tcPr>
          <w:p w:rsidR="00323CBC" w:rsidRPr="00323CBC" w:rsidRDefault="00323CBC" w:rsidP="00323CBC">
            <w:pPr>
              <w:keepNext/>
              <w:jc w:val="left"/>
              <w:rPr>
                <w:rFonts w:ascii="Arial Narrow" w:eastAsiaTheme="majorEastAsia" w:hAnsi="Arial Narrow" w:cstheme="majorBidi"/>
                <w:bCs/>
                <w:sz w:val="20"/>
              </w:rPr>
            </w:pPr>
            <w:r w:rsidRPr="00323CBC">
              <w:rPr>
                <w:rFonts w:ascii="Arial Narrow" w:eastAsiaTheme="majorEastAsia" w:hAnsi="Arial Narrow" w:cstheme="majorBidi"/>
                <w:bCs/>
                <w:sz w:val="20"/>
              </w:rPr>
              <w:t>Intervention</w:t>
            </w:r>
          </w:p>
        </w:tc>
        <w:tc>
          <w:tcPr>
            <w:tcW w:w="4076" w:type="pct"/>
            <w:shd w:val="clear" w:color="auto" w:fill="B8CCE4" w:themeFill="accent1" w:themeFillTint="66"/>
            <w:vAlign w:val="center"/>
          </w:tcPr>
          <w:p w:rsidR="00323CBC" w:rsidRPr="00323CBC" w:rsidRDefault="00323CBC" w:rsidP="00323CBC">
            <w:pPr>
              <w:keepNext/>
              <w:jc w:val="left"/>
              <w:rPr>
                <w:rFonts w:ascii="Arial Narrow" w:eastAsiaTheme="majorEastAsia" w:hAnsi="Arial Narrow" w:cstheme="majorBidi"/>
                <w:bCs/>
                <w:sz w:val="20"/>
              </w:rPr>
            </w:pPr>
            <w:r w:rsidRPr="00323CBC">
              <w:rPr>
                <w:rFonts w:ascii="Arial Narrow" w:eastAsiaTheme="majorEastAsia" w:hAnsi="Arial Narrow" w:cstheme="majorBidi"/>
                <w:bCs/>
                <w:sz w:val="20"/>
              </w:rPr>
              <w:t>Bezlotoxumab 1000mg IV single administration.  The dose of bezlotoxumab is 10mg/kg as a single dose intravenous infusion.</w:t>
            </w:r>
          </w:p>
        </w:tc>
      </w:tr>
      <w:tr w:rsidR="00323CBC" w:rsidRPr="00323CBC" w:rsidTr="00D87ED5">
        <w:trPr>
          <w:cantSplit/>
        </w:trPr>
        <w:tc>
          <w:tcPr>
            <w:tcW w:w="924" w:type="pct"/>
            <w:shd w:val="clear" w:color="auto" w:fill="B8CCE4" w:themeFill="accent1" w:themeFillTint="66"/>
          </w:tcPr>
          <w:p w:rsidR="00323CBC" w:rsidRPr="00323CBC" w:rsidRDefault="00323CBC" w:rsidP="00323CBC">
            <w:pPr>
              <w:keepNext/>
              <w:jc w:val="left"/>
              <w:rPr>
                <w:rFonts w:ascii="Arial Narrow" w:eastAsiaTheme="majorEastAsia" w:hAnsi="Arial Narrow" w:cstheme="majorBidi"/>
                <w:bCs/>
                <w:sz w:val="20"/>
              </w:rPr>
            </w:pPr>
            <w:r w:rsidRPr="00323CBC">
              <w:rPr>
                <w:rFonts w:ascii="Arial Narrow" w:eastAsiaTheme="majorEastAsia" w:hAnsi="Arial Narrow" w:cstheme="majorBidi"/>
                <w:bCs/>
                <w:sz w:val="20"/>
              </w:rPr>
              <w:t>Comparator</w:t>
            </w:r>
          </w:p>
        </w:tc>
        <w:tc>
          <w:tcPr>
            <w:tcW w:w="4076" w:type="pct"/>
            <w:shd w:val="clear" w:color="auto" w:fill="B8CCE4" w:themeFill="accent1" w:themeFillTint="66"/>
            <w:vAlign w:val="center"/>
          </w:tcPr>
          <w:p w:rsidR="00323CBC" w:rsidRPr="00323CBC" w:rsidRDefault="00323CBC" w:rsidP="00323CBC">
            <w:pPr>
              <w:keepNext/>
              <w:jc w:val="left"/>
              <w:rPr>
                <w:rFonts w:ascii="Arial Narrow" w:eastAsiaTheme="majorEastAsia" w:hAnsi="Arial Narrow" w:cstheme="majorBidi"/>
                <w:bCs/>
                <w:sz w:val="20"/>
              </w:rPr>
            </w:pPr>
            <w:r w:rsidRPr="00323CBC">
              <w:rPr>
                <w:rFonts w:ascii="Arial Narrow" w:eastAsiaTheme="majorEastAsia" w:hAnsi="Arial Narrow" w:cstheme="majorBidi"/>
                <w:bCs/>
                <w:sz w:val="20"/>
              </w:rPr>
              <w:t>Standard of care (SoC) antibacterial therapy including but not limited to vancomycin / metronidazole.</w:t>
            </w:r>
          </w:p>
        </w:tc>
      </w:tr>
      <w:tr w:rsidR="00323CBC" w:rsidRPr="006D1253" w:rsidTr="00D87ED5">
        <w:trPr>
          <w:cantSplit/>
        </w:trPr>
        <w:tc>
          <w:tcPr>
            <w:tcW w:w="924" w:type="pct"/>
            <w:shd w:val="clear" w:color="auto" w:fill="B8CCE4" w:themeFill="accent1" w:themeFillTint="66"/>
          </w:tcPr>
          <w:p w:rsidR="00323CBC" w:rsidRPr="006D1253" w:rsidRDefault="00323CBC" w:rsidP="00323CBC">
            <w:pPr>
              <w:keepNext/>
              <w:jc w:val="left"/>
              <w:rPr>
                <w:rFonts w:ascii="Arial Narrow" w:eastAsiaTheme="majorEastAsia" w:hAnsi="Arial Narrow" w:cstheme="majorBidi"/>
                <w:bCs/>
                <w:sz w:val="20"/>
              </w:rPr>
            </w:pPr>
            <w:r w:rsidRPr="006D1253">
              <w:rPr>
                <w:rFonts w:ascii="Arial Narrow" w:eastAsiaTheme="majorEastAsia" w:hAnsi="Arial Narrow" w:cstheme="majorBidi"/>
                <w:bCs/>
                <w:sz w:val="20"/>
              </w:rPr>
              <w:t>Outcomes</w:t>
            </w:r>
          </w:p>
        </w:tc>
        <w:tc>
          <w:tcPr>
            <w:tcW w:w="4076" w:type="pct"/>
            <w:shd w:val="clear" w:color="auto" w:fill="B8CCE4" w:themeFill="accent1" w:themeFillTint="66"/>
            <w:vAlign w:val="center"/>
          </w:tcPr>
          <w:p w:rsidR="00323CBC" w:rsidRPr="00237512" w:rsidRDefault="00323CBC" w:rsidP="00323CBC">
            <w:pPr>
              <w:keepNext/>
              <w:jc w:val="left"/>
              <w:rPr>
                <w:rFonts w:ascii="Arial Narrow" w:hAnsi="Arial Narrow"/>
                <w:snapToGrid w:val="0"/>
                <w:sz w:val="20"/>
                <w:szCs w:val="20"/>
              </w:rPr>
            </w:pPr>
            <w:r w:rsidRPr="00237512">
              <w:rPr>
                <w:rFonts w:ascii="Arial Narrow" w:eastAsiaTheme="majorEastAsia" w:hAnsi="Arial Narrow" w:cstheme="majorBidi"/>
                <w:bCs/>
                <w:sz w:val="20"/>
              </w:rPr>
              <w:t xml:space="preserve">Prevention of recurrence of CDI, reduction in hospitalisations due to CDI recurrence </w:t>
            </w:r>
            <w:r w:rsidRPr="00237512">
              <w:rPr>
                <w:rFonts w:ascii="Arial Narrow" w:eastAsiaTheme="majorEastAsia" w:hAnsi="Arial Narrow" w:cstheme="majorBidi"/>
                <w:bCs/>
                <w:iCs/>
                <w:sz w:val="20"/>
              </w:rPr>
              <w:t>and global cure.</w:t>
            </w:r>
          </w:p>
        </w:tc>
      </w:tr>
      <w:tr w:rsidR="00323CBC" w:rsidRPr="006D1253" w:rsidTr="00D87ED5">
        <w:trPr>
          <w:cantSplit/>
        </w:trPr>
        <w:tc>
          <w:tcPr>
            <w:tcW w:w="924" w:type="pct"/>
            <w:shd w:val="clear" w:color="auto" w:fill="B8CCE4" w:themeFill="accent1" w:themeFillTint="66"/>
          </w:tcPr>
          <w:p w:rsidR="00323CBC" w:rsidRPr="006D1253" w:rsidRDefault="00323CBC" w:rsidP="00323CBC">
            <w:pPr>
              <w:keepNext/>
              <w:jc w:val="left"/>
              <w:rPr>
                <w:rFonts w:ascii="Arial Narrow" w:eastAsiaTheme="majorEastAsia" w:hAnsi="Arial Narrow" w:cstheme="majorBidi"/>
                <w:bCs/>
                <w:sz w:val="20"/>
              </w:rPr>
            </w:pPr>
            <w:r w:rsidRPr="006D1253">
              <w:rPr>
                <w:rFonts w:ascii="Arial Narrow" w:eastAsiaTheme="majorEastAsia" w:hAnsi="Arial Narrow" w:cstheme="majorBidi"/>
                <w:bCs/>
                <w:sz w:val="20"/>
              </w:rPr>
              <w:t>Clinical claim</w:t>
            </w:r>
          </w:p>
        </w:tc>
        <w:tc>
          <w:tcPr>
            <w:tcW w:w="4076" w:type="pct"/>
            <w:shd w:val="clear" w:color="auto" w:fill="B8CCE4" w:themeFill="accent1" w:themeFillTint="66"/>
            <w:vAlign w:val="center"/>
          </w:tcPr>
          <w:p w:rsidR="00323CBC" w:rsidRPr="006D1253" w:rsidRDefault="00323CBC" w:rsidP="00323CBC">
            <w:pPr>
              <w:keepNext/>
              <w:jc w:val="left"/>
              <w:rPr>
                <w:rFonts w:ascii="Arial Narrow" w:hAnsi="Arial Narrow"/>
                <w:snapToGrid w:val="0"/>
                <w:sz w:val="20"/>
                <w:szCs w:val="20"/>
              </w:rPr>
            </w:pPr>
            <w:r w:rsidRPr="006D1253">
              <w:rPr>
                <w:rFonts w:ascii="Arial Narrow" w:eastAsiaTheme="majorEastAsia" w:hAnsi="Arial Narrow" w:cstheme="majorBidi"/>
                <w:bCs/>
                <w:sz w:val="20"/>
              </w:rPr>
              <w:t>In patients with high risk of CDI recurrence, bezlotoxumab with SoC antibacterials is more effective than SoC antibacterials at preventing recurrence of CDI infection with a similar safety profile.</w:t>
            </w:r>
          </w:p>
        </w:tc>
      </w:tr>
    </w:tbl>
    <w:p w:rsidR="00323CBC" w:rsidRPr="00323CBC" w:rsidRDefault="00323CBC" w:rsidP="00323CBC">
      <w:pPr>
        <w:widowControl w:val="0"/>
        <w:rPr>
          <w:rFonts w:ascii="Arial Narrow" w:hAnsi="Arial Narrow"/>
          <w:snapToGrid w:val="0"/>
          <w:sz w:val="18"/>
          <w:szCs w:val="22"/>
          <w:lang w:eastAsia="en-US"/>
        </w:rPr>
      </w:pPr>
      <w:r w:rsidRPr="006D1253">
        <w:rPr>
          <w:rFonts w:ascii="Arial Narrow" w:hAnsi="Arial Narrow"/>
          <w:snapToGrid w:val="0"/>
          <w:sz w:val="18"/>
          <w:szCs w:val="22"/>
          <w:lang w:eastAsia="en-US"/>
        </w:rPr>
        <w:t>Abbreviations: CDI=clostridium difficile infection; IV=i</w:t>
      </w:r>
      <w:r w:rsidRPr="00323CBC">
        <w:rPr>
          <w:rFonts w:ascii="Arial Narrow" w:hAnsi="Arial Narrow"/>
          <w:snapToGrid w:val="0"/>
          <w:sz w:val="18"/>
          <w:szCs w:val="22"/>
          <w:lang w:eastAsia="en-US"/>
        </w:rPr>
        <w:t>ntravenous; SoC=standard of care</w:t>
      </w:r>
    </w:p>
    <w:p w:rsidR="00323CBC" w:rsidRPr="00323CBC" w:rsidRDefault="00323CBC" w:rsidP="00323CBC">
      <w:pPr>
        <w:spacing w:after="120"/>
        <w:contextualSpacing/>
        <w:rPr>
          <w:rFonts w:ascii="Arial Narrow" w:hAnsi="Arial Narrow"/>
          <w:snapToGrid w:val="0"/>
          <w:sz w:val="18"/>
          <w:szCs w:val="22"/>
        </w:rPr>
      </w:pPr>
      <w:r w:rsidRPr="00323CBC">
        <w:rPr>
          <w:rFonts w:ascii="Arial Narrow" w:hAnsi="Arial Narrow"/>
          <w:snapToGrid w:val="0"/>
          <w:sz w:val="18"/>
          <w:szCs w:val="22"/>
          <w:u w:val="single"/>
        </w:rPr>
        <w:t>Underlined text</w:t>
      </w:r>
      <w:r w:rsidRPr="00323CBC">
        <w:rPr>
          <w:rFonts w:ascii="Arial Narrow" w:hAnsi="Arial Narrow"/>
          <w:snapToGrid w:val="0"/>
          <w:sz w:val="18"/>
          <w:szCs w:val="22"/>
        </w:rPr>
        <w:t xml:space="preserve"> refers to changes </w:t>
      </w:r>
      <w:r w:rsidR="005B6C6A">
        <w:rPr>
          <w:rFonts w:ascii="Arial Narrow" w:hAnsi="Arial Narrow"/>
          <w:snapToGrid w:val="0"/>
          <w:sz w:val="18"/>
          <w:szCs w:val="22"/>
        </w:rPr>
        <w:t>compared to previous submission in July 2019</w:t>
      </w:r>
      <w:r w:rsidRPr="00323CBC">
        <w:rPr>
          <w:rFonts w:ascii="Arial Narrow" w:hAnsi="Arial Narrow"/>
          <w:snapToGrid w:val="0"/>
          <w:sz w:val="18"/>
          <w:szCs w:val="22"/>
        </w:rPr>
        <w:t>.</w:t>
      </w:r>
    </w:p>
    <w:p w:rsidR="00323CBC" w:rsidRPr="00323CBC" w:rsidRDefault="00323CBC" w:rsidP="00323CBC">
      <w:pPr>
        <w:spacing w:after="120"/>
        <w:contextualSpacing/>
        <w:rPr>
          <w:rFonts w:ascii="Arial Narrow" w:hAnsi="Arial Narrow"/>
          <w:snapToGrid w:val="0"/>
          <w:sz w:val="18"/>
          <w:szCs w:val="22"/>
          <w:lang w:eastAsia="en-US"/>
        </w:rPr>
      </w:pPr>
      <w:r w:rsidRPr="00323CBC">
        <w:rPr>
          <w:rFonts w:ascii="Arial Narrow" w:hAnsi="Arial Narrow"/>
          <w:snapToGrid w:val="0"/>
          <w:sz w:val="18"/>
          <w:szCs w:val="22"/>
          <w:shd w:val="clear" w:color="auto" w:fill="B8CCE4" w:themeFill="accent1" w:themeFillTint="66"/>
          <w:lang w:eastAsia="en-US"/>
        </w:rPr>
        <w:t>Shaded</w:t>
      </w:r>
      <w:r w:rsidRPr="00323CBC">
        <w:rPr>
          <w:rFonts w:ascii="Arial Narrow" w:hAnsi="Arial Narrow"/>
          <w:snapToGrid w:val="0"/>
          <w:sz w:val="18"/>
          <w:szCs w:val="22"/>
          <w:lang w:eastAsia="en-US"/>
        </w:rPr>
        <w:t xml:space="preserve"> areas indicate</w:t>
      </w:r>
      <w:r w:rsidR="005D491B">
        <w:rPr>
          <w:rFonts w:ascii="Arial Narrow" w:hAnsi="Arial Narrow"/>
          <w:snapToGrid w:val="0"/>
          <w:sz w:val="18"/>
          <w:szCs w:val="22"/>
          <w:lang w:eastAsia="en-US"/>
        </w:rPr>
        <w:t xml:space="preserve"> unchanged from previous PBAC submission</w:t>
      </w:r>
      <w:r w:rsidRPr="00323CBC">
        <w:rPr>
          <w:rFonts w:ascii="Arial Narrow" w:hAnsi="Arial Narrow"/>
          <w:snapToGrid w:val="0"/>
          <w:sz w:val="18"/>
          <w:szCs w:val="22"/>
          <w:lang w:eastAsia="en-US"/>
        </w:rPr>
        <w:t>.</w:t>
      </w:r>
    </w:p>
    <w:p w:rsidR="002C2775" w:rsidRPr="005B6C6A" w:rsidRDefault="00323CBC" w:rsidP="005B6C6A">
      <w:pPr>
        <w:spacing w:after="120"/>
        <w:contextualSpacing/>
        <w:rPr>
          <w:rFonts w:ascii="Arial Narrow" w:hAnsi="Arial Narrow"/>
          <w:snapToGrid w:val="0"/>
          <w:sz w:val="18"/>
          <w:szCs w:val="22"/>
        </w:rPr>
      </w:pPr>
      <w:r w:rsidRPr="00323CBC">
        <w:rPr>
          <w:rFonts w:ascii="Arial Narrow" w:hAnsi="Arial Narrow"/>
          <w:snapToGrid w:val="0"/>
          <w:sz w:val="18"/>
          <w:szCs w:val="22"/>
        </w:rPr>
        <w:t>Source: Table 1-4, p11 of the resubmission.</w:t>
      </w:r>
    </w:p>
    <w:p w:rsidR="005C25FF" w:rsidRPr="00407F2D" w:rsidRDefault="005C25FF" w:rsidP="004A6040">
      <w:pPr>
        <w:pStyle w:val="2-SectionHeading"/>
      </w:pPr>
      <w:bookmarkStart w:id="2" w:name="_Toc30493355"/>
      <w:r w:rsidRPr="00407F2D">
        <w:lastRenderedPageBreak/>
        <w:t>Background</w:t>
      </w:r>
      <w:bookmarkEnd w:id="2"/>
    </w:p>
    <w:p w:rsidR="005C25FF" w:rsidRPr="004151CF" w:rsidRDefault="005C25FF" w:rsidP="004A6040">
      <w:pPr>
        <w:pStyle w:val="4-SubsectionHeading"/>
      </w:pPr>
      <w:bookmarkStart w:id="3" w:name="_Toc22897638"/>
      <w:bookmarkStart w:id="4" w:name="_Toc30493356"/>
      <w:r w:rsidRPr="004151CF">
        <w:t>Registration status</w:t>
      </w:r>
      <w:bookmarkEnd w:id="3"/>
      <w:bookmarkEnd w:id="4"/>
    </w:p>
    <w:p w:rsidR="00003CA0" w:rsidRDefault="001E7C6D" w:rsidP="00003CA0">
      <w:pPr>
        <w:pStyle w:val="3-BodyText"/>
        <w:numPr>
          <w:ilvl w:val="1"/>
          <w:numId w:val="5"/>
        </w:numPr>
      </w:pPr>
      <w:r w:rsidRPr="001E7C6D">
        <w:t>The TGA approved bezlotoxumab on 8 November 2017 for prevention of recurrence of CDI in adult patients at high risk of recurrence</w:t>
      </w:r>
      <w:r w:rsidR="00003CA0">
        <w:t xml:space="preserve">. The current indication </w:t>
      </w:r>
      <w:r w:rsidR="002D3686">
        <w:t>is</w:t>
      </w:r>
      <w:r w:rsidR="00003CA0">
        <w:t>:</w:t>
      </w:r>
      <w:r w:rsidRPr="00006346">
        <w:t xml:space="preserve"> </w:t>
      </w:r>
    </w:p>
    <w:p w:rsidR="00003CA0" w:rsidRDefault="00003CA0" w:rsidP="00003CA0">
      <w:pPr>
        <w:pStyle w:val="3-BodyText"/>
        <w:numPr>
          <w:ilvl w:val="0"/>
          <w:numId w:val="0"/>
        </w:numPr>
        <w:ind w:left="720"/>
      </w:pPr>
      <w:r w:rsidRPr="001E7C6D">
        <w:t xml:space="preserve">“ZINPLAVA (bezlotoxumab) is indicated </w:t>
      </w:r>
      <w:r w:rsidR="001E7C6D" w:rsidRPr="00006346">
        <w:t xml:space="preserve">for the prevention of recurrence of </w:t>
      </w:r>
      <w:r w:rsidR="001E7C6D" w:rsidRPr="006373C7">
        <w:rPr>
          <w:i/>
        </w:rPr>
        <w:t>Clostridium difficile</w:t>
      </w:r>
      <w:r w:rsidR="001E7C6D" w:rsidRPr="00006346">
        <w:t xml:space="preserve"> infection (CDI) in adult patients 18 years or older at high risk of recurrence of CDI who are receiving </w:t>
      </w:r>
      <w:r w:rsidR="001E7C6D" w:rsidRPr="005D491B">
        <w:t>antibacterial</w:t>
      </w:r>
      <w:r w:rsidR="001E7C6D" w:rsidRPr="00006346">
        <w:t xml:space="preserve"> therapy for CDI.  </w:t>
      </w:r>
      <w:r w:rsidR="001E7C6D" w:rsidRPr="00003CA0">
        <w:t>ZINPLAVA is not indicated for the treatment of CDI.  ZINPLAVA is not an antibacterial drug. ZINPLAVA should only be used in conjunction with antibacterial drug treatment of CDI.”</w:t>
      </w:r>
    </w:p>
    <w:p w:rsidR="00C5460A" w:rsidRPr="00621ADA" w:rsidRDefault="00C5460A" w:rsidP="00C5460A">
      <w:pPr>
        <w:pStyle w:val="4-SubsectionHeading"/>
      </w:pPr>
      <w:bookmarkStart w:id="5" w:name="_Toc30493357"/>
      <w:r w:rsidRPr="00621ADA">
        <w:t>Previous PBAC consideration</w:t>
      </w:r>
      <w:bookmarkEnd w:id="5"/>
    </w:p>
    <w:p w:rsidR="000D5F02" w:rsidRDefault="00006FE3" w:rsidP="00006346">
      <w:pPr>
        <w:pStyle w:val="3-BodyText"/>
        <w:numPr>
          <w:ilvl w:val="1"/>
          <w:numId w:val="5"/>
        </w:numPr>
      </w:pPr>
      <w:r w:rsidRPr="008B5AAD">
        <w:t xml:space="preserve">The PBAC rejected the </w:t>
      </w:r>
      <w:r>
        <w:t>previous submissions (November 2017</w:t>
      </w:r>
      <w:r w:rsidR="005B6C6A">
        <w:t>,</w:t>
      </w:r>
      <w:r>
        <w:t xml:space="preserve"> July 2018</w:t>
      </w:r>
      <w:r w:rsidR="005B6C6A">
        <w:t xml:space="preserve"> and July 2019</w:t>
      </w:r>
      <w:r>
        <w:t>)</w:t>
      </w:r>
      <w:r w:rsidRPr="008B5AAD">
        <w:t xml:space="preserve"> on the basis of modest clinical benefit</w:t>
      </w:r>
      <w:r>
        <w:t>,</w:t>
      </w:r>
      <w:r w:rsidRPr="008B5AAD">
        <w:t xml:space="preserve"> </w:t>
      </w:r>
      <w:r w:rsidR="003B630B">
        <w:t xml:space="preserve">concerns about safety, </w:t>
      </w:r>
      <w:r w:rsidRPr="008B5AAD">
        <w:t>uncertain and unfavourable cost-effectiveness</w:t>
      </w:r>
      <w:r>
        <w:t xml:space="preserve">, </w:t>
      </w:r>
      <w:r w:rsidR="005B6C6A">
        <w:t xml:space="preserve">uncertain financial estimates and </w:t>
      </w:r>
      <w:r>
        <w:t>high opportunity cost</w:t>
      </w:r>
      <w:r w:rsidRPr="008B5AAD">
        <w:t>.</w:t>
      </w:r>
      <w:r w:rsidR="000D5F02">
        <w:t xml:space="preserve">  </w:t>
      </w:r>
      <w:r w:rsidR="003B630B">
        <w:t xml:space="preserve">The PBAC </w:t>
      </w:r>
      <w:r w:rsidR="000D5F02">
        <w:t xml:space="preserve">also considered that the </w:t>
      </w:r>
      <w:r w:rsidR="00774E91">
        <w:t xml:space="preserve">previously </w:t>
      </w:r>
      <w:r w:rsidR="00FB6D43">
        <w:t>proposed</w:t>
      </w:r>
      <w:r w:rsidR="003B630B">
        <w:t xml:space="preserve"> population</w:t>
      </w:r>
      <w:r w:rsidR="000D5F02">
        <w:t>s</w:t>
      </w:r>
      <w:r w:rsidR="003B630B">
        <w:t xml:space="preserve"> (i.e. </w:t>
      </w:r>
      <w:r w:rsidR="003B630B" w:rsidRPr="00CA3542">
        <w:t>≥</w:t>
      </w:r>
      <w:r w:rsidR="003B630B">
        <w:t>1</w:t>
      </w:r>
      <w:r w:rsidR="003B630B" w:rsidRPr="00CA3542">
        <w:t xml:space="preserve"> of 5 risk factors</w:t>
      </w:r>
      <w:r w:rsidR="003B630B">
        <w:t xml:space="preserve">, </w:t>
      </w:r>
      <w:r w:rsidR="003B630B" w:rsidRPr="00CA3542">
        <w:t>≥</w:t>
      </w:r>
      <w:r w:rsidR="003B630B">
        <w:t>1</w:t>
      </w:r>
      <w:r w:rsidR="003B630B" w:rsidRPr="00CA3542">
        <w:t xml:space="preserve"> of </w:t>
      </w:r>
      <w:r w:rsidR="003B630B">
        <w:t>4</w:t>
      </w:r>
      <w:r w:rsidR="003B630B" w:rsidRPr="00CA3542">
        <w:t xml:space="preserve"> risk factors</w:t>
      </w:r>
      <w:r w:rsidR="003B630B">
        <w:t>,</w:t>
      </w:r>
      <w:r w:rsidR="003B630B" w:rsidRPr="00CA3542">
        <w:t xml:space="preserve"> </w:t>
      </w:r>
      <w:r w:rsidR="003B630B">
        <w:t xml:space="preserve">and </w:t>
      </w:r>
      <w:r w:rsidR="003B630B" w:rsidRPr="00CA3542">
        <w:t>≥</w:t>
      </w:r>
      <w:r w:rsidR="003B630B">
        <w:t>2</w:t>
      </w:r>
      <w:r w:rsidR="003B630B" w:rsidRPr="00CA3542">
        <w:t xml:space="preserve"> of </w:t>
      </w:r>
      <w:r w:rsidR="003B630B">
        <w:t>4</w:t>
      </w:r>
      <w:r w:rsidR="003B630B" w:rsidRPr="00CA3542">
        <w:t xml:space="preserve"> risk factors</w:t>
      </w:r>
      <w:r w:rsidR="003B630B">
        <w:t>)</w:t>
      </w:r>
      <w:r w:rsidR="000D5F02">
        <w:t xml:space="preserve"> were poorly justified.</w:t>
      </w:r>
    </w:p>
    <w:p w:rsidR="002B78A4" w:rsidRPr="002B78A4" w:rsidRDefault="000D5F02" w:rsidP="00006346">
      <w:pPr>
        <w:pStyle w:val="3-BodyText"/>
        <w:numPr>
          <w:ilvl w:val="1"/>
          <w:numId w:val="5"/>
        </w:numPr>
      </w:pPr>
      <w:r>
        <w:t xml:space="preserve">In July 2019, </w:t>
      </w:r>
      <w:r w:rsidR="00234079">
        <w:rPr>
          <w:szCs w:val="22"/>
          <w:lang w:eastAsia="en-US"/>
        </w:rPr>
        <w:t>t</w:t>
      </w:r>
      <w:r w:rsidR="00234079" w:rsidRPr="002B78A4">
        <w:rPr>
          <w:szCs w:val="22"/>
          <w:lang w:eastAsia="en-US"/>
        </w:rPr>
        <w:t xml:space="preserve">he PBAC reviewed the CDI recurrence rates in the placebo arm of the MODIFY trials to assess the prognostic value of each of the proposed risk factors, and noted </w:t>
      </w:r>
      <w:r w:rsidR="00234079" w:rsidRPr="002B78A4">
        <w:t xml:space="preserve">that the treatment effect did not appear to be modified by </w:t>
      </w:r>
      <w:r w:rsidR="00234079">
        <w:t xml:space="preserve">three of the proposed risk factors including </w:t>
      </w:r>
      <w:r w:rsidR="00234079" w:rsidRPr="002B78A4">
        <w:t xml:space="preserve">compromised immunity, clinically severe CDI </w:t>
      </w:r>
      <w:r w:rsidR="00234079">
        <w:t>and</w:t>
      </w:r>
      <w:r w:rsidR="00234079" w:rsidRPr="002B78A4">
        <w:t xml:space="preserve"> hypervirulent strain</w:t>
      </w:r>
      <w:r w:rsidR="00234079">
        <w:t xml:space="preserve"> </w:t>
      </w:r>
      <w:r w:rsidR="00234079" w:rsidRPr="00E85EEF">
        <w:t>(paragraphs 6.14 and 6.15, bezlotoxumab, Public Summary Document, July 2019 PBAC meeting).</w:t>
      </w:r>
      <w:r w:rsidR="00234079">
        <w:t xml:space="preserve"> T</w:t>
      </w:r>
      <w:r>
        <w:t xml:space="preserve">he PBAC </w:t>
      </w:r>
      <w:r w:rsidR="00C97629">
        <w:t xml:space="preserve">considered that </w:t>
      </w:r>
      <w:r w:rsidR="00FB6D43">
        <w:t>a future</w:t>
      </w:r>
      <w:r w:rsidR="00C97629">
        <w:t xml:space="preserve"> resubmission should restrict the proposed population to those aged </w:t>
      </w:r>
      <w:r w:rsidR="00C97629" w:rsidRPr="002B78A4">
        <w:rPr>
          <w:rFonts w:cstheme="minorHAnsi"/>
        </w:rPr>
        <w:t>≥ 65 years and/or with a history of CDI in the past 6 months</w:t>
      </w:r>
      <w:r w:rsidR="00FB6D43" w:rsidRPr="002B78A4">
        <w:rPr>
          <w:rFonts w:cstheme="minorHAnsi"/>
        </w:rPr>
        <w:t xml:space="preserve"> (i.e. </w:t>
      </w:r>
      <w:r w:rsidR="00FB6D43" w:rsidRPr="00CA3542">
        <w:t>≥</w:t>
      </w:r>
      <w:r w:rsidR="00FB6D43">
        <w:t>1</w:t>
      </w:r>
      <w:r w:rsidR="00FB6D43" w:rsidRPr="00CA3542">
        <w:t xml:space="preserve"> of </w:t>
      </w:r>
      <w:r w:rsidR="00FB6D43">
        <w:t>2</w:t>
      </w:r>
      <w:r w:rsidR="00FB6D43" w:rsidRPr="00CA3542">
        <w:t xml:space="preserve"> risk factors</w:t>
      </w:r>
      <w:r w:rsidR="00FB6D43">
        <w:t>)</w:t>
      </w:r>
      <w:r w:rsidR="000C1D27">
        <w:t xml:space="preserve"> </w:t>
      </w:r>
      <w:r w:rsidR="000C1D27" w:rsidRPr="000C1D27">
        <w:t>(paragraph 7.9, bezlotoxumab, Public Summary Document, July 2019 PBAC meeting)</w:t>
      </w:r>
      <w:r w:rsidR="00C97629" w:rsidRPr="000C1D27">
        <w:rPr>
          <w:rFonts w:cstheme="minorHAnsi"/>
        </w:rPr>
        <w:t>.</w:t>
      </w:r>
      <w:r w:rsidR="00C97629" w:rsidRPr="002B78A4">
        <w:rPr>
          <w:rFonts w:cstheme="minorHAnsi"/>
        </w:rPr>
        <w:t xml:space="preserve">  </w:t>
      </w:r>
    </w:p>
    <w:p w:rsidR="00C97629" w:rsidRDefault="002B78A4" w:rsidP="00006346">
      <w:pPr>
        <w:pStyle w:val="3-BodyText"/>
        <w:numPr>
          <w:ilvl w:val="1"/>
          <w:numId w:val="5"/>
        </w:numPr>
      </w:pPr>
      <w:r>
        <w:rPr>
          <w:rFonts w:cstheme="minorHAnsi"/>
        </w:rPr>
        <w:t xml:space="preserve">The PBAC also considered </w:t>
      </w:r>
      <w:r w:rsidR="00E85EEF">
        <w:rPr>
          <w:rFonts w:cstheme="minorHAnsi"/>
        </w:rPr>
        <w:t xml:space="preserve">in July 2019 </w:t>
      </w:r>
      <w:r>
        <w:t>that</w:t>
      </w:r>
      <w:r w:rsidR="00C97629">
        <w:t xml:space="preserve"> the cost-effectiveness should be informed by more reliable estimates of the risk of CDI recurrence, and the uncertainty associated with the assumed mortality benefit</w:t>
      </w:r>
      <w:r w:rsidR="00FB6D43">
        <w:t xml:space="preserve"> should be addressed.</w:t>
      </w:r>
      <w:r w:rsidR="00B00AC3">
        <w:t xml:space="preserve">  The PBAC advised that the uncertainty associated with the financial estimates would need to be addressed, including a risk sharing agreement with a 100% rebate over the financial caps (</w:t>
      </w:r>
      <w:r w:rsidR="00B00AC3" w:rsidRPr="00FC3E25">
        <w:t>paragraph 7.9, bezlotoxumab</w:t>
      </w:r>
      <w:r w:rsidR="00FC3E25" w:rsidRPr="00FC3E25">
        <w:t>, P</w:t>
      </w:r>
      <w:r w:rsidR="00911983">
        <w:t xml:space="preserve">ublic </w:t>
      </w:r>
      <w:r w:rsidR="00FC3E25" w:rsidRPr="00FC3E25">
        <w:t>S</w:t>
      </w:r>
      <w:r w:rsidR="00911983">
        <w:t xml:space="preserve">ummary </w:t>
      </w:r>
      <w:r w:rsidR="00FC3E25" w:rsidRPr="00FC3E25">
        <w:t>D</w:t>
      </w:r>
      <w:r w:rsidR="00911983">
        <w:t>ocument</w:t>
      </w:r>
      <w:r w:rsidR="00FC3E25" w:rsidRPr="00FC3E25">
        <w:t>, July</w:t>
      </w:r>
      <w:r w:rsidR="00FC3E25">
        <w:t xml:space="preserve"> 2019 PBAC meeting</w:t>
      </w:r>
      <w:r w:rsidR="00B00AC3">
        <w:t>).</w:t>
      </w:r>
    </w:p>
    <w:p w:rsidR="002A3B80" w:rsidRPr="00CA3542" w:rsidRDefault="002A3B80" w:rsidP="00006346">
      <w:pPr>
        <w:pStyle w:val="3-BodyText"/>
      </w:pPr>
      <w:r>
        <w:t xml:space="preserve">Table </w:t>
      </w:r>
      <w:r w:rsidR="008C58F4">
        <w:t>2</w:t>
      </w:r>
      <w:r>
        <w:t xml:space="preserve"> summarises key issues identified by the PBAC in the previous submissions and how this resubmission addressed them.  </w:t>
      </w:r>
    </w:p>
    <w:p w:rsidR="005C25FF" w:rsidRDefault="005C25FF" w:rsidP="00196C58">
      <w:pPr>
        <w:pStyle w:val="TableFigureHeading"/>
        <w:keepLines/>
        <w:rPr>
          <w:rStyle w:val="CommentReference"/>
          <w:b/>
          <w:szCs w:val="24"/>
        </w:rPr>
      </w:pPr>
      <w:r w:rsidRPr="00033587">
        <w:rPr>
          <w:rStyle w:val="CommentReference"/>
          <w:b/>
          <w:szCs w:val="24"/>
        </w:rPr>
        <w:lastRenderedPageBreak/>
        <w:t xml:space="preserve">Table </w:t>
      </w:r>
      <w:r w:rsidR="008C58F4" w:rsidRPr="00033587">
        <w:rPr>
          <w:rStyle w:val="CommentReference"/>
          <w:b/>
          <w:szCs w:val="24"/>
        </w:rPr>
        <w:t>2</w:t>
      </w:r>
      <w:r w:rsidRPr="00033587">
        <w:rPr>
          <w:rStyle w:val="CommentReference"/>
          <w:b/>
          <w:szCs w:val="24"/>
        </w:rPr>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102"/>
        <w:gridCol w:w="2501"/>
      </w:tblGrid>
      <w:tr w:rsidR="00033587" w:rsidRPr="00203181" w:rsidTr="00E85EEF">
        <w:trPr>
          <w:cantSplit/>
          <w:tblHeader/>
        </w:trPr>
        <w:tc>
          <w:tcPr>
            <w:tcW w:w="784" w:type="pct"/>
            <w:vAlign w:val="center"/>
          </w:tcPr>
          <w:p w:rsidR="00033587" w:rsidRPr="0045489B" w:rsidRDefault="00033587" w:rsidP="00196C58">
            <w:pPr>
              <w:pStyle w:val="In-tableHeading"/>
              <w:keepLines/>
            </w:pPr>
            <w:r w:rsidRPr="0045489B">
              <w:t>Component</w:t>
            </w:r>
          </w:p>
        </w:tc>
        <w:tc>
          <w:tcPr>
            <w:tcW w:w="2829" w:type="pct"/>
            <w:vAlign w:val="center"/>
          </w:tcPr>
          <w:p w:rsidR="00033587" w:rsidRPr="0045489B" w:rsidRDefault="00033587" w:rsidP="00196C58">
            <w:pPr>
              <w:pStyle w:val="In-tableHeading"/>
              <w:keepLines/>
            </w:pPr>
            <w:r w:rsidRPr="0045489B">
              <w:t>Matter of concern</w:t>
            </w:r>
          </w:p>
        </w:tc>
        <w:tc>
          <w:tcPr>
            <w:tcW w:w="1387" w:type="pct"/>
            <w:vAlign w:val="center"/>
          </w:tcPr>
          <w:p w:rsidR="00033587" w:rsidRPr="0045489B" w:rsidRDefault="00033587" w:rsidP="00196C58">
            <w:pPr>
              <w:pStyle w:val="In-tableHeading"/>
              <w:keepLines/>
            </w:pPr>
            <w:r w:rsidRPr="0045489B">
              <w:t>How the resubmission addresses it</w:t>
            </w:r>
          </w:p>
        </w:tc>
      </w:tr>
      <w:tr w:rsidR="00033587" w:rsidRPr="00203181" w:rsidTr="00E85EEF">
        <w:trPr>
          <w:cantSplit/>
        </w:trPr>
        <w:tc>
          <w:tcPr>
            <w:tcW w:w="784" w:type="pct"/>
            <w:vMerge w:val="restart"/>
            <w:vAlign w:val="center"/>
          </w:tcPr>
          <w:p w:rsidR="00033587" w:rsidRPr="0018514B" w:rsidRDefault="00033587" w:rsidP="00196C58">
            <w:pPr>
              <w:pStyle w:val="TableText0"/>
              <w:keepLines/>
            </w:pPr>
            <w:r w:rsidRPr="0018514B">
              <w:t xml:space="preserve">Proposed </w:t>
            </w:r>
            <w:r w:rsidR="00C704DE">
              <w:t>population</w:t>
            </w:r>
          </w:p>
        </w:tc>
        <w:tc>
          <w:tcPr>
            <w:tcW w:w="2829" w:type="pct"/>
          </w:tcPr>
          <w:p w:rsidR="00033587" w:rsidRPr="0018514B" w:rsidRDefault="00033587" w:rsidP="00196C58">
            <w:pPr>
              <w:pStyle w:val="TableText0"/>
              <w:keepLines/>
              <w:rPr>
                <w:rFonts w:eastAsia="Times New Roman" w:cs="Arial"/>
                <w:bCs w:val="0"/>
                <w:snapToGrid w:val="0"/>
                <w:szCs w:val="20"/>
              </w:rPr>
            </w:pPr>
            <w:r w:rsidRPr="0018514B">
              <w:rPr>
                <w:rFonts w:eastAsia="Times New Roman" w:cs="Arial"/>
                <w:bCs w:val="0"/>
                <w:snapToGrid w:val="0"/>
                <w:szCs w:val="20"/>
              </w:rPr>
              <w:t xml:space="preserve">The PBAC considered that the requested </w:t>
            </w:r>
            <w:r w:rsidR="00C704DE">
              <w:rPr>
                <w:rFonts w:eastAsia="Times New Roman" w:cs="Arial"/>
                <w:bCs w:val="0"/>
                <w:snapToGrid w:val="0"/>
                <w:szCs w:val="20"/>
              </w:rPr>
              <w:t>population</w:t>
            </w:r>
            <w:r w:rsidRPr="0018514B">
              <w:rPr>
                <w:rFonts w:eastAsia="Times New Roman" w:cs="Arial"/>
                <w:bCs w:val="0"/>
                <w:snapToGrid w:val="0"/>
                <w:szCs w:val="20"/>
              </w:rPr>
              <w:t xml:space="preserve"> was poorly justified clinically and epidemiologically (Para 7.2, July 2019 PSD).</w:t>
            </w:r>
          </w:p>
        </w:tc>
        <w:tc>
          <w:tcPr>
            <w:tcW w:w="1387" w:type="pct"/>
            <w:vMerge w:val="restart"/>
          </w:tcPr>
          <w:p w:rsidR="00033587" w:rsidRPr="00A64859" w:rsidRDefault="00C704DE" w:rsidP="00196C58">
            <w:pPr>
              <w:pStyle w:val="TableText0"/>
              <w:keepLines/>
              <w:rPr>
                <w:rFonts w:eastAsia="Times New Roman" w:cs="Arial"/>
                <w:bCs w:val="0"/>
                <w:iCs/>
                <w:snapToGrid w:val="0"/>
                <w:szCs w:val="20"/>
              </w:rPr>
            </w:pPr>
            <w:r w:rsidRPr="00A64859">
              <w:rPr>
                <w:rFonts w:eastAsia="Times New Roman" w:cs="Arial"/>
                <w:bCs w:val="0"/>
                <w:iCs/>
                <w:snapToGrid w:val="0"/>
                <w:szCs w:val="20"/>
              </w:rPr>
              <w:t>Addressed in the resubmission; PBS population also included a third new risk factor for transplant recipients.</w:t>
            </w:r>
          </w:p>
        </w:tc>
      </w:tr>
      <w:tr w:rsidR="00033587" w:rsidRPr="00203181" w:rsidTr="00E85EEF">
        <w:trPr>
          <w:cantSplit/>
        </w:trPr>
        <w:tc>
          <w:tcPr>
            <w:tcW w:w="784" w:type="pct"/>
            <w:vMerge/>
            <w:vAlign w:val="center"/>
          </w:tcPr>
          <w:p w:rsidR="00033587" w:rsidRPr="0018514B" w:rsidRDefault="00033587" w:rsidP="00196C58">
            <w:pPr>
              <w:pStyle w:val="TableText0"/>
              <w:keepLines/>
            </w:pPr>
          </w:p>
        </w:tc>
        <w:tc>
          <w:tcPr>
            <w:tcW w:w="2829" w:type="pct"/>
          </w:tcPr>
          <w:p w:rsidR="00033587" w:rsidRPr="0018514B" w:rsidRDefault="00033587" w:rsidP="00196C58">
            <w:pPr>
              <w:pStyle w:val="TableText0"/>
              <w:keepLines/>
              <w:rPr>
                <w:rFonts w:eastAsia="Times New Roman" w:cs="Arial"/>
                <w:bCs w:val="0"/>
                <w:snapToGrid w:val="0"/>
                <w:szCs w:val="20"/>
              </w:rPr>
            </w:pPr>
            <w:r w:rsidRPr="0018514B">
              <w:rPr>
                <w:rFonts w:eastAsia="Times New Roman" w:cs="Arial"/>
                <w:bCs w:val="0"/>
                <w:snapToGrid w:val="0"/>
                <w:szCs w:val="20"/>
              </w:rPr>
              <w:t>The PBAC considered that any future resubmission should restrict the proposed PBS population to those aged ≥65 years and/or with a history of CDI in the past 6 months.</w:t>
            </w:r>
          </w:p>
        </w:tc>
        <w:tc>
          <w:tcPr>
            <w:tcW w:w="1387" w:type="pct"/>
            <w:vMerge/>
          </w:tcPr>
          <w:p w:rsidR="00033587" w:rsidRPr="00A64859" w:rsidRDefault="00033587" w:rsidP="00196C58">
            <w:pPr>
              <w:pStyle w:val="TableText0"/>
              <w:keepLines/>
              <w:rPr>
                <w:rFonts w:eastAsia="Times New Roman" w:cs="Arial"/>
                <w:bCs w:val="0"/>
                <w:snapToGrid w:val="0"/>
                <w:szCs w:val="20"/>
              </w:rPr>
            </w:pPr>
          </w:p>
        </w:tc>
      </w:tr>
      <w:tr w:rsidR="00033587" w:rsidRPr="00203181" w:rsidTr="00E85EEF">
        <w:trPr>
          <w:cantSplit/>
        </w:trPr>
        <w:tc>
          <w:tcPr>
            <w:tcW w:w="784" w:type="pct"/>
            <w:vAlign w:val="center"/>
          </w:tcPr>
          <w:p w:rsidR="00033587" w:rsidRPr="0018514B" w:rsidRDefault="00033587" w:rsidP="00196C58">
            <w:pPr>
              <w:pStyle w:val="TableText0"/>
              <w:keepLines/>
            </w:pPr>
            <w:r w:rsidRPr="0018514B">
              <w:t>Cardiac failure serious adverse events</w:t>
            </w:r>
          </w:p>
        </w:tc>
        <w:tc>
          <w:tcPr>
            <w:tcW w:w="2829" w:type="pct"/>
          </w:tcPr>
          <w:p w:rsidR="00033587" w:rsidRPr="0018514B" w:rsidRDefault="00033587" w:rsidP="00196C58">
            <w:pPr>
              <w:pStyle w:val="TableText0"/>
              <w:keepLines/>
              <w:rPr>
                <w:rFonts w:eastAsia="Times New Roman" w:cs="Arial"/>
                <w:bCs w:val="0"/>
                <w:snapToGrid w:val="0"/>
                <w:szCs w:val="20"/>
              </w:rPr>
            </w:pPr>
            <w:r w:rsidRPr="0018514B">
              <w:rPr>
                <w:rFonts w:eastAsia="Times New Roman" w:cs="Arial"/>
                <w:bCs w:val="0"/>
                <w:snapToGrid w:val="0"/>
                <w:szCs w:val="20"/>
              </w:rPr>
              <w:t>The PBAC considered that the claim of non-inferior comparative safety was not adequately supported by the data provided in the resubmission as the possibility of an increased risk of exacerbation of CHF remained (Para 7.5, July 2019 PSD).</w:t>
            </w:r>
          </w:p>
        </w:tc>
        <w:tc>
          <w:tcPr>
            <w:tcW w:w="1387" w:type="pct"/>
          </w:tcPr>
          <w:p w:rsidR="00033587" w:rsidRPr="00A64859" w:rsidRDefault="00C704DE" w:rsidP="00196C58">
            <w:pPr>
              <w:pStyle w:val="TableText0"/>
              <w:keepLines/>
              <w:rPr>
                <w:rFonts w:eastAsia="Times New Roman" w:cs="Arial"/>
                <w:bCs w:val="0"/>
                <w:iCs/>
                <w:snapToGrid w:val="0"/>
                <w:szCs w:val="20"/>
              </w:rPr>
            </w:pPr>
            <w:r w:rsidRPr="00A64859">
              <w:rPr>
                <w:rFonts w:eastAsia="Times New Roman" w:cs="Arial"/>
                <w:bCs w:val="0"/>
                <w:iCs/>
                <w:snapToGrid w:val="0"/>
                <w:szCs w:val="20"/>
              </w:rPr>
              <w:t>Not addressed give</w:t>
            </w:r>
            <w:r w:rsidR="00871546" w:rsidRPr="00A64859">
              <w:rPr>
                <w:rFonts w:eastAsia="Times New Roman" w:cs="Arial"/>
                <w:bCs w:val="0"/>
                <w:iCs/>
                <w:snapToGrid w:val="0"/>
                <w:szCs w:val="20"/>
              </w:rPr>
              <w:t>n</w:t>
            </w:r>
            <w:r w:rsidRPr="00A64859">
              <w:rPr>
                <w:rFonts w:eastAsia="Times New Roman" w:cs="Arial"/>
                <w:bCs w:val="0"/>
                <w:iCs/>
                <w:snapToGrid w:val="0"/>
                <w:szCs w:val="20"/>
              </w:rPr>
              <w:t xml:space="preserve"> there was no new data available.</w:t>
            </w:r>
          </w:p>
        </w:tc>
      </w:tr>
      <w:tr w:rsidR="00C704DE" w:rsidRPr="00203181" w:rsidTr="00E85EEF">
        <w:trPr>
          <w:cantSplit/>
        </w:trPr>
        <w:tc>
          <w:tcPr>
            <w:tcW w:w="784" w:type="pct"/>
            <w:vMerge w:val="restart"/>
            <w:vAlign w:val="center"/>
          </w:tcPr>
          <w:p w:rsidR="00C704DE" w:rsidRPr="0018514B" w:rsidRDefault="00C704DE" w:rsidP="00196C58">
            <w:pPr>
              <w:pStyle w:val="TableText0"/>
              <w:keepLines/>
            </w:pPr>
            <w:r w:rsidRPr="0018514B">
              <w:t>CDI recurrence rates</w:t>
            </w:r>
          </w:p>
        </w:tc>
        <w:tc>
          <w:tcPr>
            <w:tcW w:w="2829" w:type="pct"/>
          </w:tcPr>
          <w:p w:rsidR="00C704DE" w:rsidRPr="0018514B" w:rsidRDefault="00C704DE" w:rsidP="00196C58">
            <w:pPr>
              <w:pStyle w:val="TableText0"/>
              <w:keepLines/>
              <w:rPr>
                <w:rFonts w:eastAsia="Times New Roman" w:cs="Arial"/>
                <w:bCs w:val="0"/>
                <w:snapToGrid w:val="0"/>
                <w:szCs w:val="20"/>
              </w:rPr>
            </w:pPr>
            <w:r w:rsidRPr="0018514B">
              <w:rPr>
                <w:rFonts w:eastAsia="Times New Roman" w:cs="Arial"/>
                <w:bCs w:val="0"/>
                <w:snapToGrid w:val="0"/>
                <w:szCs w:val="20"/>
              </w:rPr>
              <w:t>The PBAC noted the base case ICER in the resubmission was highly sensitive to the assumed CDI recurrence rates (Para 7.6, July 2019 PSD)</w:t>
            </w:r>
            <w:r>
              <w:rPr>
                <w:rFonts w:eastAsia="Times New Roman" w:cs="Arial"/>
                <w:bCs w:val="0"/>
                <w:snapToGrid w:val="0"/>
                <w:szCs w:val="20"/>
              </w:rPr>
              <w:t xml:space="preserve">; and </w:t>
            </w:r>
            <w:r>
              <w:t>should be informed by more reliable estimates of the risk of CDI recurrence</w:t>
            </w:r>
            <w:r w:rsidRPr="0018514B">
              <w:rPr>
                <w:rFonts w:eastAsia="Times New Roman" w:cs="Arial"/>
                <w:bCs w:val="0"/>
                <w:snapToGrid w:val="0"/>
                <w:szCs w:val="20"/>
              </w:rPr>
              <w:t>.</w:t>
            </w:r>
          </w:p>
        </w:tc>
        <w:tc>
          <w:tcPr>
            <w:tcW w:w="1387" w:type="pct"/>
            <w:vMerge w:val="restart"/>
          </w:tcPr>
          <w:p w:rsidR="00C704DE" w:rsidRPr="00A64859" w:rsidRDefault="003044DC" w:rsidP="00196C58">
            <w:pPr>
              <w:pStyle w:val="TableText0"/>
              <w:keepLines/>
              <w:rPr>
                <w:rFonts w:eastAsia="Times New Roman" w:cs="Arial"/>
                <w:bCs w:val="0"/>
                <w:iCs/>
                <w:snapToGrid w:val="0"/>
                <w:szCs w:val="20"/>
              </w:rPr>
            </w:pPr>
            <w:r>
              <w:rPr>
                <w:rFonts w:eastAsia="Times New Roman" w:cs="Arial"/>
                <w:bCs w:val="0"/>
                <w:iCs/>
                <w:snapToGrid w:val="0"/>
                <w:szCs w:val="20"/>
              </w:rPr>
              <w:t>Revised CDI recurrence rates provided;</w:t>
            </w:r>
            <w:r w:rsidR="00C704DE" w:rsidRPr="00A64859">
              <w:rPr>
                <w:rFonts w:eastAsia="Times New Roman" w:cs="Arial"/>
                <w:bCs w:val="0"/>
                <w:iCs/>
                <w:snapToGrid w:val="0"/>
                <w:szCs w:val="20"/>
              </w:rPr>
              <w:t xml:space="preserve"> the model remained highly sensitive to the assumed CDI recurrence rates.</w:t>
            </w:r>
          </w:p>
        </w:tc>
      </w:tr>
      <w:tr w:rsidR="00C704DE" w:rsidRPr="00203181" w:rsidTr="00E85EEF">
        <w:trPr>
          <w:cantSplit/>
        </w:trPr>
        <w:tc>
          <w:tcPr>
            <w:tcW w:w="784" w:type="pct"/>
            <w:vMerge/>
            <w:vAlign w:val="center"/>
          </w:tcPr>
          <w:p w:rsidR="00C704DE" w:rsidRPr="0018514B" w:rsidRDefault="00C704DE" w:rsidP="00196C58">
            <w:pPr>
              <w:pStyle w:val="TableText0"/>
              <w:keepLines/>
            </w:pPr>
          </w:p>
        </w:tc>
        <w:tc>
          <w:tcPr>
            <w:tcW w:w="2829" w:type="pct"/>
          </w:tcPr>
          <w:p w:rsidR="00C704DE" w:rsidRPr="0018514B" w:rsidRDefault="00C704DE" w:rsidP="00196C58">
            <w:pPr>
              <w:pStyle w:val="TableText0"/>
              <w:keepLines/>
              <w:rPr>
                <w:rFonts w:eastAsia="Times New Roman" w:cs="Arial"/>
                <w:bCs w:val="0"/>
                <w:snapToGrid w:val="0"/>
                <w:szCs w:val="20"/>
              </w:rPr>
            </w:pPr>
            <w:r w:rsidRPr="0018514B">
              <w:rPr>
                <w:rFonts w:eastAsia="Times New Roman" w:cs="Arial"/>
                <w:bCs w:val="0"/>
                <w:snapToGrid w:val="0"/>
                <w:szCs w:val="20"/>
              </w:rPr>
              <w:t>ESC considered that an option for the estimation of SoC recurrence rates may be to use the reported difference in recurrence rates by risk factor</w:t>
            </w:r>
            <w:r>
              <w:rPr>
                <w:rFonts w:eastAsia="Times New Roman" w:cs="Arial"/>
                <w:bCs w:val="0"/>
                <w:snapToGrid w:val="0"/>
                <w:szCs w:val="20"/>
              </w:rPr>
              <w:t xml:space="preserve"> to estimate recurrence rates </w:t>
            </w:r>
            <w:r w:rsidRPr="0018514B">
              <w:rPr>
                <w:rFonts w:eastAsia="Times New Roman" w:cs="Arial"/>
                <w:bCs w:val="0"/>
                <w:snapToGrid w:val="0"/>
                <w:szCs w:val="20"/>
              </w:rPr>
              <w:t>from the aggregate recurrence rate cited by the ACSQHC (Para 6.34, July 2019 PSD).</w:t>
            </w:r>
          </w:p>
        </w:tc>
        <w:tc>
          <w:tcPr>
            <w:tcW w:w="1387" w:type="pct"/>
            <w:vMerge/>
          </w:tcPr>
          <w:p w:rsidR="00C704DE" w:rsidRPr="00A64859" w:rsidRDefault="00C704DE" w:rsidP="00196C58">
            <w:pPr>
              <w:pStyle w:val="TableText0"/>
              <w:keepLines/>
              <w:rPr>
                <w:rFonts w:eastAsia="Times New Roman" w:cs="Arial"/>
                <w:bCs w:val="0"/>
                <w:iCs/>
                <w:snapToGrid w:val="0"/>
                <w:szCs w:val="20"/>
              </w:rPr>
            </w:pPr>
          </w:p>
        </w:tc>
      </w:tr>
      <w:tr w:rsidR="00033587" w:rsidRPr="00203181" w:rsidTr="00E85EEF">
        <w:trPr>
          <w:cantSplit/>
        </w:trPr>
        <w:tc>
          <w:tcPr>
            <w:tcW w:w="784" w:type="pct"/>
            <w:vAlign w:val="center"/>
          </w:tcPr>
          <w:p w:rsidR="00033587" w:rsidRPr="0018514B" w:rsidRDefault="00033587" w:rsidP="00196C58">
            <w:pPr>
              <w:pStyle w:val="TableText0"/>
              <w:keepLines/>
            </w:pPr>
            <w:r w:rsidRPr="0018514B">
              <w:t>Financial estimates</w:t>
            </w:r>
          </w:p>
        </w:tc>
        <w:tc>
          <w:tcPr>
            <w:tcW w:w="2829" w:type="pct"/>
          </w:tcPr>
          <w:p w:rsidR="00033587" w:rsidRPr="0018514B" w:rsidRDefault="00033587" w:rsidP="00196C58">
            <w:pPr>
              <w:pStyle w:val="TableText0"/>
              <w:keepLines/>
              <w:rPr>
                <w:rFonts w:eastAsia="Times New Roman" w:cs="Arial"/>
                <w:bCs w:val="0"/>
                <w:snapToGrid w:val="0"/>
                <w:szCs w:val="20"/>
              </w:rPr>
            </w:pPr>
            <w:r w:rsidRPr="0018514B">
              <w:rPr>
                <w:rFonts w:eastAsia="Times New Roman" w:cs="Arial"/>
                <w:bCs w:val="0"/>
                <w:snapToGrid w:val="0"/>
                <w:szCs w:val="20"/>
              </w:rPr>
              <w:t>The PBAC had previously considered that the financial estimates were highly uncertain and likely an underestimate for several reasons including the derivation of the eligible population from oral vancomycin scripts on the PBS, which only accounted for approximately 10% of CDI related diarrhoeas (Para 6.49, July 2019 PSD).</w:t>
            </w:r>
          </w:p>
        </w:tc>
        <w:tc>
          <w:tcPr>
            <w:tcW w:w="1387" w:type="pct"/>
          </w:tcPr>
          <w:p w:rsidR="00033587" w:rsidRPr="00A64859" w:rsidRDefault="00C704DE" w:rsidP="00196C58">
            <w:pPr>
              <w:pStyle w:val="TableText0"/>
              <w:keepLines/>
              <w:rPr>
                <w:rFonts w:eastAsia="Times New Roman" w:cs="Arial"/>
                <w:bCs w:val="0"/>
                <w:iCs/>
                <w:snapToGrid w:val="0"/>
                <w:szCs w:val="20"/>
              </w:rPr>
            </w:pPr>
            <w:r w:rsidRPr="00A64859">
              <w:rPr>
                <w:rFonts w:eastAsia="Times New Roman" w:cs="Arial"/>
                <w:bCs w:val="0"/>
                <w:iCs/>
                <w:snapToGrid w:val="0"/>
                <w:szCs w:val="20"/>
              </w:rPr>
              <w:t>Addressed in the resubmission</w:t>
            </w:r>
            <w:r w:rsidR="00FD7459">
              <w:rPr>
                <w:rFonts w:eastAsia="Times New Roman" w:cs="Arial"/>
                <w:bCs w:val="0"/>
                <w:iCs/>
                <w:snapToGrid w:val="0"/>
                <w:szCs w:val="20"/>
              </w:rPr>
              <w:t xml:space="preserve"> by estimating</w:t>
            </w:r>
            <w:r w:rsidRPr="00A64859">
              <w:rPr>
                <w:rFonts w:eastAsia="Times New Roman" w:cs="Arial"/>
                <w:bCs w:val="0"/>
                <w:iCs/>
                <w:snapToGrid w:val="0"/>
                <w:szCs w:val="20"/>
              </w:rPr>
              <w:t xml:space="preserve"> the eligible population from hospital admissions.</w:t>
            </w:r>
          </w:p>
        </w:tc>
      </w:tr>
      <w:tr w:rsidR="00033587" w:rsidRPr="00203181" w:rsidTr="00E85EEF">
        <w:trPr>
          <w:cantSplit/>
        </w:trPr>
        <w:tc>
          <w:tcPr>
            <w:tcW w:w="784" w:type="pct"/>
            <w:vAlign w:val="center"/>
          </w:tcPr>
          <w:p w:rsidR="00033587" w:rsidRPr="0018514B" w:rsidRDefault="00033587" w:rsidP="00196C58">
            <w:pPr>
              <w:pStyle w:val="TableText0"/>
              <w:keepLines/>
            </w:pPr>
            <w:r w:rsidRPr="0018514B">
              <w:t>Risk sharing arrangement</w:t>
            </w:r>
          </w:p>
        </w:tc>
        <w:tc>
          <w:tcPr>
            <w:tcW w:w="2829" w:type="pct"/>
          </w:tcPr>
          <w:p w:rsidR="00033587" w:rsidRPr="0018514B" w:rsidRDefault="00033587" w:rsidP="00196C58">
            <w:pPr>
              <w:pStyle w:val="TableText0"/>
              <w:keepLines/>
              <w:rPr>
                <w:rFonts w:eastAsia="Times New Roman" w:cs="Arial"/>
                <w:bCs w:val="0"/>
                <w:snapToGrid w:val="0"/>
                <w:szCs w:val="20"/>
              </w:rPr>
            </w:pPr>
            <w:r w:rsidRPr="0018514B">
              <w:rPr>
                <w:rFonts w:eastAsia="Times New Roman" w:cs="Arial"/>
                <w:bCs w:val="0"/>
                <w:snapToGrid w:val="0"/>
                <w:szCs w:val="20"/>
              </w:rPr>
              <w:t>The PBAC advised that the uncertainty associated with the financial estimates would need to be addressed, including with a risk sharing arrangement with a 100% rebate over the financial caps (Para 7.9, July 2019 PSD).</w:t>
            </w:r>
          </w:p>
        </w:tc>
        <w:tc>
          <w:tcPr>
            <w:tcW w:w="1387" w:type="pct"/>
          </w:tcPr>
          <w:p w:rsidR="00033587" w:rsidRPr="00A64859" w:rsidRDefault="00C704DE" w:rsidP="00196C58">
            <w:pPr>
              <w:pStyle w:val="TableText0"/>
              <w:keepLines/>
              <w:rPr>
                <w:rFonts w:eastAsia="Times New Roman" w:cs="Arial"/>
                <w:bCs w:val="0"/>
                <w:iCs/>
                <w:snapToGrid w:val="0"/>
                <w:szCs w:val="20"/>
              </w:rPr>
            </w:pPr>
            <w:r w:rsidRPr="00A64859">
              <w:rPr>
                <w:rFonts w:eastAsia="Times New Roman" w:cs="Arial"/>
                <w:bCs w:val="0"/>
                <w:iCs/>
                <w:snapToGrid w:val="0"/>
                <w:szCs w:val="20"/>
              </w:rPr>
              <w:t>Partially addressed; t</w:t>
            </w:r>
            <w:r w:rsidR="00033587" w:rsidRPr="00A64859">
              <w:rPr>
                <w:rFonts w:eastAsia="Times New Roman" w:cs="Arial"/>
                <w:bCs w:val="0"/>
                <w:iCs/>
                <w:snapToGrid w:val="0"/>
                <w:szCs w:val="20"/>
              </w:rPr>
              <w:t xml:space="preserve">he </w:t>
            </w:r>
            <w:r w:rsidRPr="00A64859">
              <w:rPr>
                <w:rFonts w:eastAsia="Times New Roman" w:cs="Arial"/>
                <w:bCs w:val="0"/>
                <w:iCs/>
                <w:snapToGrid w:val="0"/>
                <w:szCs w:val="20"/>
              </w:rPr>
              <w:t xml:space="preserve">resubmission proposed a </w:t>
            </w:r>
            <w:r w:rsidR="00033587" w:rsidRPr="00A64859">
              <w:rPr>
                <w:rFonts w:eastAsia="Times New Roman" w:cs="Arial"/>
                <w:bCs w:val="0"/>
                <w:iCs/>
                <w:snapToGrid w:val="0"/>
                <w:szCs w:val="20"/>
              </w:rPr>
              <w:t xml:space="preserve">risk sharing arrangement </w:t>
            </w:r>
            <w:r w:rsidRPr="00A64859">
              <w:rPr>
                <w:rFonts w:eastAsia="Times New Roman" w:cs="Arial"/>
                <w:bCs w:val="0"/>
                <w:iCs/>
                <w:snapToGrid w:val="0"/>
                <w:szCs w:val="20"/>
              </w:rPr>
              <w:t>but provided limited detail.</w:t>
            </w:r>
          </w:p>
        </w:tc>
      </w:tr>
    </w:tbl>
    <w:p w:rsidR="00317570" w:rsidRPr="00A64859" w:rsidRDefault="00317570" w:rsidP="0090796E">
      <w:pPr>
        <w:pStyle w:val="TableFigureFooter"/>
        <w:keepLines/>
        <w:rPr>
          <w:iCs/>
        </w:rPr>
      </w:pPr>
      <w:r w:rsidRPr="00A64859">
        <w:rPr>
          <w:iCs/>
          <w:lang w:eastAsia="en-US"/>
        </w:rPr>
        <w:t>Abbreviations: ACSQHC=Australian Commission on Safety and Quality in Health Care; CDI=clostridium difficile infection; CHF=congestive heart failure.</w:t>
      </w:r>
    </w:p>
    <w:p w:rsidR="00033587" w:rsidRDefault="00033587" w:rsidP="0090796E">
      <w:pPr>
        <w:pStyle w:val="TableFigureFooter"/>
        <w:keepLines/>
        <w:rPr>
          <w:iCs/>
        </w:rPr>
      </w:pPr>
      <w:r w:rsidRPr="00A64859">
        <w:rPr>
          <w:iCs/>
        </w:rPr>
        <w:t>Source: constructed during the evaluation.</w:t>
      </w:r>
    </w:p>
    <w:p w:rsidR="00CF61E7" w:rsidRPr="00CF61E7" w:rsidRDefault="00CF61E7" w:rsidP="00CF61E7">
      <w:pPr>
        <w:tabs>
          <w:tab w:val="center" w:pos="4153"/>
          <w:tab w:val="right" w:pos="8306"/>
        </w:tabs>
        <w:autoSpaceDE w:val="0"/>
        <w:autoSpaceDN w:val="0"/>
        <w:adjustRightInd w:val="0"/>
        <w:ind w:left="709"/>
        <w:rPr>
          <w:rFonts w:asciiTheme="minorHAnsi" w:hAnsiTheme="minorHAnsi" w:cstheme="minorHAnsi"/>
          <w:i/>
          <w:iCs/>
        </w:rPr>
      </w:pPr>
      <w:r w:rsidRPr="00CF61E7">
        <w:rPr>
          <w:rFonts w:asciiTheme="minorHAnsi" w:hAnsiTheme="minorHAnsi" w:cstheme="minorHAnsi"/>
          <w:i/>
          <w:iCs/>
        </w:rPr>
        <w:t>For more detail on PBAC’s view, see section 7 PBAC outcome.</w:t>
      </w:r>
    </w:p>
    <w:p w:rsidR="00262837" w:rsidRDefault="00B50DB8" w:rsidP="0090796E">
      <w:pPr>
        <w:pStyle w:val="2-SectionHeading"/>
      </w:pPr>
      <w:bookmarkStart w:id="6" w:name="_Toc30493358"/>
      <w:r w:rsidRPr="00407F2D">
        <w:t>Requested listing</w:t>
      </w:r>
      <w:bookmarkEnd w:id="6"/>
    </w:p>
    <w:p w:rsidR="00237512" w:rsidRPr="004254E3" w:rsidRDefault="004254E3" w:rsidP="004254E3">
      <w:pPr>
        <w:pStyle w:val="3-BodyText"/>
        <w:numPr>
          <w:ilvl w:val="1"/>
          <w:numId w:val="5"/>
        </w:numPr>
      </w:pPr>
      <w:r>
        <w:t xml:space="preserve">Suggestions and additions proposed by the Secretariat are added in italics and suggested deletions are crossed out with strikethrough. </w:t>
      </w:r>
    </w:p>
    <w:tbl>
      <w:tblPr>
        <w:tblW w:w="9356" w:type="dxa"/>
        <w:tblInd w:w="-8" w:type="dxa"/>
        <w:tblLayout w:type="fixed"/>
        <w:tblCellMar>
          <w:left w:w="0" w:type="dxa"/>
          <w:right w:w="0" w:type="dxa"/>
        </w:tblCellMar>
        <w:tblLook w:val="0000" w:firstRow="0" w:lastRow="0" w:firstColumn="0" w:lastColumn="0" w:noHBand="0" w:noVBand="0"/>
      </w:tblPr>
      <w:tblGrid>
        <w:gridCol w:w="3119"/>
        <w:gridCol w:w="708"/>
        <w:gridCol w:w="709"/>
        <w:gridCol w:w="709"/>
        <w:gridCol w:w="1843"/>
        <w:gridCol w:w="709"/>
        <w:gridCol w:w="1559"/>
      </w:tblGrid>
      <w:tr w:rsidR="004254E3" w:rsidRPr="004254E3" w:rsidTr="004254E3">
        <w:tc>
          <w:tcPr>
            <w:tcW w:w="3119" w:type="dxa"/>
            <w:tcBorders>
              <w:top w:val="single" w:sz="6" w:space="0" w:color="000000"/>
              <w:left w:val="single" w:sz="6" w:space="0" w:color="000000"/>
              <w:bottom w:val="single" w:sz="6" w:space="0" w:color="000000"/>
              <w:right w:val="single" w:sz="6" w:space="0" w:color="000000"/>
            </w:tcBorders>
          </w:tcPr>
          <w:p w:rsidR="004254E3" w:rsidRPr="004254E3" w:rsidRDefault="004254E3" w:rsidP="004254E3">
            <w:pPr>
              <w:autoSpaceDE w:val="0"/>
              <w:autoSpaceDN w:val="0"/>
              <w:adjustRightInd w:val="0"/>
              <w:rPr>
                <w:rFonts w:ascii="Arial Narrow" w:hAnsi="Arial Narrow" w:cs="Arial Narrow"/>
                <w:b/>
                <w:bCs/>
                <w:sz w:val="18"/>
                <w:szCs w:val="18"/>
              </w:rPr>
            </w:pPr>
            <w:r w:rsidRPr="004254E3">
              <w:rPr>
                <w:rFonts w:ascii="Arial Narrow" w:hAnsi="Arial Narrow" w:cs="Arial Narrow"/>
                <w:b/>
                <w:bCs/>
                <w:sz w:val="18"/>
                <w:szCs w:val="18"/>
              </w:rPr>
              <w:t>Name, Restriction,</w:t>
            </w:r>
          </w:p>
          <w:p w:rsidR="004254E3" w:rsidRPr="004254E3" w:rsidRDefault="004254E3" w:rsidP="004254E3">
            <w:pPr>
              <w:autoSpaceDE w:val="0"/>
              <w:autoSpaceDN w:val="0"/>
              <w:adjustRightInd w:val="0"/>
              <w:rPr>
                <w:rFonts w:ascii="Arial Narrow" w:hAnsi="Arial Narrow" w:cs="Arial Narrow"/>
                <w:b/>
                <w:bCs/>
                <w:sz w:val="18"/>
                <w:szCs w:val="18"/>
              </w:rPr>
            </w:pPr>
            <w:r w:rsidRPr="004254E3">
              <w:rPr>
                <w:rFonts w:ascii="Arial Narrow" w:hAnsi="Arial Narrow" w:cs="Arial Narrow"/>
                <w:b/>
                <w:bCs/>
                <w:sz w:val="18"/>
                <w:szCs w:val="18"/>
              </w:rPr>
              <w:t>Manner of administration and form</w:t>
            </w:r>
          </w:p>
        </w:tc>
        <w:tc>
          <w:tcPr>
            <w:tcW w:w="708" w:type="dxa"/>
            <w:tcBorders>
              <w:top w:val="single" w:sz="6" w:space="0" w:color="000000"/>
              <w:left w:val="single" w:sz="6" w:space="0" w:color="000000"/>
              <w:bottom w:val="single" w:sz="6" w:space="0" w:color="000000"/>
              <w:right w:val="single" w:sz="6" w:space="0" w:color="000000"/>
            </w:tcBorders>
          </w:tcPr>
          <w:p w:rsidR="004254E3" w:rsidRPr="004254E3" w:rsidRDefault="004254E3" w:rsidP="004254E3">
            <w:pPr>
              <w:autoSpaceDE w:val="0"/>
              <w:autoSpaceDN w:val="0"/>
              <w:adjustRightInd w:val="0"/>
              <w:jc w:val="center"/>
              <w:rPr>
                <w:rFonts w:ascii="Arial Narrow" w:hAnsi="Arial Narrow" w:cs="Arial Narrow"/>
                <w:b/>
                <w:bCs/>
                <w:sz w:val="18"/>
                <w:szCs w:val="18"/>
              </w:rPr>
            </w:pPr>
            <w:r w:rsidRPr="004254E3">
              <w:rPr>
                <w:rFonts w:ascii="Arial Narrow" w:hAnsi="Arial Narrow" w:cs="Arial Narrow"/>
                <w:b/>
                <w:bCs/>
                <w:sz w:val="18"/>
                <w:szCs w:val="18"/>
              </w:rPr>
              <w:t>Max. qty packs</w:t>
            </w:r>
          </w:p>
        </w:tc>
        <w:tc>
          <w:tcPr>
            <w:tcW w:w="709" w:type="dxa"/>
            <w:tcBorders>
              <w:top w:val="single" w:sz="6" w:space="0" w:color="000000"/>
              <w:left w:val="single" w:sz="6" w:space="0" w:color="000000"/>
              <w:bottom w:val="single" w:sz="6" w:space="0" w:color="000000"/>
              <w:right w:val="single" w:sz="6" w:space="0" w:color="000000"/>
            </w:tcBorders>
          </w:tcPr>
          <w:p w:rsidR="004254E3" w:rsidRPr="004254E3" w:rsidRDefault="004254E3" w:rsidP="004254E3">
            <w:pPr>
              <w:autoSpaceDE w:val="0"/>
              <w:autoSpaceDN w:val="0"/>
              <w:adjustRightInd w:val="0"/>
              <w:jc w:val="center"/>
              <w:rPr>
                <w:rFonts w:ascii="Arial Narrow" w:hAnsi="Arial Narrow" w:cs="Arial Narrow"/>
                <w:b/>
                <w:bCs/>
                <w:sz w:val="18"/>
                <w:szCs w:val="18"/>
              </w:rPr>
            </w:pPr>
            <w:r w:rsidRPr="004254E3">
              <w:rPr>
                <w:rFonts w:ascii="Arial Narrow" w:hAnsi="Arial Narrow" w:cs="Arial Narrow"/>
                <w:b/>
                <w:bCs/>
                <w:sz w:val="18"/>
                <w:szCs w:val="18"/>
              </w:rPr>
              <w:t>Max. qty units</w:t>
            </w:r>
          </w:p>
        </w:tc>
        <w:tc>
          <w:tcPr>
            <w:tcW w:w="709" w:type="dxa"/>
            <w:tcBorders>
              <w:top w:val="single" w:sz="6" w:space="0" w:color="000000"/>
              <w:left w:val="single" w:sz="6" w:space="0" w:color="000000"/>
              <w:bottom w:val="single" w:sz="6" w:space="0" w:color="000000"/>
              <w:right w:val="single" w:sz="6" w:space="0" w:color="000000"/>
            </w:tcBorders>
          </w:tcPr>
          <w:p w:rsidR="004254E3" w:rsidRPr="004254E3" w:rsidRDefault="004254E3" w:rsidP="004254E3">
            <w:pPr>
              <w:autoSpaceDE w:val="0"/>
              <w:autoSpaceDN w:val="0"/>
              <w:adjustRightInd w:val="0"/>
              <w:jc w:val="center"/>
              <w:rPr>
                <w:rFonts w:ascii="Arial Narrow" w:hAnsi="Arial Narrow" w:cs="Arial Narrow"/>
                <w:b/>
                <w:bCs/>
                <w:sz w:val="18"/>
                <w:szCs w:val="18"/>
              </w:rPr>
            </w:pPr>
            <w:r w:rsidRPr="004254E3">
              <w:rPr>
                <w:rFonts w:ascii="Arial Narrow" w:hAnsi="Arial Narrow" w:cs="Arial Narrow"/>
                <w:b/>
                <w:bCs/>
                <w:sz w:val="18"/>
                <w:szCs w:val="18"/>
              </w:rPr>
              <w:t>№.of</w:t>
            </w:r>
          </w:p>
          <w:p w:rsidR="004254E3" w:rsidRPr="004254E3" w:rsidRDefault="004254E3" w:rsidP="004254E3">
            <w:pPr>
              <w:autoSpaceDE w:val="0"/>
              <w:autoSpaceDN w:val="0"/>
              <w:adjustRightInd w:val="0"/>
              <w:jc w:val="center"/>
              <w:rPr>
                <w:rFonts w:ascii="Arial Narrow" w:hAnsi="Arial Narrow" w:cs="Arial Narrow"/>
                <w:b/>
                <w:bCs/>
                <w:sz w:val="18"/>
                <w:szCs w:val="18"/>
              </w:rPr>
            </w:pPr>
            <w:r w:rsidRPr="004254E3">
              <w:rPr>
                <w:rFonts w:ascii="Arial Narrow" w:hAnsi="Arial Narrow" w:cs="Arial Narrow"/>
                <w:b/>
                <w:bCs/>
                <w:sz w:val="18"/>
                <w:szCs w:val="18"/>
              </w:rPr>
              <w:t>Rpts</w:t>
            </w:r>
          </w:p>
        </w:tc>
        <w:tc>
          <w:tcPr>
            <w:tcW w:w="1843" w:type="dxa"/>
            <w:tcBorders>
              <w:top w:val="single" w:sz="6" w:space="0" w:color="000000"/>
              <w:left w:val="single" w:sz="6" w:space="0" w:color="000000"/>
              <w:bottom w:val="single" w:sz="6" w:space="0" w:color="000000"/>
              <w:right w:val="single" w:sz="6" w:space="0" w:color="000000"/>
            </w:tcBorders>
            <w:vAlign w:val="center"/>
          </w:tcPr>
          <w:p w:rsidR="004254E3" w:rsidRPr="004254E3" w:rsidRDefault="004254E3" w:rsidP="004254E3">
            <w:pPr>
              <w:autoSpaceDE w:val="0"/>
              <w:autoSpaceDN w:val="0"/>
              <w:adjustRightInd w:val="0"/>
              <w:jc w:val="center"/>
              <w:rPr>
                <w:rFonts w:ascii="Arial Narrow" w:hAnsi="Arial Narrow" w:cs="Arial Narrow"/>
                <w:b/>
                <w:bCs/>
                <w:sz w:val="18"/>
                <w:szCs w:val="18"/>
              </w:rPr>
            </w:pPr>
            <w:r w:rsidRPr="00A34B4B">
              <w:rPr>
                <w:rFonts w:ascii="Arial Narrow" w:hAnsi="Arial Narrow"/>
                <w:b/>
                <w:snapToGrid w:val="0"/>
                <w:sz w:val="20"/>
                <w:szCs w:val="22"/>
                <w:lang w:eastAsia="en-US"/>
              </w:rPr>
              <w:t>Dispensed Price for Max. Qty</w:t>
            </w:r>
          </w:p>
        </w:tc>
        <w:tc>
          <w:tcPr>
            <w:tcW w:w="2268" w:type="dxa"/>
            <w:gridSpan w:val="2"/>
            <w:tcBorders>
              <w:top w:val="single" w:sz="6" w:space="0" w:color="000000"/>
              <w:left w:val="single" w:sz="6" w:space="0" w:color="000000"/>
              <w:bottom w:val="single" w:sz="6" w:space="0" w:color="000000"/>
              <w:right w:val="single" w:sz="6" w:space="0" w:color="000000"/>
            </w:tcBorders>
          </w:tcPr>
          <w:p w:rsidR="004254E3" w:rsidRPr="004254E3" w:rsidRDefault="004254E3" w:rsidP="004254E3">
            <w:pPr>
              <w:autoSpaceDE w:val="0"/>
              <w:autoSpaceDN w:val="0"/>
              <w:adjustRightInd w:val="0"/>
              <w:rPr>
                <w:rFonts w:ascii="Arial Narrow" w:hAnsi="Arial Narrow" w:cs="Arial Narrow"/>
                <w:b/>
                <w:bCs/>
                <w:sz w:val="18"/>
                <w:szCs w:val="18"/>
              </w:rPr>
            </w:pPr>
            <w:r w:rsidRPr="004254E3">
              <w:rPr>
                <w:rFonts w:ascii="Arial Narrow" w:hAnsi="Arial Narrow" w:cs="Arial Narrow"/>
                <w:b/>
                <w:bCs/>
                <w:sz w:val="18"/>
                <w:szCs w:val="18"/>
              </w:rPr>
              <w:t xml:space="preserve">Proprietary Name and Manufacturer </w:t>
            </w:r>
          </w:p>
        </w:tc>
      </w:tr>
      <w:tr w:rsidR="004254E3" w:rsidRPr="004254E3" w:rsidTr="004254E3">
        <w:tc>
          <w:tcPr>
            <w:tcW w:w="3119" w:type="dxa"/>
            <w:tcBorders>
              <w:top w:val="single" w:sz="6" w:space="0" w:color="000000"/>
              <w:left w:val="single" w:sz="6" w:space="0" w:color="000000"/>
              <w:bottom w:val="single" w:sz="6" w:space="0" w:color="000000"/>
              <w:right w:val="single" w:sz="6" w:space="0" w:color="000000"/>
            </w:tcBorders>
          </w:tcPr>
          <w:p w:rsidR="004254E3" w:rsidRPr="004254E3" w:rsidRDefault="004254E3" w:rsidP="004254E3">
            <w:pPr>
              <w:autoSpaceDE w:val="0"/>
              <w:autoSpaceDN w:val="0"/>
              <w:adjustRightInd w:val="0"/>
              <w:rPr>
                <w:rFonts w:ascii="Arial Narrow" w:hAnsi="Arial Narrow" w:cs="Arial Narrow"/>
                <w:sz w:val="18"/>
                <w:szCs w:val="18"/>
              </w:rPr>
            </w:pPr>
            <w:r w:rsidRPr="004254E3">
              <w:rPr>
                <w:rFonts w:ascii="Arial Narrow" w:hAnsi="Arial Narrow" w:cs="Arial Narrow"/>
                <w:sz w:val="18"/>
                <w:szCs w:val="18"/>
              </w:rPr>
              <w:t>BEZLOTOXUMAB</w:t>
            </w:r>
          </w:p>
          <w:p w:rsidR="004254E3" w:rsidRPr="004254E3" w:rsidRDefault="004254E3" w:rsidP="004254E3">
            <w:pPr>
              <w:autoSpaceDE w:val="0"/>
              <w:autoSpaceDN w:val="0"/>
              <w:adjustRightInd w:val="0"/>
              <w:rPr>
                <w:rFonts w:ascii="Arial Narrow" w:hAnsi="Arial Narrow" w:cs="Arial Narrow"/>
                <w:sz w:val="18"/>
                <w:szCs w:val="18"/>
              </w:rPr>
            </w:pPr>
          </w:p>
          <w:p w:rsidR="004254E3" w:rsidRPr="004254E3" w:rsidRDefault="004254E3" w:rsidP="004254E3">
            <w:pPr>
              <w:autoSpaceDE w:val="0"/>
              <w:autoSpaceDN w:val="0"/>
              <w:adjustRightInd w:val="0"/>
              <w:rPr>
                <w:rFonts w:ascii="Arial Narrow" w:hAnsi="Arial Narrow" w:cs="Arial Narrow"/>
                <w:sz w:val="18"/>
                <w:szCs w:val="18"/>
              </w:rPr>
            </w:pPr>
            <w:r w:rsidRPr="004254E3">
              <w:rPr>
                <w:rFonts w:ascii="Arial Narrow" w:hAnsi="Arial Narrow" w:cs="Arial Narrow"/>
                <w:sz w:val="18"/>
                <w:szCs w:val="18"/>
              </w:rPr>
              <w:t>Concentrated vial for injection 1g/40 mL, 40 mL vial</w:t>
            </w:r>
          </w:p>
        </w:tc>
        <w:tc>
          <w:tcPr>
            <w:tcW w:w="708" w:type="dxa"/>
            <w:tcBorders>
              <w:top w:val="single" w:sz="6" w:space="0" w:color="000000"/>
              <w:left w:val="single" w:sz="6" w:space="0" w:color="000000"/>
              <w:bottom w:val="single" w:sz="6" w:space="0" w:color="000000"/>
              <w:right w:val="single" w:sz="6" w:space="0" w:color="000000"/>
            </w:tcBorders>
          </w:tcPr>
          <w:p w:rsidR="004254E3" w:rsidRPr="004254E3" w:rsidRDefault="004254E3" w:rsidP="004254E3">
            <w:pPr>
              <w:autoSpaceDE w:val="0"/>
              <w:autoSpaceDN w:val="0"/>
              <w:adjustRightInd w:val="0"/>
              <w:rPr>
                <w:rFonts w:ascii="Arial Narrow" w:hAnsi="Arial Narrow" w:cs="Arial Narrow"/>
                <w:sz w:val="18"/>
                <w:szCs w:val="18"/>
              </w:rPr>
            </w:pPr>
          </w:p>
          <w:p w:rsidR="004254E3" w:rsidRPr="004254E3" w:rsidRDefault="004254E3" w:rsidP="004254E3">
            <w:pPr>
              <w:autoSpaceDE w:val="0"/>
              <w:autoSpaceDN w:val="0"/>
              <w:adjustRightInd w:val="0"/>
              <w:jc w:val="center"/>
              <w:rPr>
                <w:rFonts w:ascii="Arial Narrow" w:hAnsi="Arial Narrow" w:cs="Arial Narrow"/>
                <w:sz w:val="18"/>
                <w:szCs w:val="18"/>
              </w:rPr>
            </w:pPr>
          </w:p>
          <w:p w:rsidR="004254E3" w:rsidRPr="004254E3" w:rsidRDefault="004254E3" w:rsidP="004254E3">
            <w:pPr>
              <w:autoSpaceDE w:val="0"/>
              <w:autoSpaceDN w:val="0"/>
              <w:adjustRightInd w:val="0"/>
              <w:jc w:val="center"/>
              <w:rPr>
                <w:rFonts w:ascii="Arial Narrow" w:hAnsi="Arial Narrow" w:cs="Arial Narrow"/>
                <w:sz w:val="18"/>
                <w:szCs w:val="18"/>
              </w:rPr>
            </w:pPr>
            <w:r w:rsidRPr="004254E3">
              <w:rPr>
                <w:rFonts w:ascii="Arial Narrow" w:hAnsi="Arial Narrow" w:cs="Arial Narrow"/>
                <w:sz w:val="18"/>
                <w:szCs w:val="18"/>
              </w:rPr>
              <w:t>1</w:t>
            </w:r>
          </w:p>
        </w:tc>
        <w:tc>
          <w:tcPr>
            <w:tcW w:w="709" w:type="dxa"/>
            <w:tcBorders>
              <w:top w:val="single" w:sz="6" w:space="0" w:color="000000"/>
              <w:left w:val="single" w:sz="6" w:space="0" w:color="000000"/>
              <w:bottom w:val="single" w:sz="6" w:space="0" w:color="000000"/>
              <w:right w:val="single" w:sz="6" w:space="0" w:color="000000"/>
            </w:tcBorders>
          </w:tcPr>
          <w:p w:rsidR="004254E3" w:rsidRPr="004254E3" w:rsidRDefault="004254E3" w:rsidP="004254E3">
            <w:pPr>
              <w:autoSpaceDE w:val="0"/>
              <w:autoSpaceDN w:val="0"/>
              <w:adjustRightInd w:val="0"/>
              <w:rPr>
                <w:rFonts w:ascii="Arial Narrow" w:hAnsi="Arial Narrow" w:cs="Arial Narrow"/>
                <w:sz w:val="18"/>
                <w:szCs w:val="18"/>
              </w:rPr>
            </w:pPr>
          </w:p>
          <w:p w:rsidR="004254E3" w:rsidRPr="004254E3" w:rsidRDefault="004254E3" w:rsidP="004254E3">
            <w:pPr>
              <w:autoSpaceDE w:val="0"/>
              <w:autoSpaceDN w:val="0"/>
              <w:adjustRightInd w:val="0"/>
              <w:rPr>
                <w:rFonts w:ascii="Arial Narrow" w:hAnsi="Arial Narrow" w:cs="Arial Narrow"/>
                <w:sz w:val="18"/>
                <w:szCs w:val="18"/>
              </w:rPr>
            </w:pPr>
          </w:p>
          <w:p w:rsidR="004254E3" w:rsidRPr="004254E3" w:rsidRDefault="004254E3" w:rsidP="004254E3">
            <w:pPr>
              <w:autoSpaceDE w:val="0"/>
              <w:autoSpaceDN w:val="0"/>
              <w:adjustRightInd w:val="0"/>
              <w:jc w:val="center"/>
              <w:rPr>
                <w:rFonts w:ascii="Arial Narrow" w:hAnsi="Arial Narrow" w:cs="Arial Narrow"/>
                <w:sz w:val="18"/>
                <w:szCs w:val="18"/>
              </w:rPr>
            </w:pPr>
            <w:r w:rsidRPr="004254E3">
              <w:rPr>
                <w:rFonts w:ascii="Arial Narrow" w:hAnsi="Arial Narrow" w:cs="Arial Narrow"/>
                <w:sz w:val="18"/>
                <w:szCs w:val="18"/>
              </w:rPr>
              <w:t>1</w:t>
            </w:r>
          </w:p>
        </w:tc>
        <w:tc>
          <w:tcPr>
            <w:tcW w:w="709" w:type="dxa"/>
            <w:tcBorders>
              <w:top w:val="single" w:sz="6" w:space="0" w:color="000000"/>
              <w:left w:val="single" w:sz="6" w:space="0" w:color="000000"/>
              <w:bottom w:val="single" w:sz="6" w:space="0" w:color="000000"/>
              <w:right w:val="single" w:sz="6" w:space="0" w:color="000000"/>
            </w:tcBorders>
          </w:tcPr>
          <w:p w:rsidR="004254E3" w:rsidRPr="004254E3" w:rsidRDefault="004254E3" w:rsidP="004254E3">
            <w:pPr>
              <w:autoSpaceDE w:val="0"/>
              <w:autoSpaceDN w:val="0"/>
              <w:adjustRightInd w:val="0"/>
              <w:rPr>
                <w:rFonts w:ascii="Arial Narrow" w:hAnsi="Arial Narrow" w:cs="Arial Narrow"/>
                <w:sz w:val="18"/>
                <w:szCs w:val="18"/>
              </w:rPr>
            </w:pPr>
          </w:p>
          <w:p w:rsidR="004254E3" w:rsidRPr="004254E3" w:rsidRDefault="004254E3" w:rsidP="004254E3">
            <w:pPr>
              <w:autoSpaceDE w:val="0"/>
              <w:autoSpaceDN w:val="0"/>
              <w:adjustRightInd w:val="0"/>
              <w:rPr>
                <w:rFonts w:ascii="Arial Narrow" w:hAnsi="Arial Narrow" w:cs="Arial Narrow"/>
                <w:sz w:val="18"/>
                <w:szCs w:val="18"/>
              </w:rPr>
            </w:pPr>
          </w:p>
          <w:p w:rsidR="004254E3" w:rsidRPr="004254E3" w:rsidRDefault="004254E3" w:rsidP="004254E3">
            <w:pPr>
              <w:autoSpaceDE w:val="0"/>
              <w:autoSpaceDN w:val="0"/>
              <w:adjustRightInd w:val="0"/>
              <w:jc w:val="center"/>
              <w:rPr>
                <w:rFonts w:ascii="Arial Narrow" w:hAnsi="Arial Narrow" w:cs="Arial Narrow"/>
                <w:sz w:val="18"/>
                <w:szCs w:val="18"/>
              </w:rPr>
            </w:pPr>
            <w:r w:rsidRPr="004254E3">
              <w:rPr>
                <w:rFonts w:ascii="Arial Narrow" w:hAnsi="Arial Narrow" w:cs="Arial Narrow"/>
                <w:sz w:val="18"/>
                <w:szCs w:val="18"/>
              </w:rPr>
              <w:t>0</w:t>
            </w:r>
          </w:p>
          <w:p w:rsidR="004254E3" w:rsidRPr="004254E3" w:rsidRDefault="004254E3" w:rsidP="004254E3">
            <w:pPr>
              <w:autoSpaceDE w:val="0"/>
              <w:autoSpaceDN w:val="0"/>
              <w:adjustRightInd w:val="0"/>
              <w:jc w:val="center"/>
              <w:rPr>
                <w:rFonts w:ascii="Arial Narrow" w:hAnsi="Arial Narrow" w:cs="Arial Narrow"/>
                <w:sz w:val="18"/>
                <w:szCs w:val="18"/>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4254E3" w:rsidRPr="00A34B4B" w:rsidRDefault="004254E3" w:rsidP="004254E3">
            <w:pPr>
              <w:jc w:val="left"/>
              <w:rPr>
                <w:rFonts w:ascii="Arial Narrow" w:hAnsi="Arial Narrow" w:cs="Times New Roman"/>
                <w:iCs/>
                <w:sz w:val="20"/>
                <w:szCs w:val="20"/>
                <w:u w:val="single"/>
                <w:lang w:eastAsia="en-US"/>
              </w:rPr>
            </w:pPr>
            <w:r w:rsidRPr="00A34B4B">
              <w:rPr>
                <w:rFonts w:ascii="Arial Narrow" w:hAnsi="Arial Narrow" w:cs="Times New Roman"/>
                <w:iCs/>
                <w:sz w:val="20"/>
                <w:szCs w:val="20"/>
                <w:u w:val="single"/>
                <w:lang w:eastAsia="en-US"/>
              </w:rPr>
              <w:t>published prices</w:t>
            </w:r>
          </w:p>
          <w:p w:rsidR="004254E3" w:rsidRPr="00A34B4B" w:rsidRDefault="004254E3" w:rsidP="004254E3">
            <w:pPr>
              <w:jc w:val="left"/>
              <w:rPr>
                <w:rFonts w:ascii="Arial Narrow" w:hAnsi="Arial Narrow" w:cs="Times New Roman"/>
                <w:iCs/>
                <w:sz w:val="20"/>
                <w:szCs w:val="20"/>
                <w:lang w:eastAsia="en-US"/>
              </w:rPr>
            </w:pPr>
            <w:r w:rsidRPr="00A34B4B">
              <w:rPr>
                <w:rFonts w:ascii="Arial Narrow" w:hAnsi="Arial Narrow" w:cs="Times New Roman"/>
                <w:iCs/>
                <w:sz w:val="20"/>
                <w:szCs w:val="20"/>
                <w:lang w:eastAsia="en-US"/>
              </w:rPr>
              <w:t>$4,365.00 (public)</w:t>
            </w:r>
          </w:p>
          <w:p w:rsidR="004254E3" w:rsidRPr="00A34B4B" w:rsidRDefault="004254E3" w:rsidP="004254E3">
            <w:pPr>
              <w:jc w:val="left"/>
              <w:rPr>
                <w:rFonts w:ascii="Arial Narrow" w:hAnsi="Arial Narrow" w:cs="Times New Roman"/>
                <w:iCs/>
                <w:sz w:val="20"/>
                <w:szCs w:val="20"/>
                <w:lang w:eastAsia="en-US"/>
              </w:rPr>
            </w:pPr>
            <w:r w:rsidRPr="00A34B4B">
              <w:rPr>
                <w:rFonts w:ascii="Arial Narrow" w:hAnsi="Arial Narrow" w:cs="Times New Roman"/>
                <w:iCs/>
                <w:sz w:val="20"/>
                <w:szCs w:val="20"/>
                <w:lang w:eastAsia="en-US"/>
              </w:rPr>
              <w:t>$4,412.02 (private)</w:t>
            </w:r>
          </w:p>
          <w:p w:rsidR="004254E3" w:rsidRPr="00A34B4B" w:rsidRDefault="004254E3" w:rsidP="004254E3">
            <w:pPr>
              <w:jc w:val="left"/>
              <w:rPr>
                <w:rFonts w:ascii="Arial Narrow" w:hAnsi="Arial Narrow" w:cs="Times New Roman"/>
                <w:iCs/>
                <w:sz w:val="20"/>
                <w:szCs w:val="20"/>
                <w:u w:val="single"/>
                <w:lang w:eastAsia="en-US"/>
              </w:rPr>
            </w:pPr>
            <w:r w:rsidRPr="00A34B4B">
              <w:rPr>
                <w:rFonts w:ascii="Arial Narrow" w:hAnsi="Arial Narrow" w:cs="Times New Roman"/>
                <w:iCs/>
                <w:sz w:val="20"/>
                <w:szCs w:val="20"/>
                <w:u w:val="single"/>
                <w:lang w:eastAsia="en-US"/>
              </w:rPr>
              <w:t>effective price</w:t>
            </w:r>
          </w:p>
          <w:p w:rsidR="004254E3" w:rsidRPr="00A34B4B" w:rsidRDefault="004254E3" w:rsidP="004254E3">
            <w:pPr>
              <w:jc w:val="left"/>
              <w:rPr>
                <w:rFonts w:ascii="Arial Narrow" w:hAnsi="Arial Narrow" w:cs="Times New Roman"/>
                <w:iCs/>
                <w:sz w:val="20"/>
                <w:szCs w:val="20"/>
                <w:lang w:eastAsia="en-US"/>
              </w:rPr>
            </w:pPr>
            <w:r>
              <w:rPr>
                <w:rFonts w:ascii="Arial Narrow" w:hAnsi="Arial Narrow" w:cs="Times New Roman"/>
                <w:iCs/>
                <w:sz w:val="20"/>
                <w:szCs w:val="20"/>
                <w:lang w:eastAsia="en-US"/>
              </w:rPr>
              <w:t>$</w:t>
            </w:r>
            <w:r w:rsidR="006F551D">
              <w:rPr>
                <w:rFonts w:ascii="Arial Narrow" w:hAnsi="Arial Narrow" w:cs="Times New Roman"/>
                <w:iCs/>
                <w:noProof/>
                <w:color w:val="000000"/>
                <w:sz w:val="20"/>
                <w:szCs w:val="20"/>
                <w:highlight w:val="black"/>
                <w:lang w:eastAsia="en-US"/>
              </w:rPr>
              <w:t>'''''''''''''''''''''</w:t>
            </w:r>
            <w:r w:rsidRPr="00A34B4B">
              <w:rPr>
                <w:rFonts w:ascii="Arial Narrow" w:hAnsi="Arial Narrow" w:cs="Times New Roman"/>
                <w:iCs/>
                <w:sz w:val="20"/>
                <w:szCs w:val="20"/>
                <w:lang w:eastAsia="en-US"/>
              </w:rPr>
              <w:t xml:space="preserve"> (public)</w:t>
            </w:r>
          </w:p>
          <w:p w:rsidR="004254E3" w:rsidRPr="004254E3" w:rsidRDefault="004254E3" w:rsidP="004254E3">
            <w:pPr>
              <w:autoSpaceDE w:val="0"/>
              <w:autoSpaceDN w:val="0"/>
              <w:adjustRightInd w:val="0"/>
              <w:rPr>
                <w:rFonts w:ascii="Arial Narrow" w:hAnsi="Arial Narrow" w:cs="Arial Narrow"/>
                <w:sz w:val="18"/>
                <w:szCs w:val="18"/>
              </w:rPr>
            </w:pPr>
            <w:r>
              <w:rPr>
                <w:rFonts w:ascii="Arial Narrow" w:hAnsi="Arial Narrow"/>
                <w:iCs/>
                <w:snapToGrid w:val="0"/>
                <w:sz w:val="20"/>
                <w:szCs w:val="20"/>
                <w:lang w:eastAsia="en-US"/>
              </w:rPr>
              <w:t>$</w:t>
            </w:r>
            <w:r w:rsidR="006F551D">
              <w:rPr>
                <w:rFonts w:ascii="Arial Narrow" w:hAnsi="Arial Narrow"/>
                <w:iCs/>
                <w:noProof/>
                <w:snapToGrid w:val="0"/>
                <w:color w:val="000000"/>
                <w:sz w:val="20"/>
                <w:szCs w:val="20"/>
                <w:highlight w:val="black"/>
                <w:lang w:eastAsia="en-US"/>
              </w:rPr>
              <w:t>'''''''''''''''''''''</w:t>
            </w:r>
            <w:r w:rsidRPr="00A34B4B">
              <w:rPr>
                <w:rFonts w:ascii="Arial Narrow" w:hAnsi="Arial Narrow"/>
                <w:iCs/>
                <w:snapToGrid w:val="0"/>
                <w:sz w:val="20"/>
                <w:szCs w:val="20"/>
                <w:lang w:eastAsia="en-US"/>
              </w:rPr>
              <w:t xml:space="preserve"> (private)</w:t>
            </w:r>
          </w:p>
        </w:tc>
        <w:tc>
          <w:tcPr>
            <w:tcW w:w="709" w:type="dxa"/>
            <w:tcBorders>
              <w:top w:val="single" w:sz="6" w:space="0" w:color="000000"/>
              <w:left w:val="single" w:sz="6" w:space="0" w:color="000000"/>
              <w:bottom w:val="single" w:sz="6" w:space="0" w:color="000000"/>
              <w:right w:val="single" w:sz="6" w:space="0" w:color="000000"/>
            </w:tcBorders>
          </w:tcPr>
          <w:p w:rsidR="004254E3" w:rsidRPr="004254E3" w:rsidRDefault="004254E3" w:rsidP="004254E3">
            <w:pPr>
              <w:autoSpaceDE w:val="0"/>
              <w:autoSpaceDN w:val="0"/>
              <w:adjustRightInd w:val="0"/>
              <w:rPr>
                <w:rFonts w:ascii="Arial Narrow" w:hAnsi="Arial Narrow" w:cs="Arial Narrow"/>
                <w:sz w:val="18"/>
                <w:szCs w:val="18"/>
              </w:rPr>
            </w:pPr>
          </w:p>
          <w:p w:rsidR="004254E3" w:rsidRPr="004254E3" w:rsidRDefault="004254E3" w:rsidP="004254E3">
            <w:pPr>
              <w:autoSpaceDE w:val="0"/>
              <w:autoSpaceDN w:val="0"/>
              <w:adjustRightInd w:val="0"/>
              <w:rPr>
                <w:rFonts w:ascii="Arial Narrow" w:hAnsi="Arial Narrow" w:cs="Arial Narrow"/>
                <w:sz w:val="18"/>
                <w:szCs w:val="18"/>
              </w:rPr>
            </w:pPr>
          </w:p>
          <w:p w:rsidR="004254E3" w:rsidRPr="004254E3" w:rsidRDefault="004254E3" w:rsidP="004254E3">
            <w:pPr>
              <w:autoSpaceDE w:val="0"/>
              <w:autoSpaceDN w:val="0"/>
              <w:adjustRightInd w:val="0"/>
              <w:rPr>
                <w:rFonts w:ascii="Arial Narrow" w:hAnsi="Arial Narrow" w:cs="Arial Narrow"/>
                <w:sz w:val="18"/>
                <w:szCs w:val="18"/>
                <w:vertAlign w:val="superscript"/>
              </w:rPr>
            </w:pPr>
            <w:r w:rsidRPr="004254E3">
              <w:rPr>
                <w:rFonts w:ascii="Arial Narrow" w:hAnsi="Arial Narrow" w:cs="Arial Narrow"/>
                <w:sz w:val="18"/>
                <w:szCs w:val="18"/>
              </w:rPr>
              <w:t>Zinplava</w:t>
            </w:r>
            <w:r w:rsidRPr="004254E3">
              <w:rPr>
                <w:rFonts w:ascii="Arial Narrow" w:hAnsi="Arial Narrow" w:cs="Arial Narrow"/>
                <w:sz w:val="18"/>
                <w:szCs w:val="18"/>
                <w:vertAlign w:val="superscript"/>
              </w:rPr>
              <w:t>®</w:t>
            </w:r>
          </w:p>
        </w:tc>
        <w:tc>
          <w:tcPr>
            <w:tcW w:w="1559" w:type="dxa"/>
            <w:tcBorders>
              <w:top w:val="single" w:sz="6" w:space="0" w:color="000000"/>
              <w:left w:val="single" w:sz="6" w:space="0" w:color="000000"/>
              <w:bottom w:val="single" w:sz="6" w:space="0" w:color="000000"/>
              <w:right w:val="single" w:sz="6" w:space="0" w:color="000000"/>
            </w:tcBorders>
          </w:tcPr>
          <w:p w:rsidR="004254E3" w:rsidRPr="004254E3" w:rsidRDefault="004254E3" w:rsidP="004254E3">
            <w:pPr>
              <w:autoSpaceDE w:val="0"/>
              <w:autoSpaceDN w:val="0"/>
              <w:adjustRightInd w:val="0"/>
              <w:rPr>
                <w:rFonts w:ascii="Arial Narrow" w:hAnsi="Arial Narrow" w:cs="Arial Narrow"/>
                <w:sz w:val="18"/>
                <w:szCs w:val="18"/>
              </w:rPr>
            </w:pPr>
          </w:p>
          <w:p w:rsidR="004254E3" w:rsidRPr="004254E3" w:rsidRDefault="004254E3" w:rsidP="004254E3">
            <w:pPr>
              <w:autoSpaceDE w:val="0"/>
              <w:autoSpaceDN w:val="0"/>
              <w:adjustRightInd w:val="0"/>
              <w:rPr>
                <w:rFonts w:ascii="Arial Narrow" w:hAnsi="Arial Narrow" w:cs="Arial Narrow"/>
                <w:sz w:val="18"/>
                <w:szCs w:val="18"/>
              </w:rPr>
            </w:pPr>
          </w:p>
          <w:p w:rsidR="004254E3" w:rsidRPr="004254E3" w:rsidRDefault="004254E3" w:rsidP="004254E3">
            <w:pPr>
              <w:autoSpaceDE w:val="0"/>
              <w:autoSpaceDN w:val="0"/>
              <w:adjustRightInd w:val="0"/>
              <w:rPr>
                <w:rFonts w:ascii="Arial Narrow" w:hAnsi="Arial Narrow" w:cs="Arial Narrow"/>
                <w:sz w:val="18"/>
                <w:szCs w:val="18"/>
              </w:rPr>
            </w:pPr>
            <w:r w:rsidRPr="004254E3">
              <w:rPr>
                <w:rFonts w:ascii="Arial Narrow" w:hAnsi="Arial Narrow" w:cs="Arial Narrow"/>
                <w:sz w:val="18"/>
                <w:szCs w:val="18"/>
              </w:rPr>
              <w:t>Merck Sharp &amp; Dohme (Australia) Pty Ltd</w:t>
            </w:r>
          </w:p>
        </w:tc>
      </w:tr>
    </w:tbl>
    <w:p w:rsidR="00092F8E" w:rsidRDefault="00092F8E" w:rsidP="004254E3">
      <w:pPr>
        <w:pStyle w:val="3-BodyText"/>
        <w:keepNext/>
        <w:numPr>
          <w:ilvl w:val="0"/>
          <w:numId w:val="0"/>
        </w:numPr>
        <w:rPr>
          <w:lang w:eastAsia="en-US"/>
        </w:rPr>
      </w:pPr>
    </w:p>
    <w:p w:rsidR="00092F8E" w:rsidRDefault="00092F8E">
      <w:pPr>
        <w:jc w:val="left"/>
        <w:rPr>
          <w:rFonts w:asciiTheme="minorHAnsi" w:hAnsiTheme="minorHAnsi"/>
          <w:snapToGrid w:val="0"/>
          <w:lang w:eastAsia="en-US"/>
        </w:rPr>
      </w:pPr>
      <w:r>
        <w:rPr>
          <w:lang w:eastAsia="en-US"/>
        </w:rPr>
        <w:br w:type="page"/>
      </w:r>
    </w:p>
    <w:tbl>
      <w:tblPr>
        <w:tblW w:w="9356" w:type="dxa"/>
        <w:tblInd w:w="-5" w:type="dxa"/>
        <w:tblLayout w:type="fixed"/>
        <w:tblLook w:val="0000" w:firstRow="0" w:lastRow="0" w:firstColumn="0" w:lastColumn="0" w:noHBand="0" w:noVBand="0"/>
      </w:tblPr>
      <w:tblGrid>
        <w:gridCol w:w="1134"/>
        <w:gridCol w:w="8222"/>
      </w:tblGrid>
      <w:tr w:rsidR="00237512" w:rsidRPr="004254E3" w:rsidTr="00297E0B">
        <w:trPr>
          <w:cantSplit/>
          <w:trHeight w:val="249"/>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b/>
                <w:sz w:val="18"/>
                <w:szCs w:val="18"/>
              </w:rPr>
            </w:pPr>
            <w:r w:rsidRPr="004254E3">
              <w:rPr>
                <w:rFonts w:ascii="Arial Narrow" w:hAnsi="Arial Narrow"/>
                <w:b/>
                <w:sz w:val="18"/>
                <w:szCs w:val="18"/>
              </w:rPr>
              <w:lastRenderedPageBreak/>
              <w:t>Concept ID</w:t>
            </w:r>
          </w:p>
        </w:tc>
        <w:tc>
          <w:tcPr>
            <w:tcW w:w="8222"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rPr>
                <w:rFonts w:ascii="Arial Narrow" w:hAnsi="Arial Narrow"/>
                <w:sz w:val="18"/>
                <w:szCs w:val="18"/>
              </w:rPr>
            </w:pPr>
            <w:r w:rsidRPr="004254E3">
              <w:rPr>
                <w:rFonts w:ascii="Arial Narrow" w:hAnsi="Arial Narrow"/>
                <w:b/>
                <w:sz w:val="18"/>
                <w:szCs w:val="18"/>
              </w:rPr>
              <w:t xml:space="preserve">Category / Program: </w:t>
            </w:r>
            <w:r w:rsidRPr="004254E3">
              <w:rPr>
                <w:rFonts w:ascii="Arial Narrow" w:hAnsi="Arial Narrow"/>
                <w:sz w:val="18"/>
                <w:szCs w:val="18"/>
              </w:rPr>
              <w:t>Section 100 – Highly Specialised Drugs Program</w:t>
            </w:r>
          </w:p>
        </w:tc>
      </w:tr>
      <w:tr w:rsidR="00237512" w:rsidRPr="004254E3" w:rsidTr="00297E0B">
        <w:trPr>
          <w:cantSplit/>
          <w:trHeight w:val="311"/>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b/>
                <w:sz w:val="18"/>
                <w:szCs w:val="18"/>
              </w:rPr>
            </w:pPr>
          </w:p>
        </w:tc>
        <w:tc>
          <w:tcPr>
            <w:tcW w:w="8222"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rPr>
                <w:rFonts w:ascii="Arial Narrow" w:hAnsi="Arial Narrow"/>
                <w:sz w:val="18"/>
                <w:szCs w:val="18"/>
              </w:rPr>
            </w:pPr>
            <w:r w:rsidRPr="004254E3">
              <w:rPr>
                <w:rFonts w:ascii="Arial Narrow" w:hAnsi="Arial Narrow"/>
                <w:b/>
                <w:sz w:val="18"/>
                <w:szCs w:val="18"/>
              </w:rPr>
              <w:t xml:space="preserve">Prescriber type: </w:t>
            </w:r>
            <w:r w:rsidRPr="004254E3">
              <w:rPr>
                <w:rFonts w:ascii="Arial Narrow" w:hAnsi="Arial Narrow"/>
                <w:sz w:val="18"/>
                <w:szCs w:val="18"/>
              </w:rPr>
              <w:fldChar w:fldCharType="begin">
                <w:ffData>
                  <w:name w:val="Check1"/>
                  <w:enabled/>
                  <w:calcOnExit w:val="0"/>
                  <w:checkBox>
                    <w:sizeAuto/>
                    <w:default w:val="0"/>
                  </w:checkBox>
                </w:ffData>
              </w:fldChar>
            </w:r>
            <w:r w:rsidRPr="004254E3">
              <w:rPr>
                <w:rFonts w:ascii="Arial Narrow" w:hAnsi="Arial Narrow"/>
                <w:sz w:val="18"/>
                <w:szCs w:val="18"/>
              </w:rPr>
              <w:instrText xml:space="preserve"> FORMCHECKBOX </w:instrText>
            </w:r>
            <w:r w:rsidR="002E123A">
              <w:rPr>
                <w:rFonts w:ascii="Arial Narrow" w:hAnsi="Arial Narrow"/>
                <w:sz w:val="18"/>
                <w:szCs w:val="18"/>
              </w:rPr>
            </w:r>
            <w:r w:rsidR="002E123A">
              <w:rPr>
                <w:rFonts w:ascii="Arial Narrow" w:hAnsi="Arial Narrow"/>
                <w:sz w:val="18"/>
                <w:szCs w:val="18"/>
              </w:rPr>
              <w:fldChar w:fldCharType="separate"/>
            </w:r>
            <w:r w:rsidRPr="004254E3">
              <w:rPr>
                <w:rFonts w:ascii="Arial Narrow" w:hAnsi="Arial Narrow"/>
                <w:sz w:val="18"/>
                <w:szCs w:val="18"/>
              </w:rPr>
              <w:fldChar w:fldCharType="end"/>
            </w:r>
            <w:r w:rsidRPr="004254E3">
              <w:rPr>
                <w:rFonts w:ascii="Arial Narrow" w:hAnsi="Arial Narrow"/>
                <w:sz w:val="18"/>
                <w:szCs w:val="18"/>
              </w:rPr>
              <w:t xml:space="preserve">Dental  </w:t>
            </w:r>
            <w:r w:rsidRPr="004254E3">
              <w:rPr>
                <w:rFonts w:ascii="Arial Narrow" w:hAnsi="Arial Narrow"/>
                <w:sz w:val="18"/>
                <w:szCs w:val="18"/>
              </w:rPr>
              <w:fldChar w:fldCharType="begin">
                <w:ffData>
                  <w:name w:val=""/>
                  <w:enabled/>
                  <w:calcOnExit w:val="0"/>
                  <w:checkBox>
                    <w:sizeAuto/>
                    <w:default w:val="1"/>
                  </w:checkBox>
                </w:ffData>
              </w:fldChar>
            </w:r>
            <w:r w:rsidRPr="004254E3">
              <w:rPr>
                <w:rFonts w:ascii="Arial Narrow" w:hAnsi="Arial Narrow"/>
                <w:sz w:val="18"/>
                <w:szCs w:val="18"/>
              </w:rPr>
              <w:instrText xml:space="preserve"> FORMCHECKBOX </w:instrText>
            </w:r>
            <w:r w:rsidR="002E123A">
              <w:rPr>
                <w:rFonts w:ascii="Arial Narrow" w:hAnsi="Arial Narrow"/>
                <w:sz w:val="18"/>
                <w:szCs w:val="18"/>
              </w:rPr>
            </w:r>
            <w:r w:rsidR="002E123A">
              <w:rPr>
                <w:rFonts w:ascii="Arial Narrow" w:hAnsi="Arial Narrow"/>
                <w:sz w:val="18"/>
                <w:szCs w:val="18"/>
              </w:rPr>
              <w:fldChar w:fldCharType="separate"/>
            </w:r>
            <w:r w:rsidRPr="004254E3">
              <w:rPr>
                <w:rFonts w:ascii="Arial Narrow" w:hAnsi="Arial Narrow"/>
                <w:sz w:val="18"/>
                <w:szCs w:val="18"/>
              </w:rPr>
              <w:fldChar w:fldCharType="end"/>
            </w:r>
            <w:r w:rsidRPr="004254E3">
              <w:rPr>
                <w:rFonts w:ascii="Arial Narrow" w:hAnsi="Arial Narrow"/>
                <w:sz w:val="18"/>
                <w:szCs w:val="18"/>
              </w:rPr>
              <w:t xml:space="preserve">Medical Practitioners  </w:t>
            </w:r>
            <w:r w:rsidRPr="004254E3">
              <w:rPr>
                <w:rFonts w:ascii="Arial Narrow" w:hAnsi="Arial Narrow"/>
                <w:sz w:val="18"/>
                <w:szCs w:val="18"/>
              </w:rPr>
              <w:fldChar w:fldCharType="begin">
                <w:ffData>
                  <w:name w:val="Check3"/>
                  <w:enabled/>
                  <w:calcOnExit w:val="0"/>
                  <w:checkBox>
                    <w:sizeAuto/>
                    <w:default w:val="0"/>
                  </w:checkBox>
                </w:ffData>
              </w:fldChar>
            </w:r>
            <w:r w:rsidRPr="004254E3">
              <w:rPr>
                <w:rFonts w:ascii="Arial Narrow" w:hAnsi="Arial Narrow"/>
                <w:sz w:val="18"/>
                <w:szCs w:val="18"/>
              </w:rPr>
              <w:instrText xml:space="preserve"> FORMCHECKBOX </w:instrText>
            </w:r>
            <w:r w:rsidR="002E123A">
              <w:rPr>
                <w:rFonts w:ascii="Arial Narrow" w:hAnsi="Arial Narrow"/>
                <w:sz w:val="18"/>
                <w:szCs w:val="18"/>
              </w:rPr>
            </w:r>
            <w:r w:rsidR="002E123A">
              <w:rPr>
                <w:rFonts w:ascii="Arial Narrow" w:hAnsi="Arial Narrow"/>
                <w:sz w:val="18"/>
                <w:szCs w:val="18"/>
              </w:rPr>
              <w:fldChar w:fldCharType="separate"/>
            </w:r>
            <w:r w:rsidRPr="004254E3">
              <w:rPr>
                <w:rFonts w:ascii="Arial Narrow" w:hAnsi="Arial Narrow"/>
                <w:sz w:val="18"/>
                <w:szCs w:val="18"/>
              </w:rPr>
              <w:fldChar w:fldCharType="end"/>
            </w:r>
            <w:r w:rsidRPr="004254E3">
              <w:rPr>
                <w:rFonts w:ascii="Arial Narrow" w:hAnsi="Arial Narrow"/>
                <w:sz w:val="18"/>
                <w:szCs w:val="18"/>
              </w:rPr>
              <w:t xml:space="preserve">Nurse practitioners  </w:t>
            </w:r>
            <w:r w:rsidRPr="004254E3">
              <w:rPr>
                <w:rFonts w:ascii="Arial Narrow" w:hAnsi="Arial Narrow"/>
                <w:sz w:val="18"/>
                <w:szCs w:val="18"/>
              </w:rPr>
              <w:fldChar w:fldCharType="begin">
                <w:ffData>
                  <w:name w:val=""/>
                  <w:enabled/>
                  <w:calcOnExit w:val="0"/>
                  <w:checkBox>
                    <w:sizeAuto/>
                    <w:default w:val="0"/>
                  </w:checkBox>
                </w:ffData>
              </w:fldChar>
            </w:r>
            <w:r w:rsidRPr="004254E3">
              <w:rPr>
                <w:rFonts w:ascii="Arial Narrow" w:hAnsi="Arial Narrow"/>
                <w:sz w:val="18"/>
                <w:szCs w:val="18"/>
              </w:rPr>
              <w:instrText xml:space="preserve"> FORMCHECKBOX </w:instrText>
            </w:r>
            <w:r w:rsidR="002E123A">
              <w:rPr>
                <w:rFonts w:ascii="Arial Narrow" w:hAnsi="Arial Narrow"/>
                <w:sz w:val="18"/>
                <w:szCs w:val="18"/>
              </w:rPr>
            </w:r>
            <w:r w:rsidR="002E123A">
              <w:rPr>
                <w:rFonts w:ascii="Arial Narrow" w:hAnsi="Arial Narrow"/>
                <w:sz w:val="18"/>
                <w:szCs w:val="18"/>
              </w:rPr>
              <w:fldChar w:fldCharType="separate"/>
            </w:r>
            <w:r w:rsidRPr="004254E3">
              <w:rPr>
                <w:rFonts w:ascii="Arial Narrow" w:hAnsi="Arial Narrow"/>
                <w:sz w:val="18"/>
                <w:szCs w:val="18"/>
              </w:rPr>
              <w:fldChar w:fldCharType="end"/>
            </w:r>
            <w:r w:rsidRPr="004254E3">
              <w:rPr>
                <w:rFonts w:ascii="Arial Narrow" w:hAnsi="Arial Narrow"/>
                <w:sz w:val="18"/>
                <w:szCs w:val="18"/>
              </w:rPr>
              <w:t xml:space="preserve">Optometrists </w:t>
            </w:r>
            <w:r w:rsidRPr="004254E3">
              <w:rPr>
                <w:rFonts w:ascii="Arial Narrow" w:hAnsi="Arial Narrow"/>
                <w:sz w:val="18"/>
                <w:szCs w:val="18"/>
              </w:rPr>
              <w:fldChar w:fldCharType="begin">
                <w:ffData>
                  <w:name w:val="Check5"/>
                  <w:enabled/>
                  <w:calcOnExit w:val="0"/>
                  <w:checkBox>
                    <w:sizeAuto/>
                    <w:default w:val="0"/>
                  </w:checkBox>
                </w:ffData>
              </w:fldChar>
            </w:r>
            <w:r w:rsidRPr="004254E3">
              <w:rPr>
                <w:rFonts w:ascii="Arial Narrow" w:hAnsi="Arial Narrow"/>
                <w:sz w:val="18"/>
                <w:szCs w:val="18"/>
              </w:rPr>
              <w:instrText xml:space="preserve"> FORMCHECKBOX </w:instrText>
            </w:r>
            <w:r w:rsidR="002E123A">
              <w:rPr>
                <w:rFonts w:ascii="Arial Narrow" w:hAnsi="Arial Narrow"/>
                <w:sz w:val="18"/>
                <w:szCs w:val="18"/>
              </w:rPr>
            </w:r>
            <w:r w:rsidR="002E123A">
              <w:rPr>
                <w:rFonts w:ascii="Arial Narrow" w:hAnsi="Arial Narrow"/>
                <w:sz w:val="18"/>
                <w:szCs w:val="18"/>
              </w:rPr>
              <w:fldChar w:fldCharType="separate"/>
            </w:r>
            <w:r w:rsidRPr="004254E3">
              <w:rPr>
                <w:rFonts w:ascii="Arial Narrow" w:hAnsi="Arial Narrow"/>
                <w:sz w:val="18"/>
                <w:szCs w:val="18"/>
              </w:rPr>
              <w:fldChar w:fldCharType="end"/>
            </w:r>
            <w:r w:rsidRPr="004254E3">
              <w:rPr>
                <w:rFonts w:ascii="Arial Narrow" w:hAnsi="Arial Narrow"/>
                <w:sz w:val="18"/>
                <w:szCs w:val="18"/>
              </w:rPr>
              <w:t>Midwives</w:t>
            </w:r>
          </w:p>
        </w:tc>
      </w:tr>
      <w:tr w:rsidR="00237512" w:rsidRPr="004254E3" w:rsidTr="00297E0B">
        <w:trPr>
          <w:cantSplit/>
          <w:trHeight w:val="360"/>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b/>
                <w:sz w:val="18"/>
                <w:szCs w:val="18"/>
              </w:rPr>
            </w:pPr>
          </w:p>
        </w:tc>
        <w:tc>
          <w:tcPr>
            <w:tcW w:w="8222"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tabs>
                <w:tab w:val="left" w:pos="426"/>
                <w:tab w:val="left" w:pos="567"/>
              </w:tabs>
              <w:autoSpaceDE w:val="0"/>
              <w:autoSpaceDN w:val="0"/>
              <w:adjustRightInd w:val="0"/>
              <w:rPr>
                <w:rFonts w:ascii="Arial Narrow" w:hAnsi="Arial Narrow" w:cs="Arial Narrow"/>
                <w:b/>
                <w:bCs/>
                <w:sz w:val="18"/>
                <w:szCs w:val="18"/>
              </w:rPr>
            </w:pPr>
            <w:r w:rsidRPr="004254E3">
              <w:rPr>
                <w:rFonts w:ascii="Arial Narrow" w:hAnsi="Arial Narrow" w:cs="Arial Narrow"/>
                <w:b/>
                <w:bCs/>
                <w:sz w:val="18"/>
                <w:szCs w:val="18"/>
              </w:rPr>
              <w:t>Restriction Level / Method:</w:t>
            </w:r>
          </w:p>
          <w:p w:rsidR="00237512" w:rsidRPr="004254E3" w:rsidRDefault="00237512" w:rsidP="00297E0B">
            <w:pPr>
              <w:tabs>
                <w:tab w:val="left" w:pos="426"/>
                <w:tab w:val="left" w:pos="567"/>
              </w:tabs>
              <w:autoSpaceDE w:val="0"/>
              <w:autoSpaceDN w:val="0"/>
              <w:adjustRightInd w:val="0"/>
              <w:rPr>
                <w:rFonts w:ascii="Arial Narrow" w:hAnsi="Arial Narrow" w:cs="Arial Narrow"/>
                <w:sz w:val="18"/>
                <w:szCs w:val="18"/>
              </w:rPr>
            </w:pPr>
            <w:r w:rsidRPr="004254E3">
              <w:rPr>
                <w:rFonts w:ascii="Arial Narrow" w:hAnsi="Arial Narrow" w:cs="Arial Narrow"/>
                <w:b/>
                <w:bCs/>
                <w:sz w:val="18"/>
                <w:szCs w:val="18"/>
              </w:rPr>
              <w:t xml:space="preserve"> [ ] </w:t>
            </w:r>
            <w:r w:rsidRPr="004254E3">
              <w:rPr>
                <w:rFonts w:ascii="Arial Narrow" w:hAnsi="Arial Narrow" w:cs="Arial Narrow"/>
                <w:sz w:val="18"/>
                <w:szCs w:val="18"/>
              </w:rPr>
              <w:t>Unrestricted benefit</w:t>
            </w:r>
          </w:p>
          <w:p w:rsidR="00237512" w:rsidRPr="004254E3" w:rsidRDefault="00237512" w:rsidP="00297E0B">
            <w:pPr>
              <w:tabs>
                <w:tab w:val="left" w:pos="426"/>
                <w:tab w:val="left" w:pos="567"/>
              </w:tabs>
              <w:autoSpaceDE w:val="0"/>
              <w:autoSpaceDN w:val="0"/>
              <w:adjustRightInd w:val="0"/>
              <w:rPr>
                <w:rFonts w:ascii="Arial Narrow" w:hAnsi="Arial Narrow" w:cs="Arial Narrow"/>
                <w:sz w:val="18"/>
                <w:szCs w:val="18"/>
              </w:rPr>
            </w:pPr>
            <w:r w:rsidRPr="004254E3">
              <w:rPr>
                <w:rFonts w:ascii="Arial Narrow" w:hAnsi="Arial Narrow" w:cs="Arial Narrow"/>
                <w:sz w:val="18"/>
                <w:szCs w:val="18"/>
              </w:rPr>
              <w:t xml:space="preserve"> [ ] Restricted benefit</w:t>
            </w:r>
          </w:p>
          <w:p w:rsidR="00237512" w:rsidRPr="004254E3" w:rsidRDefault="00237512" w:rsidP="00297E0B">
            <w:pPr>
              <w:tabs>
                <w:tab w:val="left" w:pos="426"/>
                <w:tab w:val="left" w:pos="567"/>
              </w:tabs>
              <w:autoSpaceDE w:val="0"/>
              <w:autoSpaceDN w:val="0"/>
              <w:adjustRightInd w:val="0"/>
              <w:rPr>
                <w:rFonts w:ascii="Arial Narrow" w:hAnsi="Arial Narrow" w:cs="Arial Narrow"/>
                <w:strike/>
                <w:sz w:val="18"/>
                <w:szCs w:val="18"/>
              </w:rPr>
            </w:pPr>
            <w:r w:rsidRPr="004254E3">
              <w:rPr>
                <w:rFonts w:ascii="Arial Narrow" w:hAnsi="Arial Narrow" w:cs="Arial Narrow"/>
                <w:sz w:val="18"/>
                <w:szCs w:val="18"/>
              </w:rPr>
              <w:t xml:space="preserve"> </w:t>
            </w:r>
            <w:r w:rsidRPr="004254E3">
              <w:rPr>
                <w:rFonts w:ascii="Arial Narrow" w:hAnsi="Arial Narrow" w:cs="Arial Narrow"/>
                <w:strike/>
                <w:sz w:val="18"/>
                <w:szCs w:val="18"/>
              </w:rPr>
              <w:t>[X] Authority Required – In Writing</w:t>
            </w:r>
          </w:p>
          <w:p w:rsidR="00237512" w:rsidRPr="004254E3" w:rsidRDefault="00237512" w:rsidP="00297E0B">
            <w:pPr>
              <w:tabs>
                <w:tab w:val="left" w:pos="426"/>
                <w:tab w:val="left" w:pos="567"/>
              </w:tabs>
              <w:autoSpaceDE w:val="0"/>
              <w:autoSpaceDN w:val="0"/>
              <w:adjustRightInd w:val="0"/>
              <w:rPr>
                <w:rFonts w:ascii="Arial Narrow" w:hAnsi="Arial Narrow" w:cs="Arial Narrow"/>
                <w:sz w:val="18"/>
                <w:szCs w:val="18"/>
              </w:rPr>
            </w:pPr>
            <w:r w:rsidRPr="004254E3">
              <w:rPr>
                <w:rFonts w:ascii="Arial Narrow" w:hAnsi="Arial Narrow" w:cs="Arial Narrow"/>
                <w:sz w:val="18"/>
                <w:szCs w:val="18"/>
              </w:rPr>
              <w:t xml:space="preserve"> [X] Authority Required – Telephone/Electronic/Emergency</w:t>
            </w:r>
          </w:p>
          <w:p w:rsidR="00237512" w:rsidRPr="004254E3" w:rsidRDefault="00237512" w:rsidP="00297E0B">
            <w:pPr>
              <w:tabs>
                <w:tab w:val="left" w:pos="426"/>
                <w:tab w:val="left" w:pos="567"/>
              </w:tabs>
              <w:autoSpaceDE w:val="0"/>
              <w:autoSpaceDN w:val="0"/>
              <w:adjustRightInd w:val="0"/>
              <w:rPr>
                <w:rFonts w:ascii="Arial Narrow" w:hAnsi="Arial Narrow" w:cs="Arial Narrow"/>
                <w:sz w:val="18"/>
                <w:szCs w:val="18"/>
              </w:rPr>
            </w:pPr>
            <w:r w:rsidRPr="004254E3">
              <w:rPr>
                <w:rFonts w:ascii="Arial Narrow" w:hAnsi="Arial Narrow" w:cs="Arial Narrow"/>
                <w:sz w:val="18"/>
                <w:szCs w:val="18"/>
              </w:rPr>
              <w:t xml:space="preserve"> [ ] Authority Required - Streamlined</w:t>
            </w:r>
          </w:p>
        </w:tc>
      </w:tr>
      <w:tr w:rsidR="00237512" w:rsidRPr="004254E3" w:rsidTr="00297E0B">
        <w:trPr>
          <w:cantSplit/>
          <w:trHeight w:val="249"/>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b/>
                <w:sz w:val="18"/>
                <w:szCs w:val="18"/>
              </w:rPr>
            </w:pPr>
          </w:p>
        </w:tc>
        <w:tc>
          <w:tcPr>
            <w:tcW w:w="8222"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rPr>
                <w:rFonts w:ascii="Arial Narrow" w:hAnsi="Arial Narrow"/>
                <w:sz w:val="18"/>
                <w:szCs w:val="18"/>
              </w:rPr>
            </w:pPr>
            <w:r w:rsidRPr="004254E3">
              <w:rPr>
                <w:rFonts w:ascii="Arial Narrow" w:hAnsi="Arial Narrow"/>
                <w:b/>
                <w:sz w:val="18"/>
                <w:szCs w:val="18"/>
              </w:rPr>
              <w:t xml:space="preserve">Condition: </w:t>
            </w:r>
            <w:r w:rsidRPr="004254E3">
              <w:rPr>
                <w:rFonts w:ascii="Arial Narrow" w:hAnsi="Arial Narrow"/>
                <w:i/>
                <w:sz w:val="18"/>
                <w:szCs w:val="18"/>
              </w:rPr>
              <w:t>Clostridium difficile infection</w:t>
            </w:r>
          </w:p>
        </w:tc>
      </w:tr>
      <w:tr w:rsidR="00237512" w:rsidRPr="004254E3" w:rsidTr="00297E0B">
        <w:trPr>
          <w:cantSplit/>
          <w:trHeight w:val="281"/>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sz w:val="18"/>
                <w:szCs w:val="18"/>
              </w:rPr>
            </w:pPr>
            <w:r w:rsidRPr="004254E3">
              <w:rPr>
                <w:rFonts w:ascii="Arial Narrow" w:hAnsi="Arial Narrow"/>
                <w:sz w:val="18"/>
                <w:szCs w:val="18"/>
              </w:rPr>
              <w:t>new</w:t>
            </w:r>
          </w:p>
          <w:p w:rsidR="00237512" w:rsidRPr="004254E3" w:rsidRDefault="00237512" w:rsidP="00297E0B">
            <w:pPr>
              <w:jc w:val="center"/>
              <w:rPr>
                <w:rFonts w:ascii="Arial Narrow" w:hAnsi="Arial Narrow"/>
                <w:i/>
                <w:sz w:val="18"/>
                <w:szCs w:val="18"/>
              </w:rPr>
            </w:pPr>
          </w:p>
        </w:tc>
        <w:tc>
          <w:tcPr>
            <w:tcW w:w="8222"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rPr>
                <w:rFonts w:ascii="Arial Narrow" w:hAnsi="Arial Narrow"/>
                <w:sz w:val="18"/>
                <w:szCs w:val="18"/>
              </w:rPr>
            </w:pPr>
            <w:r w:rsidRPr="004254E3">
              <w:rPr>
                <w:rFonts w:ascii="Arial Narrow" w:hAnsi="Arial Narrow"/>
                <w:b/>
                <w:sz w:val="18"/>
                <w:szCs w:val="18"/>
              </w:rPr>
              <w:t>Indication:</w:t>
            </w:r>
            <w:r w:rsidRPr="004254E3">
              <w:rPr>
                <w:rFonts w:ascii="Arial Narrow" w:hAnsi="Arial Narrow"/>
                <w:sz w:val="18"/>
                <w:szCs w:val="18"/>
              </w:rPr>
              <w:t xml:space="preserve"> Clostridium difficile infection</w:t>
            </w:r>
          </w:p>
        </w:tc>
      </w:tr>
      <w:tr w:rsidR="00237512" w:rsidRPr="004254E3" w:rsidTr="00297E0B">
        <w:trPr>
          <w:cantSplit/>
          <w:trHeight w:val="303"/>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b/>
                <w:sz w:val="18"/>
                <w:szCs w:val="18"/>
              </w:rPr>
            </w:pPr>
          </w:p>
        </w:tc>
        <w:tc>
          <w:tcPr>
            <w:tcW w:w="8222"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rPr>
                <w:rFonts w:ascii="Arial Narrow" w:hAnsi="Arial Narrow"/>
                <w:strike/>
                <w:sz w:val="18"/>
                <w:szCs w:val="18"/>
              </w:rPr>
            </w:pPr>
            <w:r w:rsidRPr="004254E3">
              <w:rPr>
                <w:rFonts w:ascii="Arial Narrow" w:hAnsi="Arial Narrow"/>
                <w:b/>
                <w:sz w:val="18"/>
                <w:szCs w:val="18"/>
              </w:rPr>
              <w:t xml:space="preserve">Treatment phase: </w:t>
            </w:r>
            <w:r w:rsidRPr="004254E3">
              <w:rPr>
                <w:rFonts w:ascii="Arial Narrow" w:hAnsi="Arial Narrow"/>
                <w:strike/>
                <w:sz w:val="18"/>
                <w:szCs w:val="18"/>
              </w:rPr>
              <w:t>Initial</w:t>
            </w:r>
          </w:p>
        </w:tc>
      </w:tr>
      <w:tr w:rsidR="00237512" w:rsidRPr="004254E3" w:rsidTr="00297E0B">
        <w:trPr>
          <w:cantSplit/>
          <w:trHeight w:val="223"/>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sz w:val="18"/>
                <w:szCs w:val="18"/>
              </w:rPr>
            </w:pPr>
          </w:p>
        </w:tc>
        <w:tc>
          <w:tcPr>
            <w:tcW w:w="8222"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rPr>
                <w:rFonts w:ascii="Arial Narrow" w:hAnsi="Arial Narrow"/>
                <w:b/>
                <w:sz w:val="18"/>
                <w:szCs w:val="18"/>
              </w:rPr>
            </w:pPr>
            <w:r w:rsidRPr="004254E3">
              <w:rPr>
                <w:rFonts w:ascii="Arial Narrow" w:hAnsi="Arial Narrow"/>
                <w:b/>
                <w:sz w:val="18"/>
                <w:szCs w:val="18"/>
              </w:rPr>
              <w:t>Clinical criteria:</w:t>
            </w:r>
          </w:p>
        </w:tc>
      </w:tr>
      <w:tr w:rsidR="00237512" w:rsidRPr="004254E3" w:rsidTr="00297E0B">
        <w:trPr>
          <w:cantSplit/>
          <w:trHeight w:val="243"/>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sz w:val="18"/>
                <w:szCs w:val="18"/>
              </w:rPr>
            </w:pPr>
            <w:r w:rsidRPr="004254E3">
              <w:rPr>
                <w:rFonts w:ascii="Arial Narrow" w:hAnsi="Arial Narrow"/>
                <w:sz w:val="18"/>
                <w:szCs w:val="18"/>
              </w:rPr>
              <w:t>24235 draft</w:t>
            </w:r>
          </w:p>
        </w:tc>
        <w:tc>
          <w:tcPr>
            <w:tcW w:w="8222"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rPr>
                <w:rFonts w:ascii="Arial Narrow" w:hAnsi="Arial Narrow"/>
                <w:b/>
                <w:sz w:val="18"/>
                <w:szCs w:val="18"/>
              </w:rPr>
            </w:pPr>
            <w:r w:rsidRPr="004254E3">
              <w:rPr>
                <w:rFonts w:ascii="Arial Narrow" w:hAnsi="Arial Narrow"/>
                <w:sz w:val="18"/>
                <w:szCs w:val="18"/>
              </w:rPr>
              <w:t xml:space="preserve">Patients must have confirmed toxin B positive Clostridium difficile infection </w:t>
            </w:r>
          </w:p>
        </w:tc>
      </w:tr>
      <w:tr w:rsidR="00237512" w:rsidRPr="004254E3" w:rsidTr="00297E0B">
        <w:trPr>
          <w:cantSplit/>
          <w:trHeight w:val="216"/>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sz w:val="18"/>
                <w:szCs w:val="18"/>
              </w:rPr>
            </w:pPr>
          </w:p>
        </w:tc>
        <w:tc>
          <w:tcPr>
            <w:tcW w:w="8222"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pStyle w:val="NoSpacing"/>
              <w:rPr>
                <w:rFonts w:ascii="Arial Narrow" w:hAnsi="Arial Narrow"/>
                <w:b/>
                <w:sz w:val="18"/>
                <w:szCs w:val="18"/>
              </w:rPr>
            </w:pPr>
            <w:r w:rsidRPr="004254E3">
              <w:rPr>
                <w:rFonts w:ascii="Arial Narrow" w:hAnsi="Arial Narrow"/>
                <w:b/>
                <w:sz w:val="18"/>
                <w:szCs w:val="18"/>
              </w:rPr>
              <w:t xml:space="preserve">AND </w:t>
            </w:r>
          </w:p>
        </w:tc>
      </w:tr>
      <w:tr w:rsidR="00237512" w:rsidRPr="004254E3" w:rsidTr="00297E0B">
        <w:trPr>
          <w:cantSplit/>
          <w:trHeight w:val="263"/>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sz w:val="18"/>
                <w:szCs w:val="18"/>
              </w:rPr>
            </w:pPr>
            <w:r w:rsidRPr="004254E3">
              <w:rPr>
                <w:rFonts w:ascii="Arial Narrow" w:hAnsi="Arial Narrow"/>
                <w:sz w:val="18"/>
                <w:szCs w:val="18"/>
              </w:rPr>
              <w:t>new</w:t>
            </w:r>
          </w:p>
        </w:tc>
        <w:tc>
          <w:tcPr>
            <w:tcW w:w="8222"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rPr>
                <w:rFonts w:ascii="Arial Narrow" w:hAnsi="Arial Narrow"/>
                <w:b/>
                <w:sz w:val="18"/>
                <w:szCs w:val="18"/>
              </w:rPr>
            </w:pPr>
            <w:r w:rsidRPr="004254E3">
              <w:rPr>
                <w:rFonts w:ascii="Arial Narrow" w:hAnsi="Arial Narrow"/>
                <w:b/>
                <w:sz w:val="18"/>
                <w:szCs w:val="18"/>
              </w:rPr>
              <w:t>Clinical criteria:</w:t>
            </w:r>
          </w:p>
        </w:tc>
      </w:tr>
      <w:tr w:rsidR="00237512" w:rsidRPr="004254E3" w:rsidTr="00297E0B">
        <w:trPr>
          <w:cantSplit/>
          <w:trHeight w:val="360"/>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sz w:val="18"/>
                <w:szCs w:val="18"/>
              </w:rPr>
            </w:pPr>
            <w:r w:rsidRPr="004254E3">
              <w:rPr>
                <w:rFonts w:ascii="Arial Narrow" w:hAnsi="Arial Narrow"/>
                <w:sz w:val="18"/>
                <w:szCs w:val="18"/>
              </w:rPr>
              <w:t>new</w:t>
            </w:r>
          </w:p>
        </w:tc>
        <w:tc>
          <w:tcPr>
            <w:tcW w:w="8222"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rPr>
                <w:rFonts w:ascii="Arial Narrow" w:hAnsi="Arial Narrow"/>
                <w:b/>
                <w:sz w:val="18"/>
                <w:szCs w:val="18"/>
              </w:rPr>
            </w:pPr>
            <w:r w:rsidRPr="004254E3">
              <w:rPr>
                <w:rFonts w:ascii="Arial Narrow" w:hAnsi="Arial Narrow"/>
                <w:sz w:val="18"/>
                <w:szCs w:val="18"/>
              </w:rPr>
              <w:t>Patient must be at high risk of recurrence, defined as having one or more risk factor</w:t>
            </w:r>
            <w:r w:rsidRPr="004254E3">
              <w:rPr>
                <w:rFonts w:ascii="Arial Narrow" w:hAnsi="Arial Narrow"/>
                <w:i/>
                <w:sz w:val="18"/>
                <w:szCs w:val="18"/>
              </w:rPr>
              <w:t>s</w:t>
            </w:r>
            <w:r w:rsidRPr="004254E3">
              <w:rPr>
                <w:rFonts w:ascii="Arial Narrow" w:hAnsi="Arial Narrow"/>
                <w:sz w:val="18"/>
                <w:szCs w:val="18"/>
              </w:rPr>
              <w:t xml:space="preserve"> for Clostridium difficile infection recurrence.</w:t>
            </w:r>
          </w:p>
        </w:tc>
      </w:tr>
      <w:tr w:rsidR="00237512" w:rsidRPr="004254E3" w:rsidTr="00297E0B">
        <w:trPr>
          <w:cantSplit/>
          <w:trHeight w:val="209"/>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sz w:val="18"/>
                <w:szCs w:val="18"/>
              </w:rPr>
            </w:pPr>
          </w:p>
        </w:tc>
        <w:tc>
          <w:tcPr>
            <w:tcW w:w="8222"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rPr>
                <w:rFonts w:ascii="Arial Narrow" w:hAnsi="Arial Narrow"/>
                <w:b/>
                <w:sz w:val="18"/>
                <w:szCs w:val="18"/>
              </w:rPr>
            </w:pPr>
            <w:r w:rsidRPr="004254E3">
              <w:rPr>
                <w:rFonts w:ascii="Arial Narrow" w:hAnsi="Arial Narrow"/>
                <w:b/>
                <w:sz w:val="18"/>
                <w:szCs w:val="18"/>
              </w:rPr>
              <w:t>AND</w:t>
            </w:r>
          </w:p>
        </w:tc>
      </w:tr>
      <w:tr w:rsidR="00237512" w:rsidRPr="004254E3" w:rsidTr="00297E0B">
        <w:trPr>
          <w:cantSplit/>
          <w:trHeight w:val="142"/>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sz w:val="18"/>
                <w:szCs w:val="18"/>
              </w:rPr>
            </w:pPr>
          </w:p>
        </w:tc>
        <w:tc>
          <w:tcPr>
            <w:tcW w:w="8222"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rPr>
                <w:rFonts w:ascii="Arial Narrow" w:hAnsi="Arial Narrow"/>
                <w:sz w:val="18"/>
                <w:szCs w:val="18"/>
              </w:rPr>
            </w:pPr>
            <w:r w:rsidRPr="004254E3">
              <w:rPr>
                <w:rFonts w:ascii="Arial Narrow" w:hAnsi="Arial Narrow"/>
                <w:b/>
                <w:sz w:val="18"/>
                <w:szCs w:val="18"/>
              </w:rPr>
              <w:t xml:space="preserve">Treatment criteria: </w:t>
            </w:r>
          </w:p>
        </w:tc>
      </w:tr>
      <w:tr w:rsidR="00237512" w:rsidRPr="004254E3" w:rsidTr="00297E0B">
        <w:trPr>
          <w:cantSplit/>
          <w:trHeight w:val="277"/>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sz w:val="18"/>
                <w:szCs w:val="18"/>
              </w:rPr>
            </w:pPr>
            <w:r w:rsidRPr="004254E3">
              <w:rPr>
                <w:rFonts w:ascii="Arial Narrow" w:hAnsi="Arial Narrow"/>
                <w:sz w:val="18"/>
                <w:szCs w:val="18"/>
              </w:rPr>
              <w:t>24237 draft</w:t>
            </w:r>
          </w:p>
        </w:tc>
        <w:tc>
          <w:tcPr>
            <w:tcW w:w="8222"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rPr>
                <w:rFonts w:ascii="Arial Narrow" w:hAnsi="Arial Narrow"/>
                <w:b/>
                <w:sz w:val="18"/>
                <w:szCs w:val="18"/>
              </w:rPr>
            </w:pPr>
            <w:r w:rsidRPr="004254E3">
              <w:rPr>
                <w:rFonts w:ascii="Arial Narrow" w:hAnsi="Arial Narrow"/>
                <w:sz w:val="18"/>
                <w:szCs w:val="18"/>
              </w:rPr>
              <w:t>Patients must be receiving antibacterial therapy for Clostridium difficile infection.</w:t>
            </w:r>
          </w:p>
        </w:tc>
      </w:tr>
      <w:tr w:rsidR="00237512" w:rsidRPr="004254E3" w:rsidTr="00297E0B">
        <w:trPr>
          <w:cantSplit/>
          <w:trHeight w:val="360"/>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sz w:val="18"/>
                <w:szCs w:val="18"/>
              </w:rPr>
            </w:pPr>
            <w:r w:rsidRPr="004254E3">
              <w:rPr>
                <w:rFonts w:ascii="Arial Narrow" w:hAnsi="Arial Narrow"/>
                <w:sz w:val="18"/>
                <w:szCs w:val="18"/>
              </w:rPr>
              <w:t>new</w:t>
            </w:r>
          </w:p>
        </w:tc>
        <w:tc>
          <w:tcPr>
            <w:tcW w:w="8222"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rPr>
                <w:rFonts w:ascii="Arial Narrow" w:hAnsi="Arial Narrow"/>
                <w:b/>
                <w:sz w:val="18"/>
                <w:szCs w:val="18"/>
              </w:rPr>
            </w:pPr>
            <w:r w:rsidRPr="004254E3">
              <w:rPr>
                <w:rFonts w:ascii="Arial Narrow" w:hAnsi="Arial Narrow"/>
                <w:b/>
                <w:sz w:val="18"/>
                <w:szCs w:val="18"/>
              </w:rPr>
              <w:t xml:space="preserve">Prescriber Instructions: </w:t>
            </w:r>
          </w:p>
          <w:p w:rsidR="00237512" w:rsidRPr="004254E3" w:rsidRDefault="00237512" w:rsidP="00297E0B">
            <w:pPr>
              <w:rPr>
                <w:rFonts w:ascii="Arial Narrow" w:hAnsi="Arial Narrow"/>
                <w:sz w:val="18"/>
                <w:szCs w:val="18"/>
              </w:rPr>
            </w:pPr>
            <w:r w:rsidRPr="004254E3">
              <w:rPr>
                <w:rFonts w:ascii="Arial Narrow" w:hAnsi="Arial Narrow"/>
                <w:sz w:val="18"/>
                <w:szCs w:val="18"/>
              </w:rPr>
              <w:t>High risk is defined by the presence of one or more of the following factors:</w:t>
            </w:r>
          </w:p>
          <w:p w:rsidR="00237512" w:rsidRPr="004254E3" w:rsidRDefault="00237512" w:rsidP="00297E0B">
            <w:pPr>
              <w:rPr>
                <w:rFonts w:ascii="Arial Narrow" w:hAnsi="Arial Narrow"/>
                <w:sz w:val="18"/>
                <w:szCs w:val="18"/>
              </w:rPr>
            </w:pPr>
            <w:r w:rsidRPr="004254E3">
              <w:rPr>
                <w:rFonts w:ascii="Arial Narrow" w:hAnsi="Arial Narrow"/>
                <w:i/>
                <w:sz w:val="18"/>
                <w:szCs w:val="18"/>
              </w:rPr>
              <w:t xml:space="preserve">(i) </w:t>
            </w:r>
            <w:r w:rsidRPr="004254E3">
              <w:rPr>
                <w:rFonts w:ascii="Arial Narrow" w:hAnsi="Arial Narrow"/>
                <w:sz w:val="18"/>
                <w:szCs w:val="18"/>
              </w:rPr>
              <w:t>age 65 years or older;</w:t>
            </w:r>
          </w:p>
          <w:p w:rsidR="00237512" w:rsidRPr="004254E3" w:rsidRDefault="00237512" w:rsidP="00297E0B">
            <w:pPr>
              <w:rPr>
                <w:rFonts w:ascii="Arial Narrow" w:hAnsi="Arial Narrow"/>
                <w:sz w:val="18"/>
                <w:szCs w:val="18"/>
              </w:rPr>
            </w:pPr>
            <w:r w:rsidRPr="004254E3">
              <w:rPr>
                <w:rFonts w:ascii="Arial Narrow" w:hAnsi="Arial Narrow"/>
                <w:i/>
                <w:sz w:val="18"/>
                <w:szCs w:val="18"/>
              </w:rPr>
              <w:t xml:space="preserve">(ii) </w:t>
            </w:r>
            <w:r w:rsidRPr="004254E3">
              <w:rPr>
                <w:rFonts w:ascii="Arial Narrow" w:hAnsi="Arial Narrow"/>
                <w:sz w:val="18"/>
                <w:szCs w:val="18"/>
              </w:rPr>
              <w:t>history of Clostridium difficile infection in the past 6 months;</w:t>
            </w:r>
          </w:p>
          <w:p w:rsidR="00237512" w:rsidRPr="004254E3" w:rsidRDefault="00237512" w:rsidP="00297E0B">
            <w:pPr>
              <w:rPr>
                <w:rFonts w:ascii="Arial Narrow" w:hAnsi="Arial Narrow"/>
                <w:sz w:val="18"/>
                <w:szCs w:val="18"/>
              </w:rPr>
            </w:pPr>
            <w:r w:rsidRPr="004254E3">
              <w:rPr>
                <w:rFonts w:ascii="Arial Narrow" w:hAnsi="Arial Narrow"/>
                <w:i/>
                <w:sz w:val="18"/>
                <w:szCs w:val="18"/>
              </w:rPr>
              <w:t>(iii)</w:t>
            </w:r>
            <w:r w:rsidRPr="004254E3">
              <w:rPr>
                <w:rFonts w:ascii="Arial Narrow" w:hAnsi="Arial Narrow"/>
                <w:sz w:val="18"/>
                <w:szCs w:val="18"/>
              </w:rPr>
              <w:t xml:space="preserve"> immunocompromised due to history of haematopoietic stem cell transplant or solid organ transplant. </w:t>
            </w:r>
          </w:p>
        </w:tc>
      </w:tr>
      <w:tr w:rsidR="00237512" w:rsidRPr="004254E3" w:rsidTr="00297E0B">
        <w:trPr>
          <w:cantSplit/>
          <w:trHeight w:val="360"/>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sz w:val="18"/>
                <w:szCs w:val="18"/>
              </w:rPr>
            </w:pPr>
            <w:r w:rsidRPr="004254E3">
              <w:rPr>
                <w:rFonts w:ascii="Arial Narrow" w:hAnsi="Arial Narrow"/>
                <w:sz w:val="18"/>
                <w:szCs w:val="18"/>
              </w:rPr>
              <w:t>24240 draft</w:t>
            </w:r>
          </w:p>
        </w:tc>
        <w:tc>
          <w:tcPr>
            <w:tcW w:w="8222"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rPr>
                <w:rFonts w:ascii="Arial Narrow" w:hAnsi="Arial Narrow"/>
                <w:b/>
                <w:sz w:val="18"/>
                <w:szCs w:val="18"/>
              </w:rPr>
            </w:pPr>
            <w:r w:rsidRPr="004254E3">
              <w:rPr>
                <w:rFonts w:ascii="Arial Narrow" w:hAnsi="Arial Narrow"/>
                <w:b/>
                <w:sz w:val="18"/>
                <w:szCs w:val="18"/>
              </w:rPr>
              <w:t xml:space="preserve">Prescriber Instructions: </w:t>
            </w:r>
          </w:p>
          <w:p w:rsidR="00237512" w:rsidRPr="004254E3" w:rsidRDefault="00237512" w:rsidP="00297E0B">
            <w:pPr>
              <w:rPr>
                <w:rFonts w:ascii="Arial Narrow" w:hAnsi="Arial Narrow"/>
                <w:b/>
                <w:sz w:val="18"/>
                <w:szCs w:val="18"/>
              </w:rPr>
            </w:pPr>
            <w:r w:rsidRPr="004254E3">
              <w:rPr>
                <w:rFonts w:ascii="Arial Narrow" w:hAnsi="Arial Narrow"/>
                <w:sz w:val="18"/>
                <w:szCs w:val="18"/>
              </w:rPr>
              <w:t>The medical practitioner should request sufficient quantity based on the weight of the patient to provide for a dose of 10 mg per kg.</w:t>
            </w:r>
          </w:p>
        </w:tc>
      </w:tr>
      <w:tr w:rsidR="00237512" w:rsidRPr="004254E3" w:rsidTr="00297E0B">
        <w:trPr>
          <w:cantSplit/>
          <w:trHeight w:val="217"/>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i/>
                <w:sz w:val="18"/>
                <w:szCs w:val="18"/>
              </w:rPr>
            </w:pPr>
            <w:r w:rsidRPr="004254E3">
              <w:rPr>
                <w:rFonts w:ascii="Arial Narrow" w:hAnsi="Arial Narrow"/>
                <w:sz w:val="18"/>
                <w:szCs w:val="18"/>
              </w:rPr>
              <w:t>24241 draft</w:t>
            </w:r>
          </w:p>
        </w:tc>
        <w:tc>
          <w:tcPr>
            <w:tcW w:w="8222"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rPr>
                <w:rFonts w:ascii="Arial Narrow" w:hAnsi="Arial Narrow"/>
                <w:i/>
                <w:sz w:val="18"/>
                <w:szCs w:val="18"/>
              </w:rPr>
            </w:pPr>
            <w:r w:rsidRPr="004254E3">
              <w:rPr>
                <w:rFonts w:ascii="Arial Narrow" w:hAnsi="Arial Narrow"/>
                <w:b/>
                <w:sz w:val="18"/>
                <w:szCs w:val="18"/>
              </w:rPr>
              <w:t xml:space="preserve">Administrative Advice: </w:t>
            </w:r>
            <w:r w:rsidRPr="004254E3">
              <w:rPr>
                <w:rFonts w:ascii="Arial Narrow" w:hAnsi="Arial Narrow"/>
                <w:sz w:val="18"/>
                <w:szCs w:val="18"/>
              </w:rPr>
              <w:t xml:space="preserve">Repeat </w:t>
            </w:r>
            <w:r w:rsidRPr="004254E3">
              <w:rPr>
                <w:rFonts w:ascii="Arial Narrow" w:hAnsi="Arial Narrow"/>
                <w:strike/>
                <w:sz w:val="18"/>
                <w:szCs w:val="18"/>
              </w:rPr>
              <w:t>administration</w:t>
            </w:r>
            <w:r w:rsidRPr="004254E3">
              <w:rPr>
                <w:rFonts w:ascii="Arial Narrow" w:hAnsi="Arial Narrow"/>
                <w:sz w:val="18"/>
                <w:szCs w:val="18"/>
              </w:rPr>
              <w:t xml:space="preserve"> </w:t>
            </w:r>
            <w:r w:rsidRPr="004254E3">
              <w:rPr>
                <w:rFonts w:ascii="Arial Narrow" w:hAnsi="Arial Narrow"/>
                <w:i/>
                <w:sz w:val="18"/>
                <w:szCs w:val="18"/>
              </w:rPr>
              <w:t xml:space="preserve">authority requests </w:t>
            </w:r>
            <w:r w:rsidRPr="004254E3">
              <w:rPr>
                <w:rFonts w:ascii="Arial Narrow" w:hAnsi="Arial Narrow"/>
                <w:sz w:val="18"/>
                <w:szCs w:val="18"/>
              </w:rPr>
              <w:t>i</w:t>
            </w:r>
            <w:r w:rsidRPr="004254E3">
              <w:rPr>
                <w:rFonts w:ascii="Arial Narrow" w:hAnsi="Arial Narrow"/>
                <w:strike/>
                <w:sz w:val="18"/>
                <w:szCs w:val="18"/>
              </w:rPr>
              <w:t>s</w:t>
            </w:r>
            <w:r w:rsidRPr="004254E3">
              <w:rPr>
                <w:rFonts w:ascii="Arial Narrow" w:hAnsi="Arial Narrow"/>
                <w:sz w:val="18"/>
                <w:szCs w:val="18"/>
              </w:rPr>
              <w:t xml:space="preserve"> </w:t>
            </w:r>
            <w:r w:rsidRPr="004254E3">
              <w:rPr>
                <w:rFonts w:ascii="Arial Narrow" w:hAnsi="Arial Narrow"/>
                <w:i/>
                <w:sz w:val="18"/>
                <w:szCs w:val="18"/>
              </w:rPr>
              <w:t xml:space="preserve">will </w:t>
            </w:r>
            <w:r w:rsidRPr="004254E3">
              <w:rPr>
                <w:rFonts w:ascii="Arial Narrow" w:hAnsi="Arial Narrow"/>
                <w:sz w:val="18"/>
                <w:szCs w:val="18"/>
              </w:rPr>
              <w:t xml:space="preserve">not </w:t>
            </w:r>
            <w:r w:rsidRPr="004254E3">
              <w:rPr>
                <w:rFonts w:ascii="Arial Narrow" w:hAnsi="Arial Narrow"/>
                <w:i/>
                <w:sz w:val="18"/>
                <w:szCs w:val="18"/>
              </w:rPr>
              <w:t xml:space="preserve">be </w:t>
            </w:r>
            <w:r w:rsidRPr="004254E3">
              <w:rPr>
                <w:rFonts w:ascii="Arial Narrow" w:hAnsi="Arial Narrow"/>
                <w:strike/>
                <w:sz w:val="18"/>
                <w:szCs w:val="18"/>
              </w:rPr>
              <w:t xml:space="preserve">permitted </w:t>
            </w:r>
            <w:r w:rsidRPr="004254E3">
              <w:rPr>
                <w:rFonts w:ascii="Arial Narrow" w:hAnsi="Arial Narrow"/>
                <w:i/>
                <w:sz w:val="18"/>
                <w:szCs w:val="18"/>
              </w:rPr>
              <w:t xml:space="preserve">authorised </w:t>
            </w:r>
            <w:r w:rsidRPr="004254E3">
              <w:rPr>
                <w:rFonts w:ascii="Arial Narrow" w:hAnsi="Arial Narrow"/>
                <w:sz w:val="18"/>
                <w:szCs w:val="18"/>
              </w:rPr>
              <w:t xml:space="preserve">within 90 days of </w:t>
            </w:r>
            <w:r w:rsidRPr="004254E3">
              <w:rPr>
                <w:rFonts w:ascii="Arial Narrow" w:hAnsi="Arial Narrow"/>
                <w:strike/>
                <w:sz w:val="18"/>
                <w:szCs w:val="18"/>
              </w:rPr>
              <w:t>the initial episode.</w:t>
            </w:r>
            <w:r w:rsidRPr="004254E3">
              <w:rPr>
                <w:rFonts w:ascii="Arial Narrow" w:hAnsi="Arial Narrow"/>
                <w:i/>
                <w:sz w:val="18"/>
                <w:szCs w:val="18"/>
              </w:rPr>
              <w:t xml:space="preserve"> a previous supply</w:t>
            </w:r>
          </w:p>
        </w:tc>
      </w:tr>
      <w:tr w:rsidR="00237512" w:rsidRPr="00C254D9" w:rsidTr="00297E0B">
        <w:trPr>
          <w:cantSplit/>
          <w:trHeight w:val="360"/>
        </w:trPr>
        <w:tc>
          <w:tcPr>
            <w:tcW w:w="1134" w:type="dxa"/>
            <w:tcBorders>
              <w:top w:val="single" w:sz="4" w:space="0" w:color="auto"/>
              <w:left w:val="single" w:sz="4" w:space="0" w:color="auto"/>
              <w:bottom w:val="single" w:sz="4" w:space="0" w:color="auto"/>
              <w:right w:val="single" w:sz="4" w:space="0" w:color="auto"/>
            </w:tcBorders>
          </w:tcPr>
          <w:p w:rsidR="00237512" w:rsidRPr="004254E3" w:rsidRDefault="00237512" w:rsidP="00297E0B">
            <w:pPr>
              <w:jc w:val="center"/>
              <w:rPr>
                <w:rFonts w:ascii="Arial Narrow" w:hAnsi="Arial Narrow"/>
                <w:sz w:val="18"/>
                <w:szCs w:val="18"/>
              </w:rPr>
            </w:pPr>
            <w:r w:rsidRPr="004254E3">
              <w:rPr>
                <w:rFonts w:ascii="Arial Narrow" w:hAnsi="Arial Narrow"/>
                <w:sz w:val="18"/>
                <w:szCs w:val="18"/>
              </w:rPr>
              <w:t>7608</w:t>
            </w:r>
          </w:p>
        </w:tc>
        <w:tc>
          <w:tcPr>
            <w:tcW w:w="8222" w:type="dxa"/>
            <w:tcBorders>
              <w:top w:val="single" w:sz="4" w:space="0" w:color="auto"/>
              <w:left w:val="single" w:sz="4" w:space="0" w:color="auto"/>
              <w:bottom w:val="single" w:sz="4" w:space="0" w:color="auto"/>
              <w:right w:val="single" w:sz="4" w:space="0" w:color="auto"/>
            </w:tcBorders>
          </w:tcPr>
          <w:p w:rsidR="00237512" w:rsidRPr="004035C4" w:rsidRDefault="00237512" w:rsidP="00297E0B">
            <w:pPr>
              <w:rPr>
                <w:rFonts w:ascii="Arial Narrow" w:hAnsi="Arial Narrow"/>
                <w:b/>
                <w:sz w:val="18"/>
                <w:szCs w:val="18"/>
              </w:rPr>
            </w:pPr>
            <w:r w:rsidRPr="004254E3">
              <w:rPr>
                <w:rFonts w:ascii="Arial Narrow" w:hAnsi="Arial Narrow"/>
                <w:b/>
                <w:sz w:val="18"/>
                <w:szCs w:val="18"/>
              </w:rPr>
              <w:t xml:space="preserve">Administrative Advice: </w:t>
            </w:r>
            <w:r w:rsidRPr="004254E3">
              <w:rPr>
                <w:rFonts w:ascii="Arial Narrow" w:hAnsi="Arial Narrow"/>
                <w:i/>
                <w:sz w:val="18"/>
                <w:szCs w:val="18"/>
              </w:rPr>
              <w:t>Special Pricing Arrangements apply.</w:t>
            </w:r>
          </w:p>
        </w:tc>
      </w:tr>
    </w:tbl>
    <w:p w:rsidR="00237512" w:rsidRPr="00237512" w:rsidRDefault="00237512" w:rsidP="00237512">
      <w:pPr>
        <w:pStyle w:val="3-BodyText"/>
        <w:keepNext/>
        <w:numPr>
          <w:ilvl w:val="0"/>
          <w:numId w:val="0"/>
        </w:numPr>
        <w:ind w:left="720"/>
        <w:rPr>
          <w:highlight w:val="yellow"/>
          <w:lang w:eastAsia="en-US"/>
        </w:rPr>
      </w:pPr>
    </w:p>
    <w:p w:rsidR="008C7143" w:rsidRPr="00FC3E25" w:rsidRDefault="00900E13" w:rsidP="00006346">
      <w:pPr>
        <w:pStyle w:val="3-BodyText"/>
        <w:numPr>
          <w:ilvl w:val="1"/>
          <w:numId w:val="5"/>
        </w:numPr>
      </w:pPr>
      <w:r>
        <w:t>Compared with July 2019 submission, t</w:t>
      </w:r>
      <w:r w:rsidR="008C7143" w:rsidRPr="00762534">
        <w:t xml:space="preserve">he </w:t>
      </w:r>
      <w:r w:rsidR="008C7143">
        <w:t xml:space="preserve">resubmission proposed a lower effective </w:t>
      </w:r>
      <w:r w:rsidR="00A92DC5">
        <w:t>DPM</w:t>
      </w:r>
      <w:r w:rsidR="00CB39EA">
        <w:t>Q</w:t>
      </w:r>
      <w:r w:rsidR="00A92DC5">
        <w:t xml:space="preserve"> </w:t>
      </w:r>
      <w:r w:rsidR="008C7143">
        <w:t>(via special pricing arrangement) for bezlotoxumab of $</w:t>
      </w:r>
      <w:r w:rsidR="006F551D">
        <w:rPr>
          <w:noProof/>
          <w:color w:val="000000"/>
          <w:highlight w:val="black"/>
        </w:rPr>
        <w:t>'''''''''''</w:t>
      </w:r>
      <w:r w:rsidR="008C7143">
        <w:t xml:space="preserve"> (public hospitals) </w:t>
      </w:r>
      <w:r w:rsidR="00FC3E25">
        <w:t>but maintained the</w:t>
      </w:r>
      <w:r w:rsidR="008C7143">
        <w:t xml:space="preserve"> published price of $4,365. </w:t>
      </w:r>
      <w:r w:rsidR="008C7143" w:rsidRPr="0016138D">
        <w:rPr>
          <w:lang w:eastAsia="en-US"/>
        </w:rPr>
        <w:t>The effective price i</w:t>
      </w:r>
      <w:r w:rsidR="008C7143">
        <w:rPr>
          <w:lang w:eastAsia="en-US"/>
        </w:rPr>
        <w:t xml:space="preserve">s </w:t>
      </w:r>
      <w:r w:rsidR="006F551D">
        <w:rPr>
          <w:noProof/>
          <w:color w:val="000000"/>
          <w:highlight w:val="black"/>
          <w:lang w:eastAsia="en-US"/>
        </w:rPr>
        <w:t>'''''</w:t>
      </w:r>
      <w:r w:rsidR="008C7143" w:rsidRPr="0016138D">
        <w:rPr>
          <w:lang w:eastAsia="en-US"/>
        </w:rPr>
        <w:t xml:space="preserve">% lower compared to the previous resubmission in July </w:t>
      </w:r>
      <w:r w:rsidR="008C7143">
        <w:rPr>
          <w:lang w:eastAsia="en-US"/>
        </w:rPr>
        <w:t>2019</w:t>
      </w:r>
      <w:r w:rsidR="00FC3E25">
        <w:rPr>
          <w:lang w:eastAsia="en-US"/>
        </w:rPr>
        <w:t xml:space="preserve"> </w:t>
      </w:r>
      <w:r w:rsidR="008C7143" w:rsidRPr="009A167B">
        <w:rPr>
          <w:lang w:eastAsia="en-US"/>
        </w:rPr>
        <w:t xml:space="preserve">and </w:t>
      </w:r>
      <w:r w:rsidR="006F551D">
        <w:rPr>
          <w:noProof/>
          <w:color w:val="000000"/>
          <w:highlight w:val="black"/>
          <w:lang w:eastAsia="en-US"/>
        </w:rPr>
        <w:t>'''''</w:t>
      </w:r>
      <w:r w:rsidR="008C7143" w:rsidRPr="009A167B">
        <w:rPr>
          <w:lang w:eastAsia="en-US"/>
        </w:rPr>
        <w:t>% lower</w:t>
      </w:r>
      <w:r w:rsidR="008C7143" w:rsidRPr="0016138D">
        <w:rPr>
          <w:lang w:eastAsia="en-US"/>
        </w:rPr>
        <w:t xml:space="preserve"> </w:t>
      </w:r>
      <w:r w:rsidR="008C7143" w:rsidRPr="00A57338">
        <w:rPr>
          <w:lang w:eastAsia="en-US"/>
        </w:rPr>
        <w:t xml:space="preserve">compared to the first submission in </w:t>
      </w:r>
      <w:r w:rsidR="008C7143" w:rsidRPr="00FC3E25">
        <w:rPr>
          <w:lang w:eastAsia="en-US"/>
        </w:rPr>
        <w:t>November 2017.</w:t>
      </w:r>
    </w:p>
    <w:p w:rsidR="008C7143" w:rsidRPr="00C91FC5" w:rsidRDefault="008C7143" w:rsidP="00006346">
      <w:pPr>
        <w:pStyle w:val="3-BodyText"/>
        <w:numPr>
          <w:ilvl w:val="1"/>
          <w:numId w:val="5"/>
        </w:numPr>
        <w:rPr>
          <w:i/>
          <w:iCs/>
        </w:rPr>
      </w:pPr>
      <w:r w:rsidRPr="00C91FC5">
        <w:rPr>
          <w:szCs w:val="22"/>
          <w:lang w:eastAsia="en-US"/>
        </w:rPr>
        <w:t xml:space="preserve">The resubmission requested a revised Section 100 Authority Required listing for bezlotoxumab compared to the previous resubmission in July 2019.  </w:t>
      </w:r>
      <w:r w:rsidR="00FC3E25" w:rsidRPr="00C91FC5">
        <w:rPr>
          <w:szCs w:val="22"/>
          <w:lang w:eastAsia="en-US"/>
        </w:rPr>
        <w:t>T</w:t>
      </w:r>
      <w:r w:rsidRPr="00C91FC5">
        <w:rPr>
          <w:szCs w:val="22"/>
          <w:lang w:eastAsia="en-US"/>
        </w:rPr>
        <w:t>he</w:t>
      </w:r>
      <w:r w:rsidR="00170AC6">
        <w:rPr>
          <w:szCs w:val="22"/>
          <w:lang w:eastAsia="en-US"/>
        </w:rPr>
        <w:t xml:space="preserve"> resubmission</w:t>
      </w:r>
      <w:r w:rsidRPr="00C91FC5">
        <w:rPr>
          <w:szCs w:val="22"/>
          <w:lang w:eastAsia="en-US"/>
        </w:rPr>
        <w:t xml:space="preserve"> proposed a new definition of high risk of CDI recurrence as </w:t>
      </w:r>
      <w:r w:rsidRPr="00C91FC5">
        <w:rPr>
          <w:rFonts w:cs="Calibri"/>
          <w:szCs w:val="22"/>
          <w:lang w:eastAsia="en-US"/>
        </w:rPr>
        <w:t>≥</w:t>
      </w:r>
      <w:r w:rsidRPr="00C91FC5">
        <w:rPr>
          <w:szCs w:val="22"/>
          <w:lang w:eastAsia="en-US"/>
        </w:rPr>
        <w:t>1 of 3 risk factors</w:t>
      </w:r>
      <w:r w:rsidR="00FC3E25" w:rsidRPr="00C91FC5">
        <w:rPr>
          <w:szCs w:val="22"/>
          <w:lang w:eastAsia="en-US"/>
        </w:rPr>
        <w:t>, which include</w:t>
      </w:r>
      <w:r w:rsidR="00EA4742">
        <w:rPr>
          <w:szCs w:val="22"/>
          <w:lang w:eastAsia="en-US"/>
        </w:rPr>
        <w:t>d</w:t>
      </w:r>
      <w:r w:rsidR="00FC3E25" w:rsidRPr="00C91FC5">
        <w:rPr>
          <w:szCs w:val="22"/>
          <w:lang w:eastAsia="en-US"/>
        </w:rPr>
        <w:t xml:space="preserve"> </w:t>
      </w:r>
      <w:r w:rsidRPr="00C91FC5">
        <w:rPr>
          <w:szCs w:val="22"/>
          <w:lang w:eastAsia="en-US"/>
        </w:rPr>
        <w:t xml:space="preserve">two risk factors </w:t>
      </w:r>
      <w:r w:rsidR="00FC3E25" w:rsidRPr="00C91FC5">
        <w:rPr>
          <w:szCs w:val="22"/>
          <w:lang w:eastAsia="en-US"/>
        </w:rPr>
        <w:t xml:space="preserve">recommended by the </w:t>
      </w:r>
      <w:r w:rsidRPr="00C91FC5">
        <w:rPr>
          <w:szCs w:val="22"/>
          <w:lang w:eastAsia="en-US"/>
        </w:rPr>
        <w:t>PBAC (</w:t>
      </w:r>
      <w:r w:rsidRPr="00C91FC5">
        <w:rPr>
          <w:bCs/>
        </w:rPr>
        <w:t xml:space="preserve">age </w:t>
      </w:r>
      <w:r w:rsidRPr="00C91FC5">
        <w:rPr>
          <w:rFonts w:cs="Calibri"/>
          <w:bCs/>
        </w:rPr>
        <w:t>≥</w:t>
      </w:r>
      <w:r w:rsidRPr="00C91FC5">
        <w:rPr>
          <w:bCs/>
        </w:rPr>
        <w:t>65</w:t>
      </w:r>
      <w:r w:rsidR="00700202" w:rsidRPr="00C91FC5">
        <w:rPr>
          <w:bCs/>
        </w:rPr>
        <w:t xml:space="preserve"> years, or</w:t>
      </w:r>
      <w:r w:rsidRPr="00C91FC5">
        <w:rPr>
          <w:bCs/>
        </w:rPr>
        <w:t xml:space="preserve"> history of CDI in the past 6 months)</w:t>
      </w:r>
      <w:r w:rsidRPr="00C91FC5">
        <w:rPr>
          <w:szCs w:val="22"/>
          <w:lang w:eastAsia="en-US"/>
        </w:rPr>
        <w:t>, and a third new risk factor proposed by the Sponsor</w:t>
      </w:r>
      <w:r w:rsidR="00FC3E25" w:rsidRPr="00C91FC5">
        <w:rPr>
          <w:szCs w:val="22"/>
          <w:lang w:eastAsia="en-US"/>
        </w:rPr>
        <w:t xml:space="preserve"> </w:t>
      </w:r>
      <w:r w:rsidRPr="00C91FC5">
        <w:rPr>
          <w:bCs/>
        </w:rPr>
        <w:t xml:space="preserve">(immunocompromised due to history of </w:t>
      </w:r>
      <w:r w:rsidR="00A92DC5">
        <w:rPr>
          <w:bCs/>
        </w:rPr>
        <w:t xml:space="preserve">haematopoietic </w:t>
      </w:r>
      <w:r w:rsidRPr="00C91FC5">
        <w:rPr>
          <w:bCs/>
        </w:rPr>
        <w:t xml:space="preserve">stem cell </w:t>
      </w:r>
      <w:r w:rsidR="00A92DC5">
        <w:rPr>
          <w:bCs/>
        </w:rPr>
        <w:t>transplant (</w:t>
      </w:r>
      <w:r w:rsidR="00170AC6">
        <w:rPr>
          <w:bCs/>
        </w:rPr>
        <w:t xml:space="preserve">HSCT) </w:t>
      </w:r>
      <w:r w:rsidRPr="00C91FC5">
        <w:rPr>
          <w:bCs/>
        </w:rPr>
        <w:t>or solid organ transplant</w:t>
      </w:r>
      <w:r w:rsidR="00170AC6">
        <w:rPr>
          <w:bCs/>
        </w:rPr>
        <w:t xml:space="preserve"> (SOT)</w:t>
      </w:r>
      <w:r w:rsidRPr="00C91FC5">
        <w:rPr>
          <w:bCs/>
        </w:rPr>
        <w:t>)</w:t>
      </w:r>
      <w:r w:rsidRPr="00C91FC5">
        <w:rPr>
          <w:szCs w:val="22"/>
          <w:lang w:eastAsia="en-US"/>
        </w:rPr>
        <w:t>.</w:t>
      </w:r>
    </w:p>
    <w:p w:rsidR="008C7143" w:rsidRPr="00A64859" w:rsidRDefault="008C7143" w:rsidP="00B001B1">
      <w:pPr>
        <w:keepNext/>
        <w:widowControl w:val="0"/>
        <w:rPr>
          <w:rFonts w:ascii="Arial Narrow" w:hAnsi="Arial Narrow"/>
          <w:b/>
          <w:bCs/>
          <w:iCs/>
          <w:snapToGrid w:val="0"/>
          <w:sz w:val="20"/>
          <w:szCs w:val="20"/>
          <w:lang w:eastAsia="en-US"/>
        </w:rPr>
      </w:pPr>
      <w:r w:rsidRPr="00A64859">
        <w:rPr>
          <w:rFonts w:ascii="Arial Narrow" w:hAnsi="Arial Narrow"/>
          <w:b/>
          <w:bCs/>
          <w:iCs/>
          <w:snapToGrid w:val="0"/>
          <w:sz w:val="20"/>
          <w:szCs w:val="20"/>
          <w:lang w:eastAsia="en-US"/>
        </w:rPr>
        <w:lastRenderedPageBreak/>
        <w:t>Table 3: Definition of high-risk population for treatment with bezlotoxumab in the current and previous resubmissions</w:t>
      </w:r>
    </w:p>
    <w:tbl>
      <w:tblPr>
        <w:tblStyle w:val="TableGrid"/>
        <w:tblW w:w="5000" w:type="pct"/>
        <w:tblCellMar>
          <w:left w:w="28" w:type="dxa"/>
          <w:right w:w="28" w:type="dxa"/>
        </w:tblCellMar>
        <w:tblLook w:val="04A0" w:firstRow="1" w:lastRow="0" w:firstColumn="1" w:lastColumn="0" w:noHBand="0" w:noVBand="1"/>
        <w:tblCaption w:val="Table 3: Definition of high-risk population for treatment with bezlotoxumab in the current and previous resubmissions"/>
      </w:tblPr>
      <w:tblGrid>
        <w:gridCol w:w="4508"/>
        <w:gridCol w:w="4509"/>
      </w:tblGrid>
      <w:tr w:rsidR="00700202" w:rsidRPr="00A64859" w:rsidTr="003B205F">
        <w:trPr>
          <w:tblHeader/>
        </w:trPr>
        <w:tc>
          <w:tcPr>
            <w:tcW w:w="2500" w:type="pct"/>
            <w:shd w:val="clear" w:color="auto" w:fill="B8CCE4" w:themeFill="accent1" w:themeFillTint="66"/>
            <w:vAlign w:val="center"/>
          </w:tcPr>
          <w:p w:rsidR="00700202" w:rsidRPr="00A64859" w:rsidRDefault="00700202" w:rsidP="00B001B1">
            <w:pPr>
              <w:keepNext/>
              <w:widowControl w:val="0"/>
              <w:jc w:val="center"/>
              <w:rPr>
                <w:rFonts w:ascii="Arial Narrow" w:hAnsi="Arial Narrow"/>
                <w:b/>
                <w:bCs/>
                <w:iCs/>
                <w:snapToGrid w:val="0"/>
                <w:sz w:val="20"/>
                <w:szCs w:val="18"/>
                <w:lang w:eastAsia="en-US"/>
              </w:rPr>
            </w:pPr>
            <w:r w:rsidRPr="00A64859">
              <w:rPr>
                <w:rFonts w:ascii="Arial Narrow" w:hAnsi="Arial Narrow"/>
                <w:b/>
                <w:bCs/>
                <w:iCs/>
                <w:snapToGrid w:val="0"/>
                <w:sz w:val="20"/>
                <w:szCs w:val="18"/>
                <w:lang w:eastAsia="en-US"/>
              </w:rPr>
              <w:t>Resubmission July 2019</w:t>
            </w:r>
          </w:p>
        </w:tc>
        <w:tc>
          <w:tcPr>
            <w:tcW w:w="2500" w:type="pct"/>
            <w:vAlign w:val="center"/>
          </w:tcPr>
          <w:p w:rsidR="00700202" w:rsidRPr="00A64859" w:rsidRDefault="00700202" w:rsidP="00B001B1">
            <w:pPr>
              <w:keepNext/>
              <w:widowControl w:val="0"/>
              <w:jc w:val="center"/>
              <w:rPr>
                <w:rFonts w:ascii="Arial Narrow" w:hAnsi="Arial Narrow"/>
                <w:b/>
                <w:bCs/>
                <w:iCs/>
                <w:snapToGrid w:val="0"/>
                <w:sz w:val="20"/>
                <w:szCs w:val="18"/>
                <w:lang w:eastAsia="en-US"/>
              </w:rPr>
            </w:pPr>
            <w:r w:rsidRPr="00A64859">
              <w:rPr>
                <w:rFonts w:ascii="Arial Narrow" w:hAnsi="Arial Narrow"/>
                <w:b/>
                <w:bCs/>
                <w:iCs/>
                <w:snapToGrid w:val="0"/>
                <w:sz w:val="20"/>
                <w:szCs w:val="18"/>
                <w:lang w:eastAsia="en-US"/>
              </w:rPr>
              <w:t>Current resubmission</w:t>
            </w:r>
          </w:p>
        </w:tc>
      </w:tr>
      <w:tr w:rsidR="00700202" w:rsidRPr="00A64859" w:rsidTr="00700202">
        <w:tc>
          <w:tcPr>
            <w:tcW w:w="2500" w:type="pct"/>
            <w:shd w:val="clear" w:color="auto" w:fill="B8CCE4" w:themeFill="accent1" w:themeFillTint="66"/>
            <w:vAlign w:val="center"/>
          </w:tcPr>
          <w:p w:rsidR="00700202" w:rsidRPr="00A64859" w:rsidRDefault="00700202" w:rsidP="00B001B1">
            <w:pPr>
              <w:keepNext/>
              <w:widowControl w:val="0"/>
              <w:jc w:val="left"/>
              <w:rPr>
                <w:rFonts w:ascii="Arial Narrow" w:hAnsi="Arial Narrow"/>
                <w:iCs/>
                <w:snapToGrid w:val="0"/>
                <w:sz w:val="20"/>
                <w:szCs w:val="18"/>
                <w:lang w:eastAsia="en-US"/>
              </w:rPr>
            </w:pPr>
            <w:r w:rsidRPr="00A64859">
              <w:rPr>
                <w:rFonts w:ascii="Arial Narrow" w:hAnsi="Arial Narrow"/>
                <w:iCs/>
                <w:snapToGrid w:val="0"/>
                <w:sz w:val="20"/>
                <w:szCs w:val="18"/>
                <w:lang w:eastAsia="en-US"/>
              </w:rPr>
              <w:t>Defined as ≥2 of 4 risk factors:</w:t>
            </w:r>
          </w:p>
        </w:tc>
        <w:tc>
          <w:tcPr>
            <w:tcW w:w="2500" w:type="pct"/>
            <w:vAlign w:val="center"/>
          </w:tcPr>
          <w:p w:rsidR="00700202" w:rsidRPr="00A64859" w:rsidRDefault="00700202" w:rsidP="00B001B1">
            <w:pPr>
              <w:keepNext/>
              <w:widowControl w:val="0"/>
              <w:jc w:val="left"/>
              <w:rPr>
                <w:rFonts w:ascii="Arial Narrow" w:hAnsi="Arial Narrow"/>
                <w:iCs/>
                <w:snapToGrid w:val="0"/>
                <w:sz w:val="20"/>
                <w:szCs w:val="18"/>
                <w:lang w:eastAsia="en-US"/>
              </w:rPr>
            </w:pPr>
            <w:r w:rsidRPr="00A64859">
              <w:rPr>
                <w:rFonts w:ascii="Arial Narrow" w:hAnsi="Arial Narrow"/>
                <w:iCs/>
                <w:snapToGrid w:val="0"/>
                <w:sz w:val="20"/>
                <w:szCs w:val="18"/>
                <w:lang w:eastAsia="en-US"/>
              </w:rPr>
              <w:t>Defined as ≥1 of 3 risk factors</w:t>
            </w:r>
          </w:p>
        </w:tc>
      </w:tr>
      <w:tr w:rsidR="00700202" w:rsidRPr="00A64859" w:rsidTr="00700202">
        <w:tc>
          <w:tcPr>
            <w:tcW w:w="2500" w:type="pct"/>
            <w:shd w:val="clear" w:color="auto" w:fill="B8CCE4" w:themeFill="accent1" w:themeFillTint="66"/>
            <w:vAlign w:val="center"/>
          </w:tcPr>
          <w:p w:rsidR="00700202" w:rsidRPr="00A64859" w:rsidRDefault="00700202" w:rsidP="000735EA">
            <w:pPr>
              <w:keepNext/>
              <w:widowControl w:val="0"/>
              <w:numPr>
                <w:ilvl w:val="0"/>
                <w:numId w:val="7"/>
              </w:numPr>
              <w:ind w:left="276" w:hanging="161"/>
              <w:jc w:val="left"/>
              <w:rPr>
                <w:rFonts w:ascii="Arial Narrow" w:hAnsi="Arial Narrow"/>
                <w:iCs/>
                <w:snapToGrid w:val="0"/>
                <w:sz w:val="20"/>
                <w:szCs w:val="18"/>
                <w:lang w:eastAsia="en-US"/>
              </w:rPr>
            </w:pPr>
            <w:r w:rsidRPr="00A64859">
              <w:rPr>
                <w:rFonts w:ascii="Arial Narrow" w:hAnsi="Arial Narrow"/>
                <w:iCs/>
                <w:snapToGrid w:val="0"/>
                <w:sz w:val="20"/>
                <w:szCs w:val="20"/>
                <w:lang w:eastAsia="en-US"/>
              </w:rPr>
              <w:t>Age ≥ 65 years</w:t>
            </w:r>
          </w:p>
        </w:tc>
        <w:tc>
          <w:tcPr>
            <w:tcW w:w="2500" w:type="pct"/>
            <w:vAlign w:val="center"/>
          </w:tcPr>
          <w:p w:rsidR="00700202" w:rsidRPr="00A64859" w:rsidRDefault="00700202" w:rsidP="000735EA">
            <w:pPr>
              <w:keepNext/>
              <w:widowControl w:val="0"/>
              <w:numPr>
                <w:ilvl w:val="0"/>
                <w:numId w:val="7"/>
              </w:numPr>
              <w:ind w:left="276" w:hanging="161"/>
              <w:jc w:val="left"/>
              <w:rPr>
                <w:rFonts w:ascii="Arial Narrow" w:hAnsi="Arial Narrow"/>
                <w:iCs/>
                <w:snapToGrid w:val="0"/>
                <w:sz w:val="20"/>
                <w:szCs w:val="18"/>
                <w:lang w:eastAsia="en-US"/>
              </w:rPr>
            </w:pPr>
            <w:r w:rsidRPr="00A64859">
              <w:rPr>
                <w:rFonts w:ascii="Arial Narrow" w:hAnsi="Arial Narrow"/>
                <w:iCs/>
                <w:snapToGrid w:val="0"/>
                <w:sz w:val="20"/>
                <w:szCs w:val="20"/>
                <w:lang w:eastAsia="en-US"/>
              </w:rPr>
              <w:t>Age ≥ 65 years</w:t>
            </w:r>
          </w:p>
        </w:tc>
      </w:tr>
      <w:tr w:rsidR="00700202" w:rsidRPr="00A64859" w:rsidTr="00700202">
        <w:tc>
          <w:tcPr>
            <w:tcW w:w="2500" w:type="pct"/>
            <w:shd w:val="clear" w:color="auto" w:fill="B8CCE4" w:themeFill="accent1" w:themeFillTint="66"/>
            <w:vAlign w:val="center"/>
          </w:tcPr>
          <w:p w:rsidR="00700202" w:rsidRPr="00A64859" w:rsidRDefault="00700202" w:rsidP="000735EA">
            <w:pPr>
              <w:keepNext/>
              <w:widowControl w:val="0"/>
              <w:numPr>
                <w:ilvl w:val="0"/>
                <w:numId w:val="7"/>
              </w:numPr>
              <w:ind w:left="276" w:hanging="161"/>
              <w:jc w:val="left"/>
              <w:rPr>
                <w:rFonts w:ascii="Arial Narrow" w:hAnsi="Arial Narrow"/>
                <w:iCs/>
                <w:snapToGrid w:val="0"/>
                <w:sz w:val="20"/>
                <w:szCs w:val="20"/>
                <w:lang w:eastAsia="en-US"/>
              </w:rPr>
            </w:pPr>
            <w:r w:rsidRPr="00A64859">
              <w:rPr>
                <w:rFonts w:ascii="Arial Narrow" w:hAnsi="Arial Narrow"/>
                <w:iCs/>
                <w:snapToGrid w:val="0"/>
                <w:sz w:val="20"/>
                <w:szCs w:val="20"/>
                <w:lang w:eastAsia="en-US"/>
              </w:rPr>
              <w:t>History of CDI in past 6 months</w:t>
            </w:r>
          </w:p>
        </w:tc>
        <w:tc>
          <w:tcPr>
            <w:tcW w:w="2500" w:type="pct"/>
            <w:vAlign w:val="center"/>
          </w:tcPr>
          <w:p w:rsidR="00700202" w:rsidRPr="00A64859" w:rsidRDefault="00700202" w:rsidP="000735EA">
            <w:pPr>
              <w:keepNext/>
              <w:widowControl w:val="0"/>
              <w:numPr>
                <w:ilvl w:val="0"/>
                <w:numId w:val="7"/>
              </w:numPr>
              <w:ind w:left="276" w:hanging="161"/>
              <w:jc w:val="left"/>
              <w:rPr>
                <w:rFonts w:ascii="Arial Narrow" w:hAnsi="Arial Narrow"/>
                <w:iCs/>
                <w:snapToGrid w:val="0"/>
                <w:sz w:val="20"/>
                <w:szCs w:val="20"/>
                <w:lang w:eastAsia="en-US"/>
              </w:rPr>
            </w:pPr>
            <w:r w:rsidRPr="00A64859">
              <w:rPr>
                <w:rFonts w:ascii="Arial Narrow" w:hAnsi="Arial Narrow"/>
                <w:iCs/>
                <w:snapToGrid w:val="0"/>
                <w:sz w:val="20"/>
                <w:szCs w:val="20"/>
                <w:lang w:eastAsia="en-US"/>
              </w:rPr>
              <w:t>History of CDI in past 6 months</w:t>
            </w:r>
          </w:p>
        </w:tc>
      </w:tr>
      <w:tr w:rsidR="00700202" w:rsidRPr="00A64859" w:rsidTr="00BA2E6E">
        <w:tc>
          <w:tcPr>
            <w:tcW w:w="2500" w:type="pct"/>
            <w:shd w:val="clear" w:color="auto" w:fill="B8CCE4" w:themeFill="accent1" w:themeFillTint="66"/>
          </w:tcPr>
          <w:p w:rsidR="00700202" w:rsidRPr="00A64859" w:rsidRDefault="00700202" w:rsidP="00BA2E6E">
            <w:pPr>
              <w:keepNext/>
              <w:widowControl w:val="0"/>
              <w:numPr>
                <w:ilvl w:val="0"/>
                <w:numId w:val="7"/>
              </w:numPr>
              <w:tabs>
                <w:tab w:val="left" w:pos="1671"/>
              </w:tabs>
              <w:ind w:left="254" w:hanging="183"/>
              <w:jc w:val="left"/>
              <w:rPr>
                <w:rFonts w:ascii="Arial Narrow" w:hAnsi="Arial Narrow"/>
                <w:iCs/>
                <w:snapToGrid w:val="0"/>
                <w:sz w:val="20"/>
                <w:szCs w:val="18"/>
                <w:lang w:eastAsia="en-US"/>
              </w:rPr>
            </w:pPr>
            <w:r w:rsidRPr="00A64859">
              <w:rPr>
                <w:rFonts w:ascii="Arial Narrow" w:hAnsi="Arial Narrow"/>
                <w:iCs/>
                <w:snapToGrid w:val="0"/>
                <w:sz w:val="20"/>
                <w:szCs w:val="20"/>
                <w:lang w:eastAsia="en-US"/>
              </w:rPr>
              <w:t>Immunocompromised</w:t>
            </w:r>
            <w:r w:rsidRPr="00A64859">
              <w:rPr>
                <w:rFonts w:ascii="Arial Narrow" w:hAnsi="Arial Narrow"/>
                <w:iCs/>
                <w:snapToGrid w:val="0"/>
                <w:sz w:val="20"/>
                <w:szCs w:val="20"/>
                <w:vertAlign w:val="superscript"/>
                <w:lang w:eastAsia="en-US"/>
              </w:rPr>
              <w:t>a</w:t>
            </w:r>
          </w:p>
        </w:tc>
        <w:tc>
          <w:tcPr>
            <w:tcW w:w="2500" w:type="pct"/>
            <w:vAlign w:val="center"/>
          </w:tcPr>
          <w:p w:rsidR="00700202" w:rsidRPr="00A64859" w:rsidRDefault="00700202" w:rsidP="000735EA">
            <w:pPr>
              <w:keepNext/>
              <w:widowControl w:val="0"/>
              <w:numPr>
                <w:ilvl w:val="0"/>
                <w:numId w:val="7"/>
              </w:numPr>
              <w:tabs>
                <w:tab w:val="left" w:pos="1671"/>
              </w:tabs>
              <w:ind w:left="254" w:hanging="183"/>
              <w:jc w:val="left"/>
              <w:rPr>
                <w:rFonts w:ascii="Arial Narrow" w:hAnsi="Arial Narrow"/>
                <w:iCs/>
                <w:snapToGrid w:val="0"/>
                <w:sz w:val="20"/>
                <w:szCs w:val="18"/>
                <w:lang w:eastAsia="en-US"/>
              </w:rPr>
            </w:pPr>
            <w:r w:rsidRPr="00A64859">
              <w:rPr>
                <w:rFonts w:ascii="Arial Narrow" w:hAnsi="Arial Narrow"/>
                <w:iCs/>
                <w:snapToGrid w:val="0"/>
                <w:sz w:val="20"/>
                <w:szCs w:val="18"/>
                <w:lang w:eastAsia="en-US"/>
              </w:rPr>
              <w:t>Immunocompromised due to history of haematopoietic stem cell or solid organ transplant</w:t>
            </w:r>
          </w:p>
        </w:tc>
      </w:tr>
      <w:tr w:rsidR="00700202" w:rsidRPr="00A64859" w:rsidTr="00700202">
        <w:tc>
          <w:tcPr>
            <w:tcW w:w="2500" w:type="pct"/>
            <w:shd w:val="clear" w:color="auto" w:fill="B8CCE4" w:themeFill="accent1" w:themeFillTint="66"/>
            <w:vAlign w:val="center"/>
          </w:tcPr>
          <w:p w:rsidR="00700202" w:rsidRPr="00A64859" w:rsidRDefault="00700202" w:rsidP="000735EA">
            <w:pPr>
              <w:keepNext/>
              <w:widowControl w:val="0"/>
              <w:numPr>
                <w:ilvl w:val="0"/>
                <w:numId w:val="7"/>
              </w:numPr>
              <w:tabs>
                <w:tab w:val="left" w:pos="1671"/>
              </w:tabs>
              <w:ind w:left="254" w:hanging="183"/>
              <w:jc w:val="left"/>
              <w:rPr>
                <w:rFonts w:ascii="Arial Narrow" w:hAnsi="Arial Narrow"/>
                <w:iCs/>
                <w:snapToGrid w:val="0"/>
                <w:sz w:val="20"/>
                <w:szCs w:val="18"/>
                <w:lang w:eastAsia="en-US"/>
              </w:rPr>
            </w:pPr>
            <w:r w:rsidRPr="00A64859">
              <w:rPr>
                <w:rFonts w:ascii="Arial Narrow" w:hAnsi="Arial Narrow"/>
                <w:iCs/>
                <w:snapToGrid w:val="0"/>
                <w:sz w:val="20"/>
                <w:szCs w:val="20"/>
                <w:lang w:eastAsia="en-US"/>
              </w:rPr>
              <w:t>Clinically</w:t>
            </w:r>
            <w:r w:rsidRPr="00A64859">
              <w:rPr>
                <w:rFonts w:ascii="Arial Narrow" w:hAnsi="Arial Narrow"/>
                <w:iCs/>
                <w:snapToGrid w:val="0"/>
                <w:sz w:val="20"/>
                <w:szCs w:val="18"/>
                <w:lang w:eastAsia="en-US"/>
              </w:rPr>
              <w:t xml:space="preserve"> </w:t>
            </w:r>
            <w:r w:rsidRPr="00A64859">
              <w:rPr>
                <w:rFonts w:ascii="Arial Narrow" w:hAnsi="Arial Narrow"/>
                <w:iCs/>
                <w:snapToGrid w:val="0"/>
                <w:sz w:val="20"/>
                <w:szCs w:val="20"/>
                <w:lang w:eastAsia="en-US"/>
              </w:rPr>
              <w:t>severe</w:t>
            </w:r>
            <w:r w:rsidRPr="00A64859">
              <w:rPr>
                <w:rFonts w:ascii="Arial Narrow" w:hAnsi="Arial Narrow"/>
                <w:iCs/>
                <w:snapToGrid w:val="0"/>
                <w:sz w:val="20"/>
                <w:szCs w:val="18"/>
                <w:lang w:eastAsia="en-US"/>
              </w:rPr>
              <w:t xml:space="preserve"> CDI</w:t>
            </w:r>
            <w:r w:rsidRPr="00A64859">
              <w:rPr>
                <w:rFonts w:ascii="Arial Narrow" w:hAnsi="Arial Narrow"/>
                <w:iCs/>
                <w:snapToGrid w:val="0"/>
                <w:sz w:val="20"/>
                <w:szCs w:val="18"/>
                <w:vertAlign w:val="superscript"/>
                <w:lang w:eastAsia="en-US"/>
              </w:rPr>
              <w:t>b</w:t>
            </w:r>
          </w:p>
        </w:tc>
        <w:tc>
          <w:tcPr>
            <w:tcW w:w="2500" w:type="pct"/>
            <w:vAlign w:val="center"/>
          </w:tcPr>
          <w:p w:rsidR="00700202" w:rsidRPr="00A64859" w:rsidRDefault="00700202" w:rsidP="00B001B1">
            <w:pPr>
              <w:keepNext/>
              <w:widowControl w:val="0"/>
              <w:tabs>
                <w:tab w:val="left" w:pos="1671"/>
              </w:tabs>
              <w:jc w:val="left"/>
              <w:rPr>
                <w:rFonts w:ascii="Arial Narrow" w:hAnsi="Arial Narrow"/>
                <w:iCs/>
                <w:snapToGrid w:val="0"/>
                <w:sz w:val="20"/>
                <w:szCs w:val="18"/>
                <w:lang w:eastAsia="en-US"/>
              </w:rPr>
            </w:pPr>
          </w:p>
        </w:tc>
      </w:tr>
    </w:tbl>
    <w:p w:rsidR="008C7143" w:rsidRPr="00F05854" w:rsidRDefault="008C7143" w:rsidP="00B001B1">
      <w:pPr>
        <w:keepNext/>
        <w:widowControl w:val="0"/>
        <w:rPr>
          <w:rFonts w:ascii="Arial Narrow" w:hAnsi="Arial Narrow"/>
          <w:snapToGrid w:val="0"/>
          <w:sz w:val="18"/>
          <w:szCs w:val="22"/>
          <w:lang w:eastAsia="en-US"/>
        </w:rPr>
      </w:pPr>
      <w:r w:rsidRPr="00A64859">
        <w:rPr>
          <w:rFonts w:ascii="Arial Narrow" w:hAnsi="Arial Narrow"/>
          <w:snapToGrid w:val="0"/>
          <w:sz w:val="18"/>
          <w:szCs w:val="22"/>
          <w:shd w:val="clear" w:color="auto" w:fill="B8CCE4" w:themeFill="accent1" w:themeFillTint="66"/>
          <w:lang w:eastAsia="en-US"/>
        </w:rPr>
        <w:t>Shaded</w:t>
      </w:r>
      <w:r w:rsidRPr="00A64859">
        <w:rPr>
          <w:rFonts w:ascii="Arial Narrow" w:hAnsi="Arial Narrow"/>
          <w:snapToGrid w:val="0"/>
          <w:sz w:val="18"/>
          <w:szCs w:val="22"/>
          <w:lang w:eastAsia="en-US"/>
        </w:rPr>
        <w:t xml:space="preserve"> areas indicate </w:t>
      </w:r>
      <w:r w:rsidR="0051222A">
        <w:rPr>
          <w:rFonts w:ascii="Arial Narrow" w:hAnsi="Arial Narrow"/>
          <w:snapToGrid w:val="0"/>
          <w:sz w:val="18"/>
          <w:szCs w:val="22"/>
          <w:lang w:eastAsia="en-US"/>
        </w:rPr>
        <w:t xml:space="preserve">information </w:t>
      </w:r>
      <w:r w:rsidRPr="00A64859">
        <w:rPr>
          <w:rFonts w:ascii="Arial Narrow" w:hAnsi="Arial Narrow"/>
          <w:snapToGrid w:val="0"/>
          <w:sz w:val="18"/>
          <w:szCs w:val="22"/>
          <w:lang w:eastAsia="en-US"/>
        </w:rPr>
        <w:t>previously seen by the PBAC</w:t>
      </w:r>
    </w:p>
    <w:p w:rsidR="008C7143" w:rsidRPr="00A64859" w:rsidRDefault="008C7143" w:rsidP="00B001B1">
      <w:pPr>
        <w:keepNext/>
        <w:widowControl w:val="0"/>
        <w:rPr>
          <w:rFonts w:ascii="Arial Narrow" w:hAnsi="Arial Narrow"/>
          <w:snapToGrid w:val="0"/>
          <w:sz w:val="18"/>
          <w:szCs w:val="22"/>
          <w:lang w:val="fr-FR" w:eastAsia="en-US"/>
        </w:rPr>
      </w:pPr>
      <w:r w:rsidRPr="00F05854">
        <w:rPr>
          <w:rFonts w:ascii="Arial Narrow" w:hAnsi="Arial Narrow"/>
          <w:snapToGrid w:val="0"/>
          <w:sz w:val="18"/>
          <w:szCs w:val="22"/>
          <w:lang w:eastAsia="en-US"/>
        </w:rPr>
        <w:t>Abbreviations</w:t>
      </w:r>
      <w:r w:rsidRPr="00A64859">
        <w:rPr>
          <w:rFonts w:ascii="Arial Narrow" w:hAnsi="Arial Narrow"/>
          <w:snapToGrid w:val="0"/>
          <w:sz w:val="18"/>
          <w:szCs w:val="22"/>
          <w:lang w:val="fr-FR" w:eastAsia="en-US"/>
        </w:rPr>
        <w:t xml:space="preserve">: CDI=clostridium difficile infection. </w:t>
      </w:r>
    </w:p>
    <w:p w:rsidR="008C7143" w:rsidRPr="00A64859" w:rsidRDefault="008C7143" w:rsidP="00B001B1">
      <w:pPr>
        <w:keepNext/>
        <w:widowControl w:val="0"/>
        <w:tabs>
          <w:tab w:val="left" w:pos="142"/>
        </w:tabs>
        <w:rPr>
          <w:rFonts w:ascii="Arial Narrow" w:hAnsi="Arial Narrow"/>
          <w:iCs/>
          <w:snapToGrid w:val="0"/>
          <w:sz w:val="18"/>
          <w:szCs w:val="18"/>
          <w:lang w:eastAsia="en-US"/>
        </w:rPr>
      </w:pPr>
      <w:r w:rsidRPr="00A64859">
        <w:rPr>
          <w:rFonts w:ascii="Arial Narrow" w:hAnsi="Arial Narrow"/>
          <w:iCs/>
          <w:snapToGrid w:val="0"/>
          <w:sz w:val="18"/>
          <w:szCs w:val="18"/>
          <w:vertAlign w:val="superscript"/>
          <w:lang w:eastAsia="en-US"/>
        </w:rPr>
        <w:t>a</w:t>
      </w:r>
      <w:r w:rsidRPr="00A64859">
        <w:rPr>
          <w:rFonts w:ascii="Arial Narrow" w:hAnsi="Arial Narrow"/>
          <w:iCs/>
          <w:snapToGrid w:val="0"/>
          <w:sz w:val="18"/>
          <w:szCs w:val="18"/>
          <w:lang w:eastAsia="en-US"/>
        </w:rPr>
        <w:tab/>
        <w:t>Patients with compromised immunity, including patients receiving immunosuppressive therapy or with an illness associated with immunosuppression.</w:t>
      </w:r>
    </w:p>
    <w:p w:rsidR="008C7143" w:rsidRPr="00A64859" w:rsidRDefault="008C7143" w:rsidP="00B001B1">
      <w:pPr>
        <w:keepNext/>
        <w:widowControl w:val="0"/>
        <w:tabs>
          <w:tab w:val="left" w:pos="142"/>
        </w:tabs>
        <w:rPr>
          <w:rFonts w:ascii="Arial Narrow" w:hAnsi="Arial Narrow"/>
          <w:iCs/>
          <w:snapToGrid w:val="0"/>
          <w:sz w:val="18"/>
          <w:szCs w:val="18"/>
          <w:lang w:eastAsia="en-US"/>
        </w:rPr>
      </w:pPr>
      <w:r w:rsidRPr="00A64859">
        <w:rPr>
          <w:rFonts w:ascii="Arial Narrow" w:hAnsi="Arial Narrow"/>
          <w:iCs/>
          <w:snapToGrid w:val="0"/>
          <w:sz w:val="18"/>
          <w:szCs w:val="18"/>
          <w:vertAlign w:val="superscript"/>
          <w:lang w:eastAsia="en-US"/>
        </w:rPr>
        <w:t>b</w:t>
      </w:r>
      <w:r w:rsidRPr="00A64859">
        <w:rPr>
          <w:rFonts w:ascii="Arial Narrow" w:hAnsi="Arial Narrow"/>
          <w:iCs/>
          <w:snapToGrid w:val="0"/>
          <w:sz w:val="18"/>
          <w:szCs w:val="18"/>
          <w:lang w:eastAsia="en-US"/>
        </w:rPr>
        <w:tab/>
        <w:t>Severe infection defined as a ZAR score of 2 or higher.</w:t>
      </w:r>
    </w:p>
    <w:p w:rsidR="008C7143" w:rsidRPr="00A64859" w:rsidRDefault="008C7143" w:rsidP="00B001B1">
      <w:pPr>
        <w:keepNext/>
        <w:widowControl w:val="0"/>
        <w:tabs>
          <w:tab w:val="left" w:pos="142"/>
        </w:tabs>
        <w:rPr>
          <w:rFonts w:ascii="Arial Narrow" w:hAnsi="Arial Narrow"/>
          <w:iCs/>
          <w:snapToGrid w:val="0"/>
          <w:sz w:val="18"/>
          <w:szCs w:val="18"/>
          <w:lang w:eastAsia="en-US"/>
        </w:rPr>
      </w:pPr>
      <w:r w:rsidRPr="00A64859">
        <w:rPr>
          <w:rFonts w:ascii="Arial Narrow" w:hAnsi="Arial Narrow"/>
          <w:iCs/>
          <w:snapToGrid w:val="0"/>
          <w:sz w:val="18"/>
          <w:szCs w:val="18"/>
          <w:lang w:eastAsia="en-US"/>
        </w:rPr>
        <w:t>Source: Table 1.4.3 of July 2019 resubmission and constructed during the evaluation.</w:t>
      </w:r>
    </w:p>
    <w:p w:rsidR="008C7143" w:rsidRPr="00160CC9" w:rsidRDefault="008C7143" w:rsidP="008C7143">
      <w:pPr>
        <w:pStyle w:val="3-BodyText"/>
        <w:numPr>
          <w:ilvl w:val="0"/>
          <w:numId w:val="0"/>
        </w:numPr>
        <w:rPr>
          <w:i/>
          <w:iCs/>
        </w:rPr>
      </w:pPr>
    </w:p>
    <w:p w:rsidR="008C7143" w:rsidRPr="008D3807" w:rsidRDefault="00EA4742" w:rsidP="00006346">
      <w:pPr>
        <w:pStyle w:val="3-BodyText"/>
        <w:numPr>
          <w:ilvl w:val="1"/>
          <w:numId w:val="5"/>
        </w:numPr>
        <w:rPr>
          <w:i/>
          <w:iCs/>
        </w:rPr>
      </w:pPr>
      <w:r>
        <w:t>E</w:t>
      </w:r>
      <w:r w:rsidR="00DC4A51">
        <w:t>xtend</w:t>
      </w:r>
      <w:r>
        <w:t>ing PBS</w:t>
      </w:r>
      <w:r w:rsidR="00DC4A51">
        <w:t xml:space="preserve"> listing to </w:t>
      </w:r>
      <w:r>
        <w:t xml:space="preserve">transplant patients </w:t>
      </w:r>
      <w:r w:rsidR="00DC4A51">
        <w:t>was based on the following (</w:t>
      </w:r>
      <w:r w:rsidR="00DC4A51" w:rsidRPr="00670FAF">
        <w:t>see Table 4 for supporting evidence</w:t>
      </w:r>
      <w:r w:rsidR="00DC4A51">
        <w:t>):</w:t>
      </w:r>
    </w:p>
    <w:p w:rsidR="008C7143" w:rsidRPr="00160CC9" w:rsidRDefault="008C7143" w:rsidP="000735EA">
      <w:pPr>
        <w:pStyle w:val="3-BodyText"/>
        <w:numPr>
          <w:ilvl w:val="1"/>
          <w:numId w:val="13"/>
        </w:numPr>
        <w:ind w:left="1134" w:hanging="425"/>
        <w:rPr>
          <w:i/>
          <w:iCs/>
        </w:rPr>
      </w:pPr>
      <w:r>
        <w:t>Patients with HSCT</w:t>
      </w:r>
      <w:r w:rsidR="00B45CF0">
        <w:t xml:space="preserve"> or </w:t>
      </w:r>
      <w:r>
        <w:t>SOT experience high rates of CDI and risk of recurrence;</w:t>
      </w:r>
    </w:p>
    <w:p w:rsidR="008C7143" w:rsidRPr="00160CC9" w:rsidRDefault="008C7143" w:rsidP="000735EA">
      <w:pPr>
        <w:pStyle w:val="3-BodyText"/>
        <w:numPr>
          <w:ilvl w:val="1"/>
          <w:numId w:val="13"/>
        </w:numPr>
        <w:ind w:left="1134" w:hanging="425"/>
        <w:rPr>
          <w:i/>
          <w:iCs/>
        </w:rPr>
      </w:pPr>
      <w:r w:rsidRPr="00794737">
        <w:t>A high proportion of patients with HSCT or SOT will be ineligible for treatment under the eligibility criteria proposed by the PBAC;</w:t>
      </w:r>
    </w:p>
    <w:p w:rsidR="008C7143" w:rsidRPr="003A227C" w:rsidRDefault="008C7143" w:rsidP="000735EA">
      <w:pPr>
        <w:pStyle w:val="3-BodyText"/>
        <w:numPr>
          <w:ilvl w:val="1"/>
          <w:numId w:val="13"/>
        </w:numPr>
        <w:ind w:left="1134" w:hanging="425"/>
      </w:pPr>
      <w:r w:rsidRPr="00794737">
        <w:t>Patients with HSCT or SOT have fewer alternative therapies</w:t>
      </w:r>
      <w:r w:rsidR="003A227C">
        <w:t xml:space="preserve"> because they may not be suitable for </w:t>
      </w:r>
      <w:r w:rsidR="003A227C" w:rsidRPr="003A227C">
        <w:t>faecal microbiota transplant</w:t>
      </w:r>
      <w:r w:rsidRPr="00794737">
        <w:t>;</w:t>
      </w:r>
      <w:r w:rsidR="00700202">
        <w:t xml:space="preserve"> and</w:t>
      </w:r>
    </w:p>
    <w:p w:rsidR="008C7143" w:rsidRPr="00DC4A51" w:rsidRDefault="008C7143" w:rsidP="000735EA">
      <w:pPr>
        <w:pStyle w:val="3-BodyText"/>
        <w:numPr>
          <w:ilvl w:val="1"/>
          <w:numId w:val="13"/>
        </w:numPr>
        <w:ind w:left="1134" w:hanging="425"/>
        <w:rPr>
          <w:i/>
          <w:iCs/>
        </w:rPr>
      </w:pPr>
      <w:r w:rsidRPr="00794737">
        <w:t>The financial impact of extending listing to patients with HSCT or SOT is limited</w:t>
      </w:r>
      <w:r w:rsidR="003A227C">
        <w:t xml:space="preserve">, </w:t>
      </w:r>
      <w:r w:rsidR="003A227C" w:rsidRPr="00DC4A51">
        <w:t>corresponding to approximately 600 patients per year</w:t>
      </w:r>
      <w:r w:rsidRPr="00DC4A51">
        <w:t>.</w:t>
      </w:r>
    </w:p>
    <w:p w:rsidR="008C7143" w:rsidRPr="009135C9" w:rsidRDefault="008C7143" w:rsidP="00F84C93">
      <w:pPr>
        <w:keepNext/>
        <w:rPr>
          <w:rFonts w:ascii="Arial Narrow" w:hAnsi="Arial Narrow"/>
          <w:b/>
          <w:sz w:val="20"/>
          <w:szCs w:val="20"/>
        </w:rPr>
      </w:pPr>
      <w:r w:rsidRPr="00DC4A51">
        <w:rPr>
          <w:rFonts w:ascii="Arial Narrow" w:hAnsi="Arial Narrow"/>
          <w:b/>
          <w:sz w:val="20"/>
          <w:szCs w:val="20"/>
        </w:rPr>
        <w:lastRenderedPageBreak/>
        <w:t xml:space="preserve">Table 4: </w:t>
      </w:r>
      <w:r w:rsidR="00854969">
        <w:rPr>
          <w:rFonts w:ascii="Arial Narrow" w:hAnsi="Arial Narrow"/>
          <w:b/>
          <w:sz w:val="20"/>
          <w:szCs w:val="20"/>
        </w:rPr>
        <w:t>K</w:t>
      </w:r>
      <w:r w:rsidRPr="00DC4A51">
        <w:rPr>
          <w:rFonts w:ascii="Arial Narrow" w:hAnsi="Arial Narrow"/>
          <w:b/>
          <w:sz w:val="20"/>
          <w:szCs w:val="20"/>
        </w:rPr>
        <w:t>ey arguments and supportive</w:t>
      </w:r>
      <w:r w:rsidRPr="009135C9">
        <w:rPr>
          <w:rFonts w:ascii="Arial Narrow" w:hAnsi="Arial Narrow"/>
          <w:b/>
          <w:sz w:val="20"/>
          <w:szCs w:val="20"/>
        </w:rPr>
        <w:t xml:space="preserve"> evidence presented in the resubmission for extending listing to immunocompromised patients with HSCT or SOT</w:t>
      </w:r>
    </w:p>
    <w:tbl>
      <w:tblPr>
        <w:tblStyle w:val="TableGrid"/>
        <w:tblW w:w="0" w:type="auto"/>
        <w:tblCellMar>
          <w:left w:w="28" w:type="dxa"/>
          <w:right w:w="28" w:type="dxa"/>
        </w:tblCellMar>
        <w:tblLook w:val="04A0" w:firstRow="1" w:lastRow="0" w:firstColumn="1" w:lastColumn="0" w:noHBand="0" w:noVBand="1"/>
        <w:tblCaption w:val="Table 4: Key arguments and supportive evidence presented in the resubmission for extending listing to immunocompromised patients with HSCT or SOT"/>
      </w:tblPr>
      <w:tblGrid>
        <w:gridCol w:w="2122"/>
        <w:gridCol w:w="6895"/>
      </w:tblGrid>
      <w:tr w:rsidR="008C7143" w:rsidRPr="009135C9" w:rsidTr="00D87ED5">
        <w:tc>
          <w:tcPr>
            <w:tcW w:w="2122" w:type="dxa"/>
          </w:tcPr>
          <w:p w:rsidR="008C7143" w:rsidRPr="009135C9" w:rsidRDefault="008C7143" w:rsidP="00F84C93">
            <w:pPr>
              <w:keepNext/>
              <w:rPr>
                <w:rFonts w:ascii="Arial Narrow" w:hAnsi="Arial Narrow"/>
                <w:bCs/>
                <w:sz w:val="20"/>
                <w:szCs w:val="20"/>
              </w:rPr>
            </w:pPr>
            <w:r w:rsidRPr="009135C9">
              <w:rPr>
                <w:rFonts w:ascii="Arial Narrow" w:hAnsi="Arial Narrow"/>
                <w:bCs/>
                <w:sz w:val="20"/>
                <w:szCs w:val="20"/>
              </w:rPr>
              <w:t>Patients with HSCT or SOT experience high rates of CDI and risk of recurrence</w:t>
            </w:r>
          </w:p>
        </w:tc>
        <w:tc>
          <w:tcPr>
            <w:tcW w:w="6895" w:type="dxa"/>
          </w:tcPr>
          <w:p w:rsidR="008C7143" w:rsidRPr="009135C9" w:rsidRDefault="008C7143" w:rsidP="000735EA">
            <w:pPr>
              <w:keepNext/>
              <w:numPr>
                <w:ilvl w:val="0"/>
                <w:numId w:val="11"/>
              </w:numPr>
              <w:spacing w:after="120"/>
              <w:ind w:left="256" w:hanging="181"/>
              <w:rPr>
                <w:rFonts w:ascii="Arial Narrow" w:hAnsi="Arial Narrow"/>
                <w:bCs/>
                <w:snapToGrid w:val="0"/>
                <w:sz w:val="20"/>
                <w:szCs w:val="20"/>
              </w:rPr>
            </w:pPr>
            <w:r w:rsidRPr="009135C9">
              <w:rPr>
                <w:rFonts w:ascii="Arial Narrow" w:hAnsi="Arial Narrow"/>
                <w:bCs/>
                <w:snapToGrid w:val="0"/>
                <w:sz w:val="20"/>
                <w:szCs w:val="20"/>
              </w:rPr>
              <w:t>A prospective study (Schuster et al 2017) of HSCT recipients in four US transplant centres from 2006-2011 (N=444) found that CDI was the most common bacterial pathogen causing infection.  Approximately 33% of patients developed a CDI, of which 74% had a single episode and 26% developed recurrent CDI.  Approximately 63% of patients who developed CDI died during the follow-up period compared to 47% without CDI infection.</w:t>
            </w:r>
          </w:p>
          <w:p w:rsidR="008C7143" w:rsidRPr="009135C9" w:rsidRDefault="008C7143" w:rsidP="000735EA">
            <w:pPr>
              <w:keepNext/>
              <w:numPr>
                <w:ilvl w:val="0"/>
                <w:numId w:val="11"/>
              </w:numPr>
              <w:spacing w:after="120"/>
              <w:ind w:left="256" w:hanging="181"/>
              <w:rPr>
                <w:rFonts w:ascii="Arial Narrow" w:hAnsi="Arial Narrow"/>
                <w:bCs/>
                <w:snapToGrid w:val="0"/>
                <w:sz w:val="20"/>
                <w:szCs w:val="20"/>
              </w:rPr>
            </w:pPr>
            <w:r w:rsidRPr="009135C9">
              <w:rPr>
                <w:rFonts w:ascii="Arial Narrow" w:hAnsi="Arial Narrow"/>
                <w:bCs/>
                <w:snapToGrid w:val="0"/>
                <w:sz w:val="20"/>
                <w:szCs w:val="20"/>
              </w:rPr>
              <w:t>A retrospective review (Ilett et al 2019) of HSCT (N=573) and SOT (N=1114) recipients in Denmark from 2010-2017 found that that 20% of HSCT recipients and 15% of SOT recipients developed CDI post-transplant.  The highest rates of CDI occur in the first month post-transplant, and was more common in those undergoing liver and lung compared to kidney and heart transplants.</w:t>
            </w:r>
          </w:p>
          <w:p w:rsidR="008C7143" w:rsidRPr="009135C9" w:rsidRDefault="008C7143" w:rsidP="000735EA">
            <w:pPr>
              <w:keepNext/>
              <w:numPr>
                <w:ilvl w:val="0"/>
                <w:numId w:val="11"/>
              </w:numPr>
              <w:spacing w:after="120"/>
              <w:ind w:left="256" w:hanging="181"/>
              <w:rPr>
                <w:rFonts w:ascii="Arial Narrow" w:hAnsi="Arial Narrow"/>
                <w:bCs/>
                <w:snapToGrid w:val="0"/>
                <w:sz w:val="20"/>
                <w:szCs w:val="20"/>
              </w:rPr>
            </w:pPr>
            <w:r w:rsidRPr="009135C9">
              <w:rPr>
                <w:rFonts w:ascii="Arial Narrow" w:hAnsi="Arial Narrow"/>
                <w:bCs/>
                <w:snapToGrid w:val="0"/>
                <w:sz w:val="20"/>
                <w:szCs w:val="20"/>
              </w:rPr>
              <w:t>A meta-analysis (Paudel et al 2015) of 30 studies (N=21,683) from 1991-2014 reported a CDI prevalence rate of 7.4% among SOT patients from the time of transplant to first discharge from hospital, ranging from 3.2% for pancreas transplants to 10.8% for lung transplants.  The reported CDI recurrence rate based on 15 studies was estimated to be 19.7%.</w:t>
            </w:r>
          </w:p>
        </w:tc>
      </w:tr>
      <w:tr w:rsidR="001114EB" w:rsidRPr="009135C9" w:rsidTr="00D87ED5">
        <w:tc>
          <w:tcPr>
            <w:tcW w:w="2122" w:type="dxa"/>
          </w:tcPr>
          <w:p w:rsidR="001114EB" w:rsidRPr="009135C9" w:rsidRDefault="001114EB" w:rsidP="00F84C93">
            <w:pPr>
              <w:keepNext/>
              <w:rPr>
                <w:rFonts w:ascii="Arial Narrow" w:hAnsi="Arial Narrow"/>
                <w:bCs/>
                <w:sz w:val="20"/>
                <w:szCs w:val="20"/>
              </w:rPr>
            </w:pPr>
            <w:r w:rsidRPr="009135C9">
              <w:rPr>
                <w:rFonts w:ascii="Arial Narrow" w:hAnsi="Arial Narrow"/>
                <w:bCs/>
                <w:sz w:val="20"/>
                <w:szCs w:val="20"/>
              </w:rPr>
              <w:t>A high proportion of patients with HSCT or SOT will be ineligible for treatment under the eligibility criteria proposed by the PBAC.</w:t>
            </w:r>
          </w:p>
        </w:tc>
        <w:tc>
          <w:tcPr>
            <w:tcW w:w="6895" w:type="dxa"/>
          </w:tcPr>
          <w:p w:rsidR="001114EB" w:rsidRPr="00CE222C" w:rsidRDefault="001114EB" w:rsidP="000735EA">
            <w:pPr>
              <w:pStyle w:val="ListParagraph"/>
              <w:keepNext/>
              <w:numPr>
                <w:ilvl w:val="0"/>
                <w:numId w:val="11"/>
              </w:numPr>
              <w:ind w:left="256" w:hanging="181"/>
              <w:rPr>
                <w:rFonts w:ascii="Arial Narrow" w:hAnsi="Arial Narrow"/>
                <w:bCs/>
                <w:sz w:val="20"/>
                <w:szCs w:val="20"/>
              </w:rPr>
            </w:pPr>
            <w:r w:rsidRPr="00CE222C">
              <w:rPr>
                <w:rFonts w:ascii="Arial Narrow" w:hAnsi="Arial Narrow"/>
                <w:bCs/>
                <w:sz w:val="20"/>
                <w:szCs w:val="20"/>
              </w:rPr>
              <w:t>Data from the Australasian Bone Marro</w:t>
            </w:r>
            <w:r>
              <w:rPr>
                <w:rFonts w:ascii="Arial Narrow" w:hAnsi="Arial Narrow"/>
                <w:bCs/>
                <w:sz w:val="20"/>
                <w:szCs w:val="20"/>
              </w:rPr>
              <w:t>w Transplant Recipient Registry</w:t>
            </w:r>
            <w:r w:rsidRPr="00CE222C">
              <w:rPr>
                <w:rFonts w:ascii="Arial Narrow" w:hAnsi="Arial Narrow"/>
                <w:bCs/>
                <w:sz w:val="20"/>
                <w:szCs w:val="20"/>
              </w:rPr>
              <w:t xml:space="preserve"> indicated 77-80% of HSCT recipients in 2015-2017 were &lt; 65 years of age.  </w:t>
            </w:r>
          </w:p>
          <w:p w:rsidR="001114EB" w:rsidRPr="009135C9" w:rsidRDefault="001114EB" w:rsidP="000735EA">
            <w:pPr>
              <w:keepNext/>
              <w:numPr>
                <w:ilvl w:val="0"/>
                <w:numId w:val="11"/>
              </w:numPr>
              <w:spacing w:after="120"/>
              <w:ind w:left="256" w:hanging="181"/>
              <w:rPr>
                <w:rFonts w:ascii="Arial Narrow" w:hAnsi="Arial Narrow"/>
                <w:bCs/>
                <w:snapToGrid w:val="0"/>
                <w:sz w:val="20"/>
                <w:szCs w:val="20"/>
              </w:rPr>
            </w:pPr>
            <w:r w:rsidRPr="00CE222C">
              <w:rPr>
                <w:rFonts w:ascii="Arial Narrow" w:hAnsi="Arial Narrow"/>
                <w:bCs/>
                <w:sz w:val="20"/>
                <w:szCs w:val="20"/>
              </w:rPr>
              <w:t>The median age was 52-53 years in the retrospective review of HSCT and SOT patients in Denmark (Ilett et al 2019) and prospective study of HSCT recipients in US transplant centres (Schuster et al 2017).</w:t>
            </w:r>
          </w:p>
        </w:tc>
      </w:tr>
      <w:tr w:rsidR="001114EB" w:rsidRPr="009135C9" w:rsidTr="00D87ED5">
        <w:tc>
          <w:tcPr>
            <w:tcW w:w="2122" w:type="dxa"/>
          </w:tcPr>
          <w:p w:rsidR="001114EB" w:rsidRPr="009135C9" w:rsidRDefault="001114EB" w:rsidP="00F84C93">
            <w:pPr>
              <w:keepNext/>
              <w:rPr>
                <w:rFonts w:ascii="Arial Narrow" w:hAnsi="Arial Narrow"/>
                <w:bCs/>
                <w:sz w:val="20"/>
                <w:szCs w:val="20"/>
              </w:rPr>
            </w:pPr>
            <w:r w:rsidRPr="009135C9">
              <w:rPr>
                <w:rFonts w:ascii="Arial Narrow" w:hAnsi="Arial Narrow"/>
                <w:bCs/>
                <w:sz w:val="20"/>
                <w:szCs w:val="20"/>
              </w:rPr>
              <w:t>Patients with HSCT or SOT have fewer alternative therapies.</w:t>
            </w:r>
          </w:p>
        </w:tc>
        <w:tc>
          <w:tcPr>
            <w:tcW w:w="6895" w:type="dxa"/>
          </w:tcPr>
          <w:p w:rsidR="001114EB" w:rsidRPr="009135C9" w:rsidRDefault="001114EB" w:rsidP="000735EA">
            <w:pPr>
              <w:keepNext/>
              <w:numPr>
                <w:ilvl w:val="0"/>
                <w:numId w:val="11"/>
              </w:numPr>
              <w:spacing w:after="120"/>
              <w:ind w:left="256" w:hanging="181"/>
              <w:rPr>
                <w:rFonts w:ascii="Arial Narrow" w:hAnsi="Arial Narrow"/>
                <w:bCs/>
                <w:snapToGrid w:val="0"/>
                <w:sz w:val="20"/>
                <w:szCs w:val="20"/>
              </w:rPr>
            </w:pPr>
            <w:r w:rsidRPr="007557BC">
              <w:rPr>
                <w:rFonts w:ascii="Arial Narrow" w:hAnsi="Arial Narrow"/>
                <w:bCs/>
                <w:sz w:val="20"/>
                <w:szCs w:val="20"/>
              </w:rPr>
              <w:t>New therapies emerging for the treatment of CDI such as f</w:t>
            </w:r>
            <w:r w:rsidR="003A227C">
              <w:rPr>
                <w:rFonts w:ascii="Arial Narrow" w:hAnsi="Arial Narrow"/>
                <w:bCs/>
                <w:sz w:val="20"/>
                <w:szCs w:val="20"/>
              </w:rPr>
              <w:t>a</w:t>
            </w:r>
            <w:r w:rsidRPr="007557BC">
              <w:rPr>
                <w:rFonts w:ascii="Arial Narrow" w:hAnsi="Arial Narrow"/>
                <w:bCs/>
                <w:sz w:val="20"/>
                <w:szCs w:val="20"/>
              </w:rPr>
              <w:t>ecal microbiota transplant are unlikely to be suitable for haematologic patients with neutropenia and/or HSCT patients (Oksi et al 2019).</w:t>
            </w:r>
          </w:p>
        </w:tc>
      </w:tr>
      <w:tr w:rsidR="001114EB" w:rsidRPr="009135C9" w:rsidTr="00D87ED5">
        <w:tc>
          <w:tcPr>
            <w:tcW w:w="2122" w:type="dxa"/>
          </w:tcPr>
          <w:p w:rsidR="001114EB" w:rsidRPr="009135C9" w:rsidRDefault="001114EB" w:rsidP="00F84C93">
            <w:pPr>
              <w:keepNext/>
              <w:rPr>
                <w:rFonts w:ascii="Arial Narrow" w:hAnsi="Arial Narrow"/>
                <w:b/>
                <w:sz w:val="20"/>
                <w:szCs w:val="20"/>
              </w:rPr>
            </w:pPr>
            <w:r w:rsidRPr="009135C9">
              <w:rPr>
                <w:rFonts w:ascii="Arial Narrow" w:hAnsi="Arial Narrow"/>
                <w:bCs/>
                <w:sz w:val="20"/>
                <w:szCs w:val="20"/>
              </w:rPr>
              <w:t>The financial impact of extending listing to patients with HSCT or SOT was limited.</w:t>
            </w:r>
          </w:p>
        </w:tc>
        <w:tc>
          <w:tcPr>
            <w:tcW w:w="6895" w:type="dxa"/>
          </w:tcPr>
          <w:p w:rsidR="001114EB" w:rsidRDefault="001114EB" w:rsidP="000735EA">
            <w:pPr>
              <w:pStyle w:val="ListParagraph"/>
              <w:keepNext/>
              <w:numPr>
                <w:ilvl w:val="0"/>
                <w:numId w:val="11"/>
              </w:numPr>
              <w:ind w:left="256" w:hanging="181"/>
              <w:rPr>
                <w:rFonts w:ascii="Arial Narrow" w:hAnsi="Arial Narrow"/>
                <w:bCs/>
                <w:sz w:val="20"/>
                <w:szCs w:val="20"/>
              </w:rPr>
            </w:pPr>
            <w:r w:rsidRPr="003F00B5">
              <w:rPr>
                <w:rFonts w:ascii="Arial Narrow" w:hAnsi="Arial Narrow"/>
                <w:bCs/>
                <w:sz w:val="20"/>
                <w:szCs w:val="20"/>
              </w:rPr>
              <w:t xml:space="preserve">The resubmission also noted that only those &lt; 65 years would be additional to patients eligible under the other two risk factors (≥65; history of CDI) with 78%-80% </w:t>
            </w:r>
            <w:r>
              <w:rPr>
                <w:rFonts w:ascii="Arial Narrow" w:hAnsi="Arial Narrow"/>
                <w:bCs/>
                <w:sz w:val="20"/>
                <w:szCs w:val="20"/>
              </w:rPr>
              <w:t xml:space="preserve">of HSCT patients </w:t>
            </w:r>
            <w:r w:rsidRPr="003F00B5">
              <w:rPr>
                <w:rFonts w:ascii="Arial Narrow" w:hAnsi="Arial Narrow"/>
                <w:bCs/>
                <w:sz w:val="20"/>
                <w:szCs w:val="20"/>
              </w:rPr>
              <w:t xml:space="preserve">&lt; 65 years from </w:t>
            </w:r>
            <w:r w:rsidRPr="00CE222C">
              <w:rPr>
                <w:rFonts w:ascii="Arial Narrow" w:hAnsi="Arial Narrow"/>
                <w:bCs/>
                <w:sz w:val="20"/>
                <w:szCs w:val="20"/>
              </w:rPr>
              <w:t>Australasian Bone Marrow Transplant Recipient Registry</w:t>
            </w:r>
            <w:r w:rsidRPr="003F00B5">
              <w:rPr>
                <w:rFonts w:ascii="Arial Narrow" w:hAnsi="Arial Narrow"/>
                <w:bCs/>
                <w:sz w:val="20"/>
                <w:szCs w:val="20"/>
              </w:rPr>
              <w:t xml:space="preserve"> data.</w:t>
            </w:r>
          </w:p>
          <w:p w:rsidR="001114EB" w:rsidRPr="003F00B5" w:rsidRDefault="001114EB" w:rsidP="000735EA">
            <w:pPr>
              <w:pStyle w:val="ListParagraph"/>
              <w:keepNext/>
              <w:numPr>
                <w:ilvl w:val="0"/>
                <w:numId w:val="11"/>
              </w:numPr>
              <w:ind w:left="256" w:hanging="181"/>
              <w:rPr>
                <w:rFonts w:ascii="Arial Narrow" w:hAnsi="Arial Narrow"/>
                <w:bCs/>
                <w:sz w:val="20"/>
                <w:szCs w:val="20"/>
              </w:rPr>
            </w:pPr>
            <w:r w:rsidRPr="003F00B5">
              <w:rPr>
                <w:rFonts w:ascii="Arial Narrow" w:hAnsi="Arial Narrow"/>
                <w:bCs/>
                <w:sz w:val="20"/>
                <w:szCs w:val="20"/>
              </w:rPr>
              <w:t xml:space="preserve">The 2018 Australian Donation and Transplantation Activity Report stated there were 1,544 SOT recipients in 2018.  The resubmission (p87) noted that approximately 15% of SOT recipients would develop CDI, </w:t>
            </w:r>
            <w:r w:rsidRPr="00670FAF">
              <w:rPr>
                <w:rFonts w:ascii="Arial Narrow" w:hAnsi="Arial Narrow"/>
                <w:bCs/>
                <w:iCs/>
                <w:sz w:val="20"/>
                <w:szCs w:val="20"/>
              </w:rPr>
              <w:t>presumably based on Ilett et al 2019.</w:t>
            </w:r>
          </w:p>
          <w:p w:rsidR="001114EB" w:rsidRPr="009135C9" w:rsidRDefault="001114EB" w:rsidP="000735EA">
            <w:pPr>
              <w:keepNext/>
              <w:numPr>
                <w:ilvl w:val="0"/>
                <w:numId w:val="11"/>
              </w:numPr>
              <w:spacing w:after="120"/>
              <w:ind w:left="256" w:hanging="181"/>
              <w:rPr>
                <w:rFonts w:ascii="Arial Narrow" w:hAnsi="Arial Narrow"/>
                <w:bCs/>
                <w:snapToGrid w:val="0"/>
                <w:sz w:val="20"/>
                <w:szCs w:val="20"/>
              </w:rPr>
            </w:pPr>
            <w:r w:rsidRPr="00CE222C">
              <w:rPr>
                <w:rFonts w:ascii="Arial Narrow" w:hAnsi="Arial Narrow"/>
                <w:bCs/>
                <w:sz w:val="20"/>
                <w:szCs w:val="20"/>
              </w:rPr>
              <w:t>Australasian Bone Marrow Transplant Recipient Registry</w:t>
            </w:r>
            <w:r>
              <w:rPr>
                <w:rFonts w:ascii="Arial Narrow" w:hAnsi="Arial Narrow"/>
                <w:bCs/>
                <w:sz w:val="20"/>
                <w:szCs w:val="20"/>
              </w:rPr>
              <w:t xml:space="preserve"> data</w:t>
            </w:r>
            <w:r w:rsidRPr="00D54C86">
              <w:rPr>
                <w:rFonts w:ascii="Arial Narrow" w:hAnsi="Arial Narrow"/>
                <w:bCs/>
                <w:sz w:val="20"/>
                <w:szCs w:val="20"/>
              </w:rPr>
              <w:t xml:space="preserve"> indicated 1700 patients undergoing HSCT each year in 2015-2017 (Appendix 5 of the resubmission).  </w:t>
            </w:r>
            <w:r>
              <w:rPr>
                <w:rFonts w:ascii="Arial Narrow" w:hAnsi="Arial Narrow"/>
                <w:bCs/>
                <w:sz w:val="20"/>
                <w:szCs w:val="20"/>
              </w:rPr>
              <w:t xml:space="preserve">Based on </w:t>
            </w:r>
            <w:r w:rsidRPr="009F1552">
              <w:rPr>
                <w:rFonts w:ascii="Arial Narrow" w:hAnsi="Arial Narrow"/>
                <w:bCs/>
                <w:sz w:val="20"/>
                <w:szCs w:val="20"/>
              </w:rPr>
              <w:t>Schuster et al 2017</w:t>
            </w:r>
            <w:r>
              <w:rPr>
                <w:rFonts w:ascii="Arial Narrow" w:hAnsi="Arial Narrow"/>
                <w:bCs/>
                <w:sz w:val="20"/>
                <w:szCs w:val="20"/>
              </w:rPr>
              <w:t xml:space="preserve">, approximately </w:t>
            </w:r>
            <w:r w:rsidRPr="00D54C86">
              <w:rPr>
                <w:rFonts w:ascii="Arial Narrow" w:hAnsi="Arial Narrow"/>
                <w:bCs/>
                <w:sz w:val="20"/>
                <w:szCs w:val="20"/>
              </w:rPr>
              <w:t xml:space="preserve">one-third </w:t>
            </w:r>
            <w:r>
              <w:rPr>
                <w:rFonts w:ascii="Arial Narrow" w:hAnsi="Arial Narrow"/>
                <w:bCs/>
                <w:sz w:val="20"/>
                <w:szCs w:val="20"/>
              </w:rPr>
              <w:t xml:space="preserve">of patients with HSCT </w:t>
            </w:r>
            <w:r w:rsidRPr="00D54C86">
              <w:rPr>
                <w:rFonts w:ascii="Arial Narrow" w:hAnsi="Arial Narrow"/>
                <w:bCs/>
                <w:sz w:val="20"/>
                <w:szCs w:val="20"/>
              </w:rPr>
              <w:t>will experience CDI</w:t>
            </w:r>
            <w:r>
              <w:rPr>
                <w:rFonts w:ascii="Arial Narrow" w:hAnsi="Arial Narrow"/>
                <w:bCs/>
                <w:sz w:val="20"/>
                <w:szCs w:val="20"/>
              </w:rPr>
              <w:t xml:space="preserve">.  </w:t>
            </w:r>
            <w:r w:rsidRPr="00670FAF">
              <w:rPr>
                <w:rFonts w:ascii="Arial Narrow" w:hAnsi="Arial Narrow"/>
                <w:bCs/>
                <w:iCs/>
                <w:sz w:val="20"/>
                <w:szCs w:val="20"/>
              </w:rPr>
              <w:t>Alternatively based on Ilett et al 2019, 20% of patients with HSCT will develop CDI</w:t>
            </w:r>
            <w:r w:rsidRPr="00CE7088">
              <w:rPr>
                <w:rFonts w:ascii="Arial Narrow" w:hAnsi="Arial Narrow"/>
                <w:bCs/>
                <w:i/>
                <w:iCs/>
                <w:sz w:val="20"/>
                <w:szCs w:val="20"/>
              </w:rPr>
              <w:t>.</w:t>
            </w:r>
          </w:p>
        </w:tc>
      </w:tr>
    </w:tbl>
    <w:p w:rsidR="0046090E" w:rsidRPr="0046090E" w:rsidRDefault="0046090E" w:rsidP="008C7143">
      <w:pPr>
        <w:rPr>
          <w:rFonts w:ascii="Arial Narrow" w:hAnsi="Arial Narrow"/>
          <w:bCs/>
          <w:sz w:val="18"/>
          <w:szCs w:val="18"/>
        </w:rPr>
      </w:pPr>
      <w:r w:rsidRPr="0046090E">
        <w:rPr>
          <w:rFonts w:ascii="Arial Narrow" w:hAnsi="Arial Narrow"/>
          <w:bCs/>
          <w:sz w:val="18"/>
          <w:szCs w:val="18"/>
        </w:rPr>
        <w:t>Abbreviations:</w:t>
      </w:r>
      <w:r w:rsidRPr="0046090E">
        <w:rPr>
          <w:rFonts w:ascii="Arial Narrow" w:hAnsi="Arial Narrow"/>
          <w:snapToGrid w:val="0"/>
          <w:sz w:val="18"/>
          <w:szCs w:val="22"/>
          <w:lang w:eastAsia="en-US"/>
        </w:rPr>
        <w:t xml:space="preserve"> CDI=clostridium difficile infection</w:t>
      </w:r>
      <w:r w:rsidRPr="0046090E">
        <w:rPr>
          <w:rFonts w:ascii="Arial Narrow" w:hAnsi="Arial Narrow"/>
          <w:snapToGrid w:val="0"/>
          <w:sz w:val="18"/>
          <w:szCs w:val="18"/>
          <w:lang w:eastAsia="en-US"/>
        </w:rPr>
        <w:t>;</w:t>
      </w:r>
      <w:r w:rsidRPr="0046090E">
        <w:rPr>
          <w:rFonts w:ascii="Arial Narrow" w:hAnsi="Arial Narrow"/>
          <w:bCs/>
          <w:sz w:val="18"/>
          <w:szCs w:val="18"/>
        </w:rPr>
        <w:t xml:space="preserve"> HSCT= haematopoietic stem cell transplant; SOT = solid organ transplant</w:t>
      </w:r>
      <w:r w:rsidR="00BA36F9">
        <w:rPr>
          <w:rFonts w:ascii="Arial Narrow" w:hAnsi="Arial Narrow"/>
          <w:bCs/>
          <w:sz w:val="18"/>
          <w:szCs w:val="18"/>
        </w:rPr>
        <w:t>, US = United States</w:t>
      </w:r>
      <w:r w:rsidRPr="0046090E">
        <w:rPr>
          <w:rFonts w:ascii="Arial Narrow" w:hAnsi="Arial Narrow"/>
          <w:bCs/>
          <w:sz w:val="18"/>
          <w:szCs w:val="18"/>
        </w:rPr>
        <w:t>.</w:t>
      </w:r>
    </w:p>
    <w:p w:rsidR="008C7143" w:rsidRDefault="008C7143" w:rsidP="008C7143">
      <w:pPr>
        <w:rPr>
          <w:rFonts w:ascii="Arial Narrow" w:hAnsi="Arial Narrow"/>
          <w:bCs/>
          <w:sz w:val="18"/>
          <w:szCs w:val="18"/>
        </w:rPr>
      </w:pPr>
      <w:r w:rsidRPr="009135C9">
        <w:rPr>
          <w:rFonts w:ascii="Arial Narrow" w:hAnsi="Arial Narrow"/>
          <w:bCs/>
          <w:sz w:val="18"/>
          <w:szCs w:val="18"/>
        </w:rPr>
        <w:t>Source: pp.86-87 of the resubmission.</w:t>
      </w:r>
    </w:p>
    <w:p w:rsidR="00C733EE" w:rsidRDefault="00C733EE" w:rsidP="00C733EE">
      <w:pPr>
        <w:pStyle w:val="3-BodyText"/>
        <w:numPr>
          <w:ilvl w:val="0"/>
          <w:numId w:val="0"/>
        </w:numPr>
        <w:ind w:left="720" w:hanging="720"/>
      </w:pPr>
    </w:p>
    <w:p w:rsidR="00670FAF" w:rsidRPr="00A873A2" w:rsidRDefault="00670FAF" w:rsidP="00006346">
      <w:pPr>
        <w:pStyle w:val="3-BodyText"/>
        <w:numPr>
          <w:ilvl w:val="1"/>
          <w:numId w:val="5"/>
        </w:numPr>
      </w:pPr>
      <w:r w:rsidRPr="00A873A2">
        <w:t xml:space="preserve">The </w:t>
      </w:r>
      <w:r w:rsidRPr="00A873A2">
        <w:rPr>
          <w:szCs w:val="22"/>
          <w:lang w:eastAsia="en-US"/>
        </w:rPr>
        <w:t>resubmission</w:t>
      </w:r>
      <w:r w:rsidRPr="00A873A2">
        <w:t xml:space="preserve"> did not present any clinical </w:t>
      </w:r>
      <w:r w:rsidR="0018794B" w:rsidRPr="00A873A2">
        <w:t xml:space="preserve">trial </w:t>
      </w:r>
      <w:r w:rsidRPr="00A873A2">
        <w:t xml:space="preserve">data to inform the treatment effect of bezlotoxumab for an immunocompromised population with HSCT or SOT. </w:t>
      </w:r>
      <w:r w:rsidR="0094688D" w:rsidRPr="00A873A2">
        <w:t>The ESC considered it plausible for there to be differences in the comparative effectiveness</w:t>
      </w:r>
      <w:r w:rsidR="00463EEA" w:rsidRPr="00A873A2">
        <w:t xml:space="preserve"> and safety</w:t>
      </w:r>
      <w:r w:rsidR="0094688D" w:rsidRPr="00A873A2">
        <w:t xml:space="preserve"> of bezlotoxumab between the</w:t>
      </w:r>
      <w:r w:rsidRPr="00A873A2">
        <w:t xml:space="preserve"> </w:t>
      </w:r>
      <w:r w:rsidR="0094688D" w:rsidRPr="00A873A2">
        <w:t xml:space="preserve">proposed </w:t>
      </w:r>
      <w:r w:rsidRPr="00A873A2">
        <w:t xml:space="preserve">immunocompromised population </w:t>
      </w:r>
      <w:r w:rsidR="0094688D" w:rsidRPr="00A873A2">
        <w:t xml:space="preserve">and that reported in the MODIFY trials for patients with ≥1 of 2 risk factors (age ≥65 years, or history of CDI in the past 6 months). </w:t>
      </w:r>
    </w:p>
    <w:p w:rsidR="00C733EE" w:rsidRPr="00A64859" w:rsidRDefault="00C733EE" w:rsidP="00006346">
      <w:pPr>
        <w:pStyle w:val="3-BodyText"/>
        <w:numPr>
          <w:ilvl w:val="1"/>
          <w:numId w:val="5"/>
        </w:numPr>
      </w:pPr>
      <w:r>
        <w:t>The revised restriction continued to permit</w:t>
      </w:r>
      <w:r w:rsidRPr="00BC12A0">
        <w:t xml:space="preserve"> patients to undergo repeat administration of bezlotoxumab 90 </w:t>
      </w:r>
      <w:r>
        <w:t xml:space="preserve">days after the initial episode.  </w:t>
      </w:r>
      <w:r w:rsidRPr="00A64859">
        <w:rPr>
          <w:iCs/>
        </w:rPr>
        <w:t xml:space="preserve">The PBAC had previously considered </w:t>
      </w:r>
      <w:r w:rsidRPr="00A64859">
        <w:rPr>
          <w:iCs/>
        </w:rPr>
        <w:lastRenderedPageBreak/>
        <w:t xml:space="preserve">it was probably and likely appropriate that bezlotoxumab be used more than once within a patient’s lifetime, but in the absence of evidence also considered it may be more appropriate to limit use to one dose per lifetime in the </w:t>
      </w:r>
      <w:r w:rsidR="00CA1C15" w:rsidRPr="00A64859">
        <w:rPr>
          <w:iCs/>
        </w:rPr>
        <w:t>restriction (paragraph 2.3, b</w:t>
      </w:r>
      <w:r w:rsidRPr="00A64859">
        <w:rPr>
          <w:iCs/>
        </w:rPr>
        <w:t>ezlotoxumab</w:t>
      </w:r>
      <w:r w:rsidR="00CA1C15" w:rsidRPr="00A64859">
        <w:rPr>
          <w:iCs/>
        </w:rPr>
        <w:t>, Public Summary Document, July 2018 PBAC meeting</w:t>
      </w:r>
      <w:r w:rsidRPr="00A64859">
        <w:rPr>
          <w:iCs/>
        </w:rPr>
        <w:t xml:space="preserve">).  </w:t>
      </w:r>
      <w:r w:rsidR="0069478B" w:rsidRPr="00A64859">
        <w:rPr>
          <w:iCs/>
        </w:rPr>
        <w:t xml:space="preserve">The resubmission did not present any new clinical or economic evidence to support repeat dosing with bezlotoxumab, and did not account for </w:t>
      </w:r>
      <w:r w:rsidR="000E6C02" w:rsidRPr="00A64859">
        <w:rPr>
          <w:iCs/>
        </w:rPr>
        <w:t xml:space="preserve">potential </w:t>
      </w:r>
      <w:r w:rsidR="0069478B" w:rsidRPr="00A64859">
        <w:rPr>
          <w:iCs/>
        </w:rPr>
        <w:t>uncertainty with repeat dosing.  A recent Australian study (</w:t>
      </w:r>
      <w:r w:rsidR="00621B25" w:rsidRPr="00A64859">
        <w:rPr>
          <w:iCs/>
          <w:szCs w:val="22"/>
          <w:lang w:eastAsia="en-US"/>
        </w:rPr>
        <w:t>Alfayyadh et al 2019</w:t>
      </w:r>
      <w:r w:rsidR="0069478B" w:rsidRPr="00A64859">
        <w:rPr>
          <w:iCs/>
        </w:rPr>
        <w:t xml:space="preserve">) </w:t>
      </w:r>
      <w:r w:rsidR="0069478B" w:rsidRPr="00A64859">
        <w:rPr>
          <w:rFonts w:cs="Times New Roman"/>
          <w:iCs/>
          <w:szCs w:val="22"/>
          <w:lang w:eastAsia="en-US"/>
        </w:rPr>
        <w:t>indicated that 64% of recurrent CDIs were relapsed infections (i.e. the same ribotype) and 36% were re-infections (i.e. a different ribotype).</w:t>
      </w:r>
      <w:r w:rsidR="009A6BF4">
        <w:rPr>
          <w:rFonts w:cs="Times New Roman"/>
          <w:iCs/>
          <w:szCs w:val="22"/>
          <w:lang w:eastAsia="en-US"/>
        </w:rPr>
        <w:t xml:space="preserve"> </w:t>
      </w:r>
      <w:r w:rsidR="009A6BF4" w:rsidRPr="00A873A2">
        <w:rPr>
          <w:rFonts w:cs="Times New Roman"/>
          <w:iCs/>
          <w:szCs w:val="22"/>
          <w:lang w:eastAsia="en-US"/>
        </w:rPr>
        <w:t>The Pre-Sub-Comm</w:t>
      </w:r>
      <w:r w:rsidR="007878AA" w:rsidRPr="00A873A2">
        <w:rPr>
          <w:rFonts w:cs="Times New Roman"/>
          <w:iCs/>
          <w:szCs w:val="22"/>
          <w:lang w:eastAsia="en-US"/>
        </w:rPr>
        <w:t>ittee Response (PSCR) stated</w:t>
      </w:r>
      <w:r w:rsidR="009A6BF4" w:rsidRPr="00A873A2">
        <w:rPr>
          <w:rFonts w:cs="Times New Roman"/>
          <w:iCs/>
          <w:szCs w:val="22"/>
          <w:lang w:eastAsia="en-US"/>
        </w:rPr>
        <w:t xml:space="preserve"> that feedback f</w:t>
      </w:r>
      <w:r w:rsidR="007878AA" w:rsidRPr="00A873A2">
        <w:rPr>
          <w:rFonts w:cs="Times New Roman"/>
          <w:iCs/>
          <w:szCs w:val="22"/>
          <w:lang w:eastAsia="en-US"/>
        </w:rPr>
        <w:t xml:space="preserve">rom </w:t>
      </w:r>
      <w:r w:rsidR="0035595B" w:rsidRPr="00A873A2">
        <w:rPr>
          <w:rFonts w:cs="Times New Roman"/>
          <w:iCs/>
          <w:szCs w:val="22"/>
          <w:lang w:eastAsia="en-US"/>
        </w:rPr>
        <w:t>experts</w:t>
      </w:r>
      <w:r w:rsidR="007878AA" w:rsidRPr="00A873A2">
        <w:rPr>
          <w:rFonts w:cs="Times New Roman"/>
          <w:iCs/>
          <w:szCs w:val="22"/>
          <w:lang w:eastAsia="en-US"/>
        </w:rPr>
        <w:t xml:space="preserve"> indicated</w:t>
      </w:r>
      <w:r w:rsidR="009A6BF4" w:rsidRPr="00A873A2">
        <w:rPr>
          <w:rFonts w:cs="Times New Roman"/>
          <w:iCs/>
          <w:szCs w:val="22"/>
          <w:lang w:eastAsia="en-US"/>
        </w:rPr>
        <w:t xml:space="preserve"> that they are unlikely to use bezlotoxumab twice in a patient who experiences a recurrence after receiving bezlotoxumab. Further, </w:t>
      </w:r>
      <w:r w:rsidR="007878AA" w:rsidRPr="00A873A2">
        <w:rPr>
          <w:rFonts w:cs="Times New Roman"/>
          <w:iCs/>
          <w:szCs w:val="22"/>
          <w:lang w:eastAsia="en-US"/>
        </w:rPr>
        <w:t>the sponsor considered</w:t>
      </w:r>
      <w:r w:rsidR="00B5028D" w:rsidRPr="00A873A2">
        <w:rPr>
          <w:rFonts w:cs="Times New Roman"/>
          <w:iCs/>
          <w:szCs w:val="22"/>
          <w:lang w:eastAsia="en-US"/>
        </w:rPr>
        <w:t xml:space="preserve"> such patients may</w:t>
      </w:r>
      <w:r w:rsidR="009A6BF4" w:rsidRPr="00A873A2">
        <w:rPr>
          <w:rFonts w:cs="Times New Roman"/>
          <w:iCs/>
          <w:szCs w:val="22"/>
          <w:lang w:eastAsia="en-US"/>
        </w:rPr>
        <w:t xml:space="preserve"> be candidates for alternative therapeutic options such as faecal microbiota transplant.</w:t>
      </w:r>
      <w:r w:rsidR="009A6BF4">
        <w:rPr>
          <w:rFonts w:cs="Times New Roman"/>
          <w:i/>
          <w:iCs/>
          <w:szCs w:val="22"/>
          <w:lang w:eastAsia="en-US"/>
        </w:rPr>
        <w:t xml:space="preserve"> </w:t>
      </w:r>
    </w:p>
    <w:p w:rsidR="00FE70E5" w:rsidRPr="00A64859" w:rsidRDefault="007E3CE6" w:rsidP="00006346">
      <w:pPr>
        <w:pStyle w:val="3-BodyText"/>
        <w:numPr>
          <w:ilvl w:val="1"/>
          <w:numId w:val="5"/>
        </w:numPr>
      </w:pPr>
      <w:r w:rsidRPr="00A4494E">
        <w:rPr>
          <w:szCs w:val="22"/>
          <w:lang w:eastAsia="en-US"/>
        </w:rPr>
        <w:t xml:space="preserve">The </w:t>
      </w:r>
      <w:r>
        <w:rPr>
          <w:szCs w:val="22"/>
          <w:lang w:eastAsia="en-US"/>
        </w:rPr>
        <w:t xml:space="preserve">product information (PI) recommends that </w:t>
      </w:r>
      <w:r w:rsidRPr="00A4494E">
        <w:rPr>
          <w:szCs w:val="22"/>
          <w:lang w:eastAsia="en-US"/>
        </w:rPr>
        <w:t xml:space="preserve">bezlotoxumab </w:t>
      </w:r>
      <w:r>
        <w:rPr>
          <w:szCs w:val="22"/>
          <w:lang w:eastAsia="en-US"/>
        </w:rPr>
        <w:t>(</w:t>
      </w:r>
      <w:r w:rsidRPr="00A4494E">
        <w:rPr>
          <w:szCs w:val="22"/>
          <w:lang w:eastAsia="en-US"/>
        </w:rPr>
        <w:t>10mg/kg as a single dose intravenous infusion over 60 minutes</w:t>
      </w:r>
      <w:r>
        <w:rPr>
          <w:szCs w:val="22"/>
          <w:lang w:eastAsia="en-US"/>
        </w:rPr>
        <w:t>)</w:t>
      </w:r>
      <w:r w:rsidRPr="00A4494E">
        <w:rPr>
          <w:szCs w:val="22"/>
          <w:lang w:eastAsia="en-US"/>
        </w:rPr>
        <w:t xml:space="preserve"> is administered concurrently with antibiotics for treatment of CDI.</w:t>
      </w:r>
      <w:r>
        <w:rPr>
          <w:szCs w:val="22"/>
          <w:lang w:eastAsia="en-US"/>
        </w:rPr>
        <w:t xml:space="preserve">  </w:t>
      </w:r>
      <w:r w:rsidR="00C91FC5" w:rsidRPr="00A64859">
        <w:rPr>
          <w:iCs/>
        </w:rPr>
        <w:t xml:space="preserve">Patients admitted to hospital for CDI will only be eligible for PBS funded bezlotoxumab on the day of discharge. </w:t>
      </w:r>
      <w:r w:rsidR="0023461C" w:rsidRPr="00A64859">
        <w:rPr>
          <w:iCs/>
        </w:rPr>
        <w:t xml:space="preserve"> </w:t>
      </w:r>
      <w:r w:rsidR="00C91FC5" w:rsidRPr="00A64859">
        <w:rPr>
          <w:iCs/>
        </w:rPr>
        <w:t xml:space="preserve">The timing of administration relative to the start of </w:t>
      </w:r>
      <w:r w:rsidR="0023461C" w:rsidRPr="00A64859">
        <w:rPr>
          <w:iCs/>
        </w:rPr>
        <w:t>antibiotics</w:t>
      </w:r>
      <w:r w:rsidR="00C91FC5" w:rsidRPr="00A64859">
        <w:rPr>
          <w:iCs/>
        </w:rPr>
        <w:t xml:space="preserve"> for </w:t>
      </w:r>
      <w:r w:rsidR="0023461C" w:rsidRPr="00A64859">
        <w:rPr>
          <w:iCs/>
        </w:rPr>
        <w:t xml:space="preserve">treatment of </w:t>
      </w:r>
      <w:r w:rsidR="00C91FC5" w:rsidRPr="00A64859">
        <w:rPr>
          <w:iCs/>
        </w:rPr>
        <w:t>CDI did</w:t>
      </w:r>
      <w:r w:rsidR="00FE70E5" w:rsidRPr="00A64859">
        <w:rPr>
          <w:iCs/>
        </w:rPr>
        <w:t xml:space="preserve"> not impact on effectiveness in the MODIFY trials</w:t>
      </w:r>
      <w:r w:rsidR="00C91FC5" w:rsidRPr="00A64859">
        <w:rPr>
          <w:iCs/>
        </w:rPr>
        <w:t>.  Approximately 94% of patients received bezlotoxumab within 6 days of CDI confirmation</w:t>
      </w:r>
      <w:r w:rsidR="00FE70E5" w:rsidRPr="00A64859">
        <w:rPr>
          <w:iCs/>
        </w:rPr>
        <w:t xml:space="preserve"> in </w:t>
      </w:r>
      <w:r w:rsidR="0023461C" w:rsidRPr="00A64859">
        <w:rPr>
          <w:iCs/>
        </w:rPr>
        <w:t xml:space="preserve">the </w:t>
      </w:r>
      <w:r w:rsidR="00FE70E5" w:rsidRPr="00A64859">
        <w:rPr>
          <w:iCs/>
        </w:rPr>
        <w:t xml:space="preserve">trials, which is consistent with </w:t>
      </w:r>
      <w:r w:rsidR="00C91FC5" w:rsidRPr="00A64859">
        <w:rPr>
          <w:iCs/>
        </w:rPr>
        <w:t xml:space="preserve">average length of stay </w:t>
      </w:r>
      <w:r w:rsidR="00FE70E5" w:rsidRPr="00A64859">
        <w:rPr>
          <w:iCs/>
        </w:rPr>
        <w:t xml:space="preserve">in Australia </w:t>
      </w:r>
      <w:r w:rsidR="00C91FC5" w:rsidRPr="00A64859">
        <w:rPr>
          <w:iCs/>
        </w:rPr>
        <w:t>for patients with a principal diagnosis of gastroe</w:t>
      </w:r>
      <w:r w:rsidR="00DB4551" w:rsidRPr="00A64859">
        <w:rPr>
          <w:iCs/>
        </w:rPr>
        <w:t>n</w:t>
      </w:r>
      <w:r w:rsidR="00C91FC5" w:rsidRPr="00A64859">
        <w:rPr>
          <w:iCs/>
        </w:rPr>
        <w:t>terocolitis caused by CDI (7.8 days).</w:t>
      </w:r>
    </w:p>
    <w:p w:rsidR="00C91FC5" w:rsidRPr="00CF61E7" w:rsidRDefault="00FE70E5" w:rsidP="00006346">
      <w:pPr>
        <w:pStyle w:val="3-BodyText"/>
        <w:numPr>
          <w:ilvl w:val="1"/>
          <w:numId w:val="5"/>
        </w:numPr>
      </w:pPr>
      <w:r w:rsidRPr="00A64859">
        <w:rPr>
          <w:iCs/>
        </w:rPr>
        <w:t>T</w:t>
      </w:r>
      <w:r w:rsidR="00AC0CBD" w:rsidRPr="00A64859">
        <w:rPr>
          <w:iCs/>
        </w:rPr>
        <w:t xml:space="preserve">he </w:t>
      </w:r>
      <w:r w:rsidR="0042439D" w:rsidRPr="00A64859">
        <w:rPr>
          <w:iCs/>
        </w:rPr>
        <w:t>re</w:t>
      </w:r>
      <w:r w:rsidR="00AC0CBD" w:rsidRPr="00A64859">
        <w:rPr>
          <w:iCs/>
        </w:rPr>
        <w:t xml:space="preserve">submission implicitly assumed that the proposed Section 100 listing (public and private hospitals) of bezlotoxumab will not change prescribing behaviour including the treatment setting.  Specifically, that the same proportion of patients will be treated for CDI in hospital and the community (e.g. nursing homes) before and after PBS listing of bezlotoxumab.  </w:t>
      </w:r>
      <w:r w:rsidRPr="00A64859">
        <w:rPr>
          <w:iCs/>
        </w:rPr>
        <w:t>I</w:t>
      </w:r>
      <w:r w:rsidRPr="00A64859">
        <w:rPr>
          <w:iCs/>
          <w:szCs w:val="22"/>
          <w:lang w:eastAsia="en-US"/>
        </w:rPr>
        <w:t xml:space="preserve">t was unclear </w:t>
      </w:r>
      <w:r w:rsidR="00F950C7" w:rsidRPr="00A64859">
        <w:rPr>
          <w:iCs/>
          <w:szCs w:val="22"/>
          <w:lang w:eastAsia="en-US"/>
        </w:rPr>
        <w:t xml:space="preserve">whether </w:t>
      </w:r>
      <w:r w:rsidR="00AC0CBD" w:rsidRPr="00A64859">
        <w:rPr>
          <w:iCs/>
          <w:szCs w:val="22"/>
          <w:lang w:eastAsia="en-US"/>
        </w:rPr>
        <w:t xml:space="preserve">some prescribers may subsequently refer community patients to hospitals in order to receive treatment with </w:t>
      </w:r>
      <w:r w:rsidRPr="00A64859">
        <w:rPr>
          <w:iCs/>
          <w:szCs w:val="22"/>
          <w:lang w:eastAsia="en-US"/>
        </w:rPr>
        <w:t>bezlotoxumab</w:t>
      </w:r>
      <w:r w:rsidR="00AC0CBD" w:rsidRPr="00A64859">
        <w:rPr>
          <w:iCs/>
          <w:szCs w:val="22"/>
          <w:lang w:eastAsia="en-US"/>
        </w:rPr>
        <w:t xml:space="preserve"> on the PBS</w:t>
      </w:r>
      <w:r w:rsidR="00660291" w:rsidRPr="00A64859">
        <w:rPr>
          <w:iCs/>
          <w:szCs w:val="22"/>
          <w:lang w:eastAsia="en-US"/>
        </w:rPr>
        <w:t>.</w:t>
      </w:r>
      <w:r w:rsidR="00516249">
        <w:rPr>
          <w:iCs/>
          <w:szCs w:val="22"/>
          <w:lang w:eastAsia="en-US"/>
        </w:rPr>
        <w:t xml:space="preserve"> </w:t>
      </w:r>
      <w:r w:rsidR="00516249" w:rsidRPr="00A873A2">
        <w:rPr>
          <w:rFonts w:cs="Calibri"/>
          <w:lang w:eastAsia="en-US"/>
        </w:rPr>
        <w:t xml:space="preserve">The </w:t>
      </w:r>
      <w:r w:rsidR="00516249" w:rsidRPr="00A873A2">
        <w:rPr>
          <w:rFonts w:cs="Times New Roman"/>
          <w:iCs/>
          <w:szCs w:val="22"/>
          <w:lang w:eastAsia="en-US"/>
        </w:rPr>
        <w:t xml:space="preserve">PSCR </w:t>
      </w:r>
      <w:r w:rsidR="00516249" w:rsidRPr="00A873A2">
        <w:rPr>
          <w:rFonts w:cs="Calibri"/>
          <w:lang w:eastAsia="en-US"/>
        </w:rPr>
        <w:t xml:space="preserve">stated that as bezlotoxumab is a Section 100 drug requiring infusion it is unlikely to be used extensively in mild/moderate cases of CDI that are treated outside a hospital setting. The ESC noted that </w:t>
      </w:r>
      <w:r w:rsidR="007668FE" w:rsidRPr="00A873A2">
        <w:rPr>
          <w:rFonts w:cs="Calibri"/>
          <w:lang w:eastAsia="en-US"/>
        </w:rPr>
        <w:t>the results</w:t>
      </w:r>
      <w:r w:rsidR="00516249" w:rsidRPr="00A873A2">
        <w:rPr>
          <w:rFonts w:cs="Calibri"/>
          <w:lang w:eastAsia="en-US"/>
        </w:rPr>
        <w:t xml:space="preserve"> of the 201</w:t>
      </w:r>
      <w:r w:rsidR="00A962F4" w:rsidRPr="00A873A2">
        <w:rPr>
          <w:rFonts w:cs="Calibri"/>
          <w:lang w:eastAsia="en-US"/>
        </w:rPr>
        <w:t>5</w:t>
      </w:r>
      <w:r w:rsidR="00516249" w:rsidRPr="00A873A2">
        <w:rPr>
          <w:rFonts w:cs="Calibri"/>
          <w:lang w:eastAsia="en-US"/>
        </w:rPr>
        <w:t xml:space="preserve"> Aged Care National Antimicrobi</w:t>
      </w:r>
      <w:r w:rsidR="007668FE" w:rsidRPr="00A873A2">
        <w:rPr>
          <w:rFonts w:cs="Calibri"/>
          <w:lang w:eastAsia="en-US"/>
        </w:rPr>
        <w:t>al Prescribing Survey</w:t>
      </w:r>
      <w:r w:rsidR="007668FE" w:rsidRPr="00A873A2">
        <w:rPr>
          <w:rStyle w:val="FootnoteReference"/>
          <w:rFonts w:cs="Calibri"/>
          <w:lang w:eastAsia="en-US"/>
        </w:rPr>
        <w:footnoteReference w:id="1"/>
      </w:r>
      <w:r w:rsidR="007668FE" w:rsidRPr="00A873A2">
        <w:rPr>
          <w:rFonts w:cs="Calibri"/>
          <w:lang w:eastAsia="en-US"/>
        </w:rPr>
        <w:t xml:space="preserve"> (AC-NAPS) indicate</w:t>
      </w:r>
      <w:r w:rsidR="00516249" w:rsidRPr="00A873A2">
        <w:rPr>
          <w:rFonts w:cs="Calibri"/>
          <w:lang w:eastAsia="en-US"/>
        </w:rPr>
        <w:t xml:space="preserve"> that treatment of CDI appears to be uncommon in Australian nursing homes</w:t>
      </w:r>
      <w:r w:rsidR="007668FE" w:rsidRPr="00A873A2">
        <w:rPr>
          <w:rFonts w:cs="Calibri"/>
          <w:lang w:eastAsia="en-US"/>
        </w:rPr>
        <w:t>. However, the ESC considered that the</w:t>
      </w:r>
      <w:r w:rsidR="00516249" w:rsidRPr="00A873A2">
        <w:rPr>
          <w:rFonts w:cs="Calibri"/>
          <w:lang w:eastAsia="en-US"/>
        </w:rPr>
        <w:t xml:space="preserve"> overall prevalence of Australian community treatment of CDI was not known and may differ from the MODIFY trials (80% of high risk subgroup </w:t>
      </w:r>
      <w:r w:rsidR="0035595B" w:rsidRPr="00A873A2">
        <w:rPr>
          <w:rFonts w:cs="Calibri"/>
          <w:lang w:eastAsia="en-US"/>
        </w:rPr>
        <w:t xml:space="preserve">were </w:t>
      </w:r>
      <w:r w:rsidR="00516249" w:rsidRPr="00A873A2">
        <w:rPr>
          <w:rFonts w:cs="Calibri"/>
          <w:lang w:eastAsia="en-US"/>
        </w:rPr>
        <w:t>inpatients).</w:t>
      </w:r>
      <w:r w:rsidR="00516249" w:rsidRPr="0011153E">
        <w:rPr>
          <w:rFonts w:cs="Calibri"/>
          <w:i/>
          <w:lang w:eastAsia="en-US"/>
        </w:rPr>
        <w:t xml:space="preserve">  </w:t>
      </w:r>
    </w:p>
    <w:p w:rsidR="00CF61E7" w:rsidRPr="00CF61E7" w:rsidRDefault="00CF61E7" w:rsidP="00CF61E7">
      <w:pPr>
        <w:pStyle w:val="3-BodyText"/>
        <w:numPr>
          <w:ilvl w:val="0"/>
          <w:numId w:val="0"/>
        </w:numPr>
        <w:ind w:left="720"/>
        <w:rPr>
          <w:i/>
        </w:rPr>
      </w:pPr>
      <w:r w:rsidRPr="00CF61E7">
        <w:rPr>
          <w:i/>
        </w:rPr>
        <w:t>For more detail on PBAC’s view, see section 7 PBAC outcome.</w:t>
      </w:r>
    </w:p>
    <w:p w:rsidR="00B50DB8" w:rsidRPr="00407F2D" w:rsidRDefault="00203181" w:rsidP="004E18E9">
      <w:pPr>
        <w:pStyle w:val="2-SectionHeading"/>
      </w:pPr>
      <w:bookmarkStart w:id="7" w:name="_Toc30493359"/>
      <w:r>
        <w:lastRenderedPageBreak/>
        <w:t xml:space="preserve">Population and </w:t>
      </w:r>
      <w:r w:rsidR="008E0D3C">
        <w:t>d</w:t>
      </w:r>
      <w:r>
        <w:t>isease</w:t>
      </w:r>
      <w:bookmarkEnd w:id="7"/>
    </w:p>
    <w:p w:rsidR="001F2B0C" w:rsidRPr="003C54EC" w:rsidRDefault="001735D2" w:rsidP="00006346">
      <w:pPr>
        <w:pStyle w:val="3-BodyText"/>
        <w:numPr>
          <w:ilvl w:val="1"/>
          <w:numId w:val="5"/>
        </w:numPr>
      </w:pPr>
      <w:r w:rsidRPr="006373C7">
        <w:rPr>
          <w:i/>
          <w:szCs w:val="22"/>
          <w:lang w:eastAsia="en-US"/>
        </w:rPr>
        <w:t>C</w:t>
      </w:r>
      <w:r w:rsidR="00F62E96" w:rsidRPr="006373C7">
        <w:rPr>
          <w:i/>
          <w:szCs w:val="22"/>
          <w:lang w:eastAsia="en-US"/>
        </w:rPr>
        <w:t>lostridium</w:t>
      </w:r>
      <w:r w:rsidRPr="006373C7">
        <w:rPr>
          <w:i/>
          <w:szCs w:val="22"/>
          <w:lang w:eastAsia="en-US"/>
        </w:rPr>
        <w:t xml:space="preserve"> difficile</w:t>
      </w:r>
      <w:r w:rsidRPr="009903D9">
        <w:rPr>
          <w:szCs w:val="22"/>
          <w:lang w:eastAsia="en-US"/>
        </w:rPr>
        <w:t xml:space="preserve"> is a bacteria widely distributed in the environment and faecal flora of humans and animals.  Infection occurs following disruption of the normal gut flora (commonly due to antibiotic use) and acquisition of the bacteria typically via the faecal-oral route.  Toxin producing strains </w:t>
      </w:r>
      <w:r w:rsidRPr="006373C7">
        <w:rPr>
          <w:szCs w:val="22"/>
          <w:lang w:eastAsia="en-US"/>
        </w:rPr>
        <w:t xml:space="preserve">of </w:t>
      </w:r>
      <w:r w:rsidRPr="006373C7">
        <w:rPr>
          <w:i/>
          <w:szCs w:val="22"/>
          <w:lang w:eastAsia="en-US"/>
        </w:rPr>
        <w:t>C</w:t>
      </w:r>
      <w:r w:rsidR="00F62E96" w:rsidRPr="006373C7">
        <w:rPr>
          <w:i/>
          <w:szCs w:val="22"/>
          <w:lang w:eastAsia="en-US"/>
        </w:rPr>
        <w:t>lostridium</w:t>
      </w:r>
      <w:r w:rsidRPr="006373C7">
        <w:rPr>
          <w:i/>
          <w:szCs w:val="22"/>
          <w:lang w:eastAsia="en-US"/>
        </w:rPr>
        <w:t xml:space="preserve"> difficile</w:t>
      </w:r>
      <w:r w:rsidRPr="009903D9">
        <w:rPr>
          <w:szCs w:val="22"/>
          <w:lang w:eastAsia="en-US"/>
        </w:rPr>
        <w:t xml:space="preserve"> cause disease, with symptoms including watery diarrhoea, fever, nausea and abdominal pain.  </w:t>
      </w:r>
      <w:r w:rsidR="001F2B0C" w:rsidRPr="003C54EC">
        <w:t xml:space="preserve">CDI recurrence can be due to persistent or newly-acquired </w:t>
      </w:r>
      <w:r w:rsidR="001F2B0C" w:rsidRPr="006373C7">
        <w:rPr>
          <w:i/>
        </w:rPr>
        <w:t>C</w:t>
      </w:r>
      <w:r w:rsidR="00F62E96" w:rsidRPr="006373C7">
        <w:rPr>
          <w:i/>
        </w:rPr>
        <w:t>lostridium</w:t>
      </w:r>
      <w:r w:rsidR="001F2B0C" w:rsidRPr="006373C7">
        <w:rPr>
          <w:i/>
        </w:rPr>
        <w:t xml:space="preserve"> difficile</w:t>
      </w:r>
      <w:r w:rsidR="001F2B0C" w:rsidRPr="003C54EC">
        <w:t xml:space="preserve"> spores. </w:t>
      </w:r>
      <w:r w:rsidR="00935488">
        <w:t xml:space="preserve"> </w:t>
      </w:r>
      <w:r w:rsidR="00B079B1">
        <w:t>Subsequent g</w:t>
      </w:r>
      <w:r w:rsidR="00B079B1" w:rsidRPr="003C54EC">
        <w:t>ut flora dist</w:t>
      </w:r>
      <w:r w:rsidR="00B079B1">
        <w:t xml:space="preserve">urbance caused by antibiotics can lead to spore outgrowth and </w:t>
      </w:r>
      <w:r w:rsidR="001F2B0C" w:rsidRPr="003C54EC">
        <w:t>new toxin expression</w:t>
      </w:r>
      <w:r w:rsidR="00B079B1">
        <w:t>.</w:t>
      </w:r>
    </w:p>
    <w:p w:rsidR="00611D2B" w:rsidRDefault="001F2B0C" w:rsidP="00006346">
      <w:pPr>
        <w:pStyle w:val="3-BodyText"/>
      </w:pPr>
      <w:r w:rsidRPr="003C54EC">
        <w:t>Bezlotoxumab is a human monoclonal antibody tha</w:t>
      </w:r>
      <w:r w:rsidR="00F62E96">
        <w:t xml:space="preserve">t binds with high affinity to </w:t>
      </w:r>
      <w:r w:rsidR="00F62E96" w:rsidRPr="006373C7">
        <w:rPr>
          <w:i/>
        </w:rPr>
        <w:t>Clostridium</w:t>
      </w:r>
      <w:r w:rsidRPr="006373C7">
        <w:rPr>
          <w:i/>
        </w:rPr>
        <w:t xml:space="preserve"> difficile</w:t>
      </w:r>
      <w:r w:rsidRPr="003F5793">
        <w:t xml:space="preserve"> toxin B and neutralises its activity by preventing it from binding to host cells.  Bezlotoxumab is thought to prevent CDI recurrence by providing enhanced passive immunity against toxin produced by the outgrowth of persistent or newly-acquired CDI spores.  Bezlotoxumab is effective against toxins from a broad range of clinical isolates of CDI.  However, bezlotoxumab does not enhance the efficacy of antibiotics used to treat CDI.</w:t>
      </w:r>
    </w:p>
    <w:p w:rsidR="00B62355" w:rsidRDefault="001F2B0C" w:rsidP="00BD287D">
      <w:pPr>
        <w:pStyle w:val="3-BodyText"/>
      </w:pPr>
      <w:r w:rsidRPr="0029612F">
        <w:t xml:space="preserve">The </w:t>
      </w:r>
      <w:r w:rsidR="00297E0B">
        <w:t xml:space="preserve">PBAC noted the </w:t>
      </w:r>
      <w:r w:rsidRPr="0029612F">
        <w:t xml:space="preserve">clinical management algorithm was </w:t>
      </w:r>
      <w:r w:rsidR="00297E0B">
        <w:t xml:space="preserve">based on the Australasian Society of Infectious Diseases </w:t>
      </w:r>
      <w:r w:rsidR="00297E0B" w:rsidRPr="00BD287D">
        <w:rPr>
          <w:i/>
        </w:rPr>
        <w:t>Guidelines for the management of CDI in adults and children in Australia and New Zealand</w:t>
      </w:r>
      <w:r w:rsidR="00297E0B">
        <w:t xml:space="preserve"> (Trubiano et al, 2016). The PBAC noted the proposed clinical management algorithm was </w:t>
      </w:r>
      <w:r w:rsidRPr="0029612F">
        <w:t xml:space="preserve">unchanged from the July 2019 resubmission, indicating that patients at ‘high risk’ </w:t>
      </w:r>
      <w:r w:rsidR="0029612F" w:rsidRPr="0029612F">
        <w:t xml:space="preserve">(undefined) </w:t>
      </w:r>
      <w:r w:rsidRPr="0029612F">
        <w:t xml:space="preserve">of CDI recurrence will be administered bezlotoxumab as add-on to antibiotic </w:t>
      </w:r>
      <w:r w:rsidR="00297E0B">
        <w:t xml:space="preserve">therapy </w:t>
      </w:r>
      <w:r w:rsidRPr="0029612F">
        <w:t>for both initial and recurrent CDIs (non-severe and severe episodes).</w:t>
      </w:r>
      <w:r w:rsidR="00297E0B">
        <w:t xml:space="preserve"> The PBAC noted that </w:t>
      </w:r>
      <w:r w:rsidR="00A94550">
        <w:t>the 20</w:t>
      </w:r>
      <w:r w:rsidR="00B62355">
        <w:t>1</w:t>
      </w:r>
      <w:r w:rsidR="00A94550">
        <w:t xml:space="preserve">6 guidelines recommended </w:t>
      </w:r>
      <w:r w:rsidR="00297E0B" w:rsidRPr="00A64859">
        <w:t>faecal microbiota transplantation</w:t>
      </w:r>
      <w:r w:rsidR="00A94550">
        <w:t xml:space="preserve"> as a therapeutic option </w:t>
      </w:r>
      <w:r w:rsidR="0023019D">
        <w:t>for second or subsequent CDI recurrence</w:t>
      </w:r>
      <w:r w:rsidR="00A94550">
        <w:t xml:space="preserve"> (non-severe and severe episodes)</w:t>
      </w:r>
      <w:r w:rsidR="0023019D">
        <w:t xml:space="preserve"> if therapy wi</w:t>
      </w:r>
      <w:r w:rsidR="00A94550">
        <w:t>th vancomycin or fidaxomicin had</w:t>
      </w:r>
      <w:r w:rsidR="0023019D">
        <w:t xml:space="preserve"> failed and no contraindications.</w:t>
      </w:r>
      <w:r w:rsidR="005E0318">
        <w:rPr>
          <w:rStyle w:val="FootnoteReference"/>
        </w:rPr>
        <w:footnoteReference w:id="2"/>
      </w:r>
      <w:r w:rsidR="0023019D">
        <w:t xml:space="preserve"> </w:t>
      </w:r>
      <w:r w:rsidR="005E0318">
        <w:t>Th</w:t>
      </w:r>
      <w:r w:rsidR="004334D2">
        <w:t xml:space="preserve">e PBAC noted the </w:t>
      </w:r>
      <w:r w:rsidR="00B62355">
        <w:t xml:space="preserve">publication of the </w:t>
      </w:r>
      <w:r w:rsidR="004334D2" w:rsidRPr="009F36FA">
        <w:rPr>
          <w:i/>
        </w:rPr>
        <w:t>Australian consensus statements for the regulation, production and use of faecal microbiota transplantation in clinical practice</w:t>
      </w:r>
      <w:r w:rsidR="004334D2">
        <w:t xml:space="preserve"> in 2020.</w:t>
      </w:r>
      <w:r w:rsidR="005E0318">
        <w:rPr>
          <w:rStyle w:val="FootnoteReference"/>
        </w:rPr>
        <w:footnoteReference w:id="3"/>
      </w:r>
      <w:r w:rsidR="005E0318">
        <w:t xml:space="preserve"> </w:t>
      </w:r>
      <w:r w:rsidR="00B81349">
        <w:t xml:space="preserve">The PBAC noted the consensus statements recommend </w:t>
      </w:r>
      <w:r w:rsidR="00A94550">
        <w:t>antibiotics as first-line therapy for an initial episode of CDI with evidence for this statement rated as high according to the Grading of Recommendations Assessment, Development and Evaluation</w:t>
      </w:r>
      <w:r w:rsidR="002802B5">
        <w:t xml:space="preserve"> (GRADE) tool </w:t>
      </w:r>
      <w:r w:rsidR="00B62355">
        <w:t>and</w:t>
      </w:r>
      <w:r w:rsidR="002802B5">
        <w:t xml:space="preserve"> the strength of evidence rated as strong. The PBAC noted that </w:t>
      </w:r>
      <w:r w:rsidR="00B81349">
        <w:t xml:space="preserve">faecal microbiota </w:t>
      </w:r>
      <w:r w:rsidR="00B81349" w:rsidRPr="004334D2">
        <w:t>transplantation</w:t>
      </w:r>
      <w:r w:rsidR="00B81349">
        <w:t xml:space="preserve"> </w:t>
      </w:r>
      <w:r w:rsidR="002802B5">
        <w:t xml:space="preserve">is recommended </w:t>
      </w:r>
      <w:r w:rsidR="00B81349">
        <w:t xml:space="preserve">for patients with recurrent CDI </w:t>
      </w:r>
      <w:r w:rsidR="00452EC9">
        <w:t xml:space="preserve">with evidence for this statement rated as high according to the GRADE tool </w:t>
      </w:r>
      <w:r w:rsidR="00B62355">
        <w:t xml:space="preserve">and </w:t>
      </w:r>
      <w:r w:rsidR="00452EC9">
        <w:t>the strength of the evidence rated as strong</w:t>
      </w:r>
      <w:r w:rsidR="002802B5">
        <w:t xml:space="preserve">. The PBAC considered that the 2020 Australian consensus statements </w:t>
      </w:r>
      <w:r w:rsidR="002802B5">
        <w:lastRenderedPageBreak/>
        <w:t xml:space="preserve">confirm a shift in the clinical management algorithm for CDI with a preference for the use of faecal microbiota </w:t>
      </w:r>
      <w:r w:rsidR="002802B5" w:rsidRPr="004334D2">
        <w:t>transplantation</w:t>
      </w:r>
      <w:r w:rsidR="002802B5">
        <w:t xml:space="preserve"> in the treatment of recurrence.  </w:t>
      </w:r>
    </w:p>
    <w:p w:rsidR="00CF61E7" w:rsidRPr="0029612F" w:rsidRDefault="00CF61E7" w:rsidP="00B62355">
      <w:pPr>
        <w:pStyle w:val="3-BodyText"/>
        <w:numPr>
          <w:ilvl w:val="0"/>
          <w:numId w:val="0"/>
        </w:numPr>
        <w:ind w:left="720"/>
      </w:pPr>
      <w:r w:rsidRPr="00CF61E7">
        <w:rPr>
          <w:i/>
        </w:rPr>
        <w:t>For more detail on PBAC’s view, see section 7 PBAC outcome</w:t>
      </w:r>
      <w:r>
        <w:t>.</w:t>
      </w:r>
    </w:p>
    <w:p w:rsidR="00B50DB8" w:rsidRPr="00D87ED5" w:rsidRDefault="00B50DB8" w:rsidP="004E18E9">
      <w:pPr>
        <w:pStyle w:val="2-SectionHeading"/>
      </w:pPr>
      <w:bookmarkStart w:id="8" w:name="_Toc30493360"/>
      <w:r w:rsidRPr="00D87ED5">
        <w:t>Comparator</w:t>
      </w:r>
      <w:bookmarkEnd w:id="8"/>
    </w:p>
    <w:p w:rsidR="00BC33DE" w:rsidRPr="00BD287D" w:rsidRDefault="00BC33DE" w:rsidP="00006346">
      <w:pPr>
        <w:pStyle w:val="3-BodyText"/>
      </w:pPr>
      <w:r w:rsidRPr="00A64859">
        <w:rPr>
          <w:rFonts w:cs="Calibri"/>
          <w:snapToGrid/>
          <w:lang w:val="en-US"/>
        </w:rPr>
        <w:t xml:space="preserve">The </w:t>
      </w:r>
      <w:r w:rsidRPr="00A64859">
        <w:t>resubmission nominat</w:t>
      </w:r>
      <w:r w:rsidR="00D87ED5" w:rsidRPr="00A64859">
        <w:t xml:space="preserve">ed </w:t>
      </w:r>
      <w:r w:rsidRPr="00A64859">
        <w:t>SoC as the main comparator, unchanged from the previous submissions.  In July 2018, the PBAC considered placebo or SoC was the appropriate comparator, but also noted that other options, such as fidaxomicin or faecal microbiota transplantation may be treatments that are avoided or delayed as a result of treatment with bezlotoxumab treatment (paragraph 5.1; bezlotoxumab, Public Summary Document, July 2018 PBAC meeting)</w:t>
      </w:r>
      <w:r w:rsidRPr="00A64859">
        <w:rPr>
          <w:rFonts w:cs="Calibri"/>
          <w:snapToGrid/>
          <w:lang w:val="en-US"/>
        </w:rPr>
        <w:t>.</w:t>
      </w:r>
    </w:p>
    <w:p w:rsidR="00BD287D" w:rsidRPr="00174F73" w:rsidRDefault="00BD287D" w:rsidP="00006346">
      <w:pPr>
        <w:pStyle w:val="3-BodyText"/>
        <w:rPr>
          <w:iCs/>
        </w:rPr>
      </w:pPr>
      <w:r w:rsidRPr="00035BCB">
        <w:rPr>
          <w:iCs/>
        </w:rPr>
        <w:t>The PBAC considered that, with the recent shift in the clinical management algorithm outline above</w:t>
      </w:r>
      <w:r w:rsidR="00174F73">
        <w:rPr>
          <w:iCs/>
        </w:rPr>
        <w:t xml:space="preserve"> (see paragraph 4</w:t>
      </w:r>
      <w:r w:rsidRPr="00035BCB">
        <w:rPr>
          <w:iCs/>
        </w:rPr>
        <w:t>.3),</w:t>
      </w:r>
      <w:r w:rsidR="00174F73">
        <w:rPr>
          <w:iCs/>
        </w:rPr>
        <w:t xml:space="preserve"> SoC </w:t>
      </w:r>
      <w:r w:rsidR="00174F73" w:rsidRPr="00174F73">
        <w:rPr>
          <w:iCs/>
        </w:rPr>
        <w:t xml:space="preserve">antibacterial therapy </w:t>
      </w:r>
      <w:r w:rsidR="00174F73">
        <w:rPr>
          <w:iCs/>
        </w:rPr>
        <w:t xml:space="preserve">alone does not accurately reflect current clinical practice where </w:t>
      </w:r>
      <w:r w:rsidR="00174F73" w:rsidRPr="00A64859">
        <w:t>faecal microbiota transplantation</w:t>
      </w:r>
      <w:r w:rsidR="00174F73">
        <w:t xml:space="preserve"> is a preferred treatment option for CDI recurrence. </w:t>
      </w:r>
    </w:p>
    <w:p w:rsidR="00CF61E7" w:rsidRPr="00A64859" w:rsidRDefault="00CF61E7" w:rsidP="002802B5">
      <w:pPr>
        <w:pStyle w:val="3-BodyText"/>
        <w:numPr>
          <w:ilvl w:val="0"/>
          <w:numId w:val="0"/>
        </w:numPr>
        <w:ind w:left="720"/>
      </w:pPr>
      <w:r w:rsidRPr="00CF61E7">
        <w:rPr>
          <w:i/>
        </w:rPr>
        <w:t>For more detail on PBAC’s view, see section 7 PBAC outcome.</w:t>
      </w:r>
    </w:p>
    <w:p w:rsidR="00223D5A" w:rsidRPr="00407F2D" w:rsidRDefault="00223D5A" w:rsidP="00006346">
      <w:pPr>
        <w:pStyle w:val="2-SectionHeading"/>
      </w:pPr>
      <w:bookmarkStart w:id="9" w:name="_Toc30493361"/>
      <w:bookmarkStart w:id="10" w:name="_Toc22897640"/>
      <w:r>
        <w:t>C</w:t>
      </w:r>
      <w:r w:rsidRPr="00407F2D">
        <w:t>onsideration of the evidence</w:t>
      </w:r>
      <w:bookmarkEnd w:id="9"/>
    </w:p>
    <w:p w:rsidR="00CF61E7" w:rsidRPr="00CF61E7" w:rsidRDefault="00CF61E7" w:rsidP="00CF61E7">
      <w:pPr>
        <w:pStyle w:val="4-SubsectionHeading"/>
      </w:pPr>
      <w:bookmarkStart w:id="11" w:name="_Toc30493362"/>
      <w:r w:rsidRPr="00CF61E7">
        <w:t>Sponsor hearing</w:t>
      </w:r>
    </w:p>
    <w:p w:rsidR="00CF61E7" w:rsidRDefault="00CF61E7" w:rsidP="00CF61E7">
      <w:pPr>
        <w:pStyle w:val="3-BodyText"/>
      </w:pPr>
      <w:r>
        <w:t>The</w:t>
      </w:r>
      <w:r w:rsidR="001D5D62">
        <w:t>re was no hearing for this item</w:t>
      </w:r>
      <w:r>
        <w:t>.</w:t>
      </w:r>
    </w:p>
    <w:p w:rsidR="00CF61E7" w:rsidRPr="00CF61E7" w:rsidRDefault="00CF61E7" w:rsidP="00CF61E7">
      <w:pPr>
        <w:pStyle w:val="4-SubsectionHeading"/>
      </w:pPr>
      <w:r w:rsidRPr="00CF61E7">
        <w:t>Consumer comments</w:t>
      </w:r>
    </w:p>
    <w:p w:rsidR="00CF61E7" w:rsidRDefault="00CF61E7" w:rsidP="002E4F02">
      <w:pPr>
        <w:pStyle w:val="3-BodyText"/>
        <w:numPr>
          <w:ilvl w:val="1"/>
          <w:numId w:val="5"/>
        </w:numPr>
      </w:pPr>
      <w:r>
        <w:t>The PBAC noted that no consumer comme</w:t>
      </w:r>
      <w:r w:rsidR="001D5D62">
        <w:t>nts were received for this item</w:t>
      </w:r>
      <w:r>
        <w:t>.</w:t>
      </w:r>
    </w:p>
    <w:p w:rsidR="00B60939" w:rsidRPr="00C9624D" w:rsidRDefault="00B60939" w:rsidP="002E4F02">
      <w:pPr>
        <w:pStyle w:val="4-SubsectionHeading"/>
      </w:pPr>
      <w:r w:rsidRPr="00C9624D">
        <w:t>Clinical trials</w:t>
      </w:r>
      <w:bookmarkEnd w:id="10"/>
      <w:bookmarkEnd w:id="11"/>
    </w:p>
    <w:p w:rsidR="00DF62EF" w:rsidRDefault="004241D6" w:rsidP="00006346">
      <w:pPr>
        <w:pStyle w:val="3-BodyText"/>
        <w:numPr>
          <w:ilvl w:val="1"/>
          <w:numId w:val="5"/>
        </w:numPr>
      </w:pPr>
      <w:r w:rsidRPr="000B15EF">
        <w:rPr>
          <w:rFonts w:cs="Calibri"/>
          <w:snapToGrid/>
          <w:lang w:val="en-US"/>
        </w:rPr>
        <w:t xml:space="preserve">The </w:t>
      </w:r>
      <w:r w:rsidRPr="000B15EF">
        <w:t xml:space="preserve">resubmission was based on the same trials as the previous submissions: two head-to-head randomised trials comparing bezlotoxumab to placebo (MODIFY I and MODIFY II).  The resubmission presented new data for a </w:t>
      </w:r>
      <w:r w:rsidRPr="000B15EF">
        <w:rPr>
          <w:i/>
          <w:iCs/>
        </w:rPr>
        <w:t>post-hoc</w:t>
      </w:r>
      <w:r w:rsidRPr="000B15EF">
        <w:t xml:space="preserve"> subgroup of patients with </w:t>
      </w:r>
      <w:r w:rsidRPr="000B15EF">
        <w:rPr>
          <w:rFonts w:cs="Calibri"/>
        </w:rPr>
        <w:t>≥</w:t>
      </w:r>
      <w:r w:rsidRPr="000B15EF">
        <w:t xml:space="preserve">1 of 2 risk factors (age </w:t>
      </w:r>
      <w:r w:rsidRPr="000B15EF">
        <w:rPr>
          <w:rFonts w:cs="Calibri"/>
        </w:rPr>
        <w:t>≥</w:t>
      </w:r>
      <w:r w:rsidRPr="000B15EF">
        <w:t>65, history of CDI in past 6 months), which was conducted for this resubmission.</w:t>
      </w:r>
      <w:r w:rsidR="00920ABD">
        <w:t xml:space="preserve"> </w:t>
      </w:r>
      <w:r w:rsidR="00920ABD" w:rsidRPr="00A873A2">
        <w:t>The ESC considered that the use of the post-hoc subgroup of patients with ≥1 of 2 risk factors reduced the sample size significantly and increased the potential for selection bias.</w:t>
      </w:r>
      <w:r w:rsidR="00920ABD">
        <w:rPr>
          <w:i/>
        </w:rPr>
        <w:t xml:space="preserve">  </w:t>
      </w:r>
    </w:p>
    <w:p w:rsidR="004241D6" w:rsidRPr="004D0A1C" w:rsidRDefault="004241D6" w:rsidP="00006346">
      <w:pPr>
        <w:pStyle w:val="3-BodyText"/>
        <w:numPr>
          <w:ilvl w:val="1"/>
          <w:numId w:val="5"/>
        </w:numPr>
      </w:pPr>
      <w:r w:rsidRPr="000B15EF">
        <w:rPr>
          <w:szCs w:val="22"/>
          <w:lang w:eastAsia="en-US"/>
        </w:rPr>
        <w:t xml:space="preserve">The resubmission stated that there was no data in the MODIFY trials specific to immunocompromised patients due to HSCT or SOT.  The “immunocompromised” subgroup in the trials refers to a broad range of immunocompromised patients on the basis of their medical history or use of immunosuppressive therapy.  </w:t>
      </w:r>
      <w:r w:rsidR="00611D2B">
        <w:rPr>
          <w:szCs w:val="22"/>
          <w:lang w:eastAsia="en-US"/>
        </w:rPr>
        <w:t xml:space="preserve">Available </w:t>
      </w:r>
      <w:r w:rsidRPr="000B15EF">
        <w:rPr>
          <w:szCs w:val="22"/>
          <w:lang w:eastAsia="en-US"/>
        </w:rPr>
        <w:t>data indicated only 18 patients had received a stem cell transplant</w:t>
      </w:r>
      <w:r w:rsidR="00611D2B">
        <w:rPr>
          <w:szCs w:val="22"/>
          <w:lang w:eastAsia="en-US"/>
        </w:rPr>
        <w:t xml:space="preserve"> and history of organ transplant was unknown</w:t>
      </w:r>
      <w:r w:rsidRPr="000B15EF">
        <w:rPr>
          <w:szCs w:val="22"/>
          <w:lang w:eastAsia="en-US"/>
        </w:rPr>
        <w:t>.</w:t>
      </w:r>
    </w:p>
    <w:p w:rsidR="004D0A1C" w:rsidRPr="00A64859" w:rsidRDefault="004D0A1C" w:rsidP="00006346">
      <w:pPr>
        <w:pStyle w:val="3-BodyText"/>
        <w:rPr>
          <w:lang w:eastAsia="en-US"/>
        </w:rPr>
      </w:pPr>
      <w:r w:rsidRPr="00A64859">
        <w:rPr>
          <w:iCs/>
        </w:rPr>
        <w:lastRenderedPageBreak/>
        <w:t xml:space="preserve">Approximately one third of patients enrolled in the MODIFY trials (N=520/1554) had toxin B positive CDI and met the revised risk criteria (i.e. </w:t>
      </w:r>
      <w:r w:rsidRPr="00A64859">
        <w:rPr>
          <w:rFonts w:cs="Calibri"/>
          <w:iCs/>
        </w:rPr>
        <w:t>≥</w:t>
      </w:r>
      <w:r w:rsidRPr="00A64859">
        <w:rPr>
          <w:iCs/>
        </w:rPr>
        <w:t xml:space="preserve">1 of 2 risk factors).  </w:t>
      </w:r>
      <w:r w:rsidR="00920ABD" w:rsidRPr="00A86015">
        <w:rPr>
          <w:iCs/>
        </w:rPr>
        <w:t xml:space="preserve">The ESC noted that </w:t>
      </w:r>
      <w:r w:rsidR="00920ABD" w:rsidRPr="00A86015">
        <w:rPr>
          <w:rFonts w:cs="Calibri"/>
          <w:iCs/>
          <w:lang w:eastAsia="en-US"/>
        </w:rPr>
        <w:t>s</w:t>
      </w:r>
      <w:r w:rsidRPr="00A86015">
        <w:rPr>
          <w:rFonts w:cs="Calibri"/>
          <w:iCs/>
          <w:lang w:eastAsia="en-US"/>
        </w:rPr>
        <w:t>everal baseline char</w:t>
      </w:r>
      <w:r w:rsidRPr="00A64859">
        <w:rPr>
          <w:rFonts w:cs="Calibri"/>
          <w:iCs/>
          <w:lang w:eastAsia="en-US"/>
        </w:rPr>
        <w:t xml:space="preserve">acteristics were not balanced </w:t>
      </w:r>
      <w:r w:rsidR="00E637B6" w:rsidRPr="00A64859">
        <w:rPr>
          <w:rFonts w:cs="Calibri"/>
          <w:iCs/>
          <w:lang w:eastAsia="en-US"/>
        </w:rPr>
        <w:t xml:space="preserve">between arms </w:t>
      </w:r>
      <w:r w:rsidRPr="00A64859">
        <w:rPr>
          <w:rFonts w:cs="Calibri"/>
          <w:iCs/>
          <w:lang w:eastAsia="en-US"/>
        </w:rPr>
        <w:t>in the post-hoc subgroup</w:t>
      </w:r>
      <w:r w:rsidR="00675C19" w:rsidRPr="00A64859">
        <w:rPr>
          <w:rFonts w:cs="Calibri"/>
          <w:iCs/>
          <w:lang w:eastAsia="en-US"/>
        </w:rPr>
        <w:t>,</w:t>
      </w:r>
      <w:r w:rsidRPr="00A64859">
        <w:rPr>
          <w:rFonts w:cs="Calibri"/>
          <w:iCs/>
          <w:lang w:eastAsia="en-US"/>
        </w:rPr>
        <w:t xml:space="preserve"> with patients treated with bezlotoxumab being more likely to be male (45% vs 38%), treated as an inpatient (84% vs 77%), weigh &gt;100kg (6% vs 3%) and have no CDI in the past 6 months (63% vs 57%) compared to placebo.</w:t>
      </w:r>
    </w:p>
    <w:p w:rsidR="004241D6" w:rsidRPr="007915CB" w:rsidRDefault="00F62E96" w:rsidP="00006346">
      <w:pPr>
        <w:pStyle w:val="3-BodyText"/>
        <w:widowControl w:val="0"/>
        <w:numPr>
          <w:ilvl w:val="1"/>
          <w:numId w:val="5"/>
        </w:numPr>
        <w:rPr>
          <w:rStyle w:val="CommentReference"/>
          <w:lang w:eastAsia="en-US"/>
        </w:rPr>
      </w:pPr>
      <w:r>
        <w:rPr>
          <w:snapToGrid/>
          <w:lang w:val="en-US"/>
        </w:rPr>
        <w:t xml:space="preserve">Table 5 provides </w:t>
      </w:r>
      <w:r w:rsidR="004241D6" w:rsidRPr="007915CB">
        <w:rPr>
          <w:snapToGrid/>
          <w:lang w:val="en-US"/>
        </w:rPr>
        <w:t xml:space="preserve">the trials </w:t>
      </w:r>
      <w:r>
        <w:rPr>
          <w:snapToGrid/>
          <w:lang w:val="en-US"/>
        </w:rPr>
        <w:t xml:space="preserve">and associated reports </w:t>
      </w:r>
      <w:r w:rsidR="004241D6" w:rsidRPr="007915CB">
        <w:rPr>
          <w:snapToGrid/>
          <w:lang w:val="en-US"/>
        </w:rPr>
        <w:t xml:space="preserve">presented in the </w:t>
      </w:r>
      <w:r w:rsidR="00D4151E">
        <w:rPr>
          <w:snapToGrid/>
          <w:lang w:val="en-US"/>
        </w:rPr>
        <w:t>re</w:t>
      </w:r>
      <w:r>
        <w:rPr>
          <w:snapToGrid/>
          <w:lang w:val="en-US"/>
        </w:rPr>
        <w:t>submission.</w:t>
      </w:r>
    </w:p>
    <w:p w:rsidR="004241D6" w:rsidRPr="00AE6AE0" w:rsidRDefault="004241D6" w:rsidP="00F84C93">
      <w:pPr>
        <w:keepNext/>
        <w:jc w:val="left"/>
        <w:rPr>
          <w:rFonts w:ascii="Arial Narrow" w:eastAsiaTheme="majorEastAsia" w:hAnsi="Arial Narrow" w:cstheme="majorBidi"/>
          <w:b/>
          <w:bCs/>
          <w:sz w:val="20"/>
        </w:rPr>
      </w:pPr>
      <w:r w:rsidRPr="00AE6AE0">
        <w:rPr>
          <w:rFonts w:ascii="Arial Narrow" w:eastAsiaTheme="majorEastAsia" w:hAnsi="Arial Narrow" w:cstheme="majorBidi"/>
          <w:b/>
          <w:bCs/>
          <w:sz w:val="20"/>
        </w:rPr>
        <w:t>Table 5: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4940"/>
        <w:gridCol w:w="2642"/>
      </w:tblGrid>
      <w:tr w:rsidR="004241D6" w:rsidRPr="0080260B" w:rsidTr="00DD33B9">
        <w:trPr>
          <w:tblHeader/>
        </w:trPr>
        <w:tc>
          <w:tcPr>
            <w:tcW w:w="796" w:type="pct"/>
            <w:vAlign w:val="center"/>
          </w:tcPr>
          <w:p w:rsidR="004241D6" w:rsidRPr="0080260B" w:rsidRDefault="004241D6" w:rsidP="00F84C93">
            <w:pPr>
              <w:keepNext/>
              <w:jc w:val="left"/>
              <w:rPr>
                <w:rFonts w:ascii="Arial Narrow" w:hAnsi="Arial Narrow" w:cs="Times New Roman"/>
                <w:b/>
                <w:sz w:val="20"/>
                <w:szCs w:val="22"/>
                <w:lang w:eastAsia="en-US"/>
              </w:rPr>
            </w:pPr>
            <w:r w:rsidRPr="0080260B">
              <w:rPr>
                <w:rFonts w:ascii="Arial Narrow" w:hAnsi="Arial Narrow" w:cs="Times New Roman"/>
                <w:b/>
                <w:sz w:val="20"/>
                <w:szCs w:val="22"/>
                <w:lang w:eastAsia="en-US"/>
              </w:rPr>
              <w:t>Trial ID</w:t>
            </w:r>
          </w:p>
        </w:tc>
        <w:tc>
          <w:tcPr>
            <w:tcW w:w="2739" w:type="pct"/>
            <w:tcBorders>
              <w:bottom w:val="single" w:sz="4" w:space="0" w:color="auto"/>
            </w:tcBorders>
            <w:vAlign w:val="center"/>
          </w:tcPr>
          <w:p w:rsidR="004241D6" w:rsidRPr="0080260B" w:rsidRDefault="004241D6" w:rsidP="00F84C93">
            <w:pPr>
              <w:keepNext/>
              <w:jc w:val="center"/>
              <w:rPr>
                <w:rFonts w:ascii="Arial Narrow" w:hAnsi="Arial Narrow" w:cs="Times New Roman"/>
                <w:b/>
                <w:sz w:val="20"/>
                <w:szCs w:val="22"/>
                <w:lang w:eastAsia="en-US"/>
              </w:rPr>
            </w:pPr>
            <w:r w:rsidRPr="0080260B">
              <w:rPr>
                <w:rFonts w:ascii="Arial Narrow" w:hAnsi="Arial Narrow" w:cs="Times New Roman"/>
                <w:b/>
                <w:sz w:val="20"/>
                <w:szCs w:val="22"/>
                <w:lang w:eastAsia="en-US"/>
              </w:rPr>
              <w:t>Protocol title/ Publication title</w:t>
            </w:r>
          </w:p>
        </w:tc>
        <w:tc>
          <w:tcPr>
            <w:tcW w:w="1465" w:type="pct"/>
            <w:tcBorders>
              <w:bottom w:val="single" w:sz="4" w:space="0" w:color="auto"/>
            </w:tcBorders>
            <w:vAlign w:val="center"/>
          </w:tcPr>
          <w:p w:rsidR="004241D6" w:rsidRPr="0080260B" w:rsidRDefault="004241D6" w:rsidP="00F84C93">
            <w:pPr>
              <w:keepNext/>
              <w:jc w:val="center"/>
              <w:rPr>
                <w:rFonts w:ascii="Arial Narrow" w:hAnsi="Arial Narrow" w:cs="Times New Roman"/>
                <w:b/>
                <w:sz w:val="20"/>
                <w:szCs w:val="22"/>
                <w:lang w:eastAsia="en-US"/>
              </w:rPr>
            </w:pPr>
            <w:r w:rsidRPr="0080260B">
              <w:rPr>
                <w:rFonts w:ascii="Arial Narrow" w:hAnsi="Arial Narrow" w:cs="Times New Roman"/>
                <w:b/>
                <w:sz w:val="20"/>
                <w:szCs w:val="22"/>
                <w:lang w:eastAsia="en-US"/>
              </w:rPr>
              <w:t>Publication citation</w:t>
            </w:r>
          </w:p>
        </w:tc>
      </w:tr>
      <w:tr w:rsidR="004241D6" w:rsidRPr="0080260B" w:rsidTr="00DD33B9">
        <w:trPr>
          <w:trHeight w:val="1157"/>
        </w:trPr>
        <w:tc>
          <w:tcPr>
            <w:tcW w:w="796" w:type="pct"/>
            <w:tcBorders>
              <w:right w:val="single" w:sz="4" w:space="0" w:color="auto"/>
            </w:tcBorders>
            <w:shd w:val="clear" w:color="auto" w:fill="B8CCE4" w:themeFill="accent1" w:themeFillTint="66"/>
            <w:vAlign w:val="center"/>
          </w:tcPr>
          <w:p w:rsidR="004241D6" w:rsidRPr="0080260B" w:rsidRDefault="004241D6" w:rsidP="00F84C93">
            <w:pPr>
              <w:keepNext/>
              <w:jc w:val="left"/>
              <w:rPr>
                <w:rFonts w:ascii="Arial Narrow" w:hAnsi="Arial Narrow" w:cs="Times New Roman"/>
                <w:sz w:val="20"/>
                <w:szCs w:val="22"/>
                <w:lang w:eastAsia="en-US"/>
              </w:rPr>
            </w:pPr>
            <w:r w:rsidRPr="0080260B">
              <w:rPr>
                <w:rFonts w:ascii="Arial Narrow" w:hAnsi="Arial Narrow" w:cs="Times New Roman"/>
                <w:sz w:val="20"/>
                <w:szCs w:val="22"/>
                <w:lang w:eastAsia="en-US"/>
              </w:rPr>
              <w:t>MODIFY I</w:t>
            </w:r>
          </w:p>
        </w:tc>
        <w:tc>
          <w:tcPr>
            <w:tcW w:w="2739" w:type="pct"/>
            <w:tcBorders>
              <w:top w:val="single" w:sz="4" w:space="0" w:color="auto"/>
              <w:left w:val="single" w:sz="4" w:space="0" w:color="auto"/>
              <w:right w:val="single" w:sz="4" w:space="0" w:color="auto"/>
            </w:tcBorders>
            <w:shd w:val="clear" w:color="auto" w:fill="B8CCE4" w:themeFill="accent1" w:themeFillTint="66"/>
          </w:tcPr>
          <w:p w:rsidR="004241D6" w:rsidRPr="0080260B" w:rsidRDefault="004241D6" w:rsidP="00F84C93">
            <w:pPr>
              <w:keepNext/>
              <w:jc w:val="left"/>
              <w:rPr>
                <w:rFonts w:ascii="Arial Narrow" w:hAnsi="Arial Narrow" w:cs="Times New Roman"/>
                <w:sz w:val="20"/>
                <w:szCs w:val="22"/>
                <w:lang w:eastAsia="en-US"/>
              </w:rPr>
            </w:pPr>
            <w:r w:rsidRPr="0080260B">
              <w:rPr>
                <w:rFonts w:ascii="Arial Narrow" w:hAnsi="Arial Narrow" w:cstheme="minorBidi"/>
                <w:sz w:val="20"/>
                <w:szCs w:val="22"/>
                <w:lang w:eastAsia="en-US"/>
              </w:rPr>
              <w:t xml:space="preserve">A Phase III, Randomized, Double-Blind, Placebo-Controlled, Adaptive Design Study of the Efficacy, Safety, and Tolerability of a Single Infusion of MK-3415 (Human Monoclonal Antibody to Clostridium difficile toxin A), MK-3067 (Human Monoclonal Antibody to </w:t>
            </w:r>
            <w:r w:rsidRPr="0080260B">
              <w:rPr>
                <w:rFonts w:ascii="Arial Narrow" w:hAnsi="Arial Narrow" w:cstheme="minorBidi"/>
                <w:i/>
                <w:iCs/>
                <w:sz w:val="20"/>
                <w:szCs w:val="22"/>
                <w:lang w:eastAsia="en-US"/>
              </w:rPr>
              <w:t>C. difficile</w:t>
            </w:r>
            <w:r w:rsidRPr="0080260B">
              <w:rPr>
                <w:rFonts w:ascii="Arial Narrow" w:hAnsi="Arial Narrow" w:cstheme="minorBidi"/>
                <w:sz w:val="20"/>
                <w:szCs w:val="22"/>
                <w:lang w:eastAsia="en-US"/>
              </w:rPr>
              <w:t xml:space="preserve"> toxin B), and MK-3415A (Human Monoclonal Antibodies to </w:t>
            </w:r>
            <w:r w:rsidRPr="0080260B">
              <w:rPr>
                <w:rFonts w:ascii="Arial Narrow" w:hAnsi="Arial Narrow" w:cstheme="minorBidi"/>
                <w:i/>
                <w:iCs/>
                <w:sz w:val="20"/>
                <w:szCs w:val="22"/>
                <w:lang w:eastAsia="en-US"/>
              </w:rPr>
              <w:t>C. difficile</w:t>
            </w:r>
            <w:r w:rsidRPr="0080260B">
              <w:rPr>
                <w:rFonts w:ascii="Arial Narrow" w:hAnsi="Arial Narrow" w:cstheme="minorBidi"/>
                <w:sz w:val="20"/>
                <w:szCs w:val="22"/>
                <w:lang w:eastAsia="en-US"/>
              </w:rPr>
              <w:t xml:space="preserve"> toxin A and toxin B) in Patient Receiving Antibiotic Therapy for </w:t>
            </w:r>
            <w:r w:rsidRPr="0080260B">
              <w:rPr>
                <w:rFonts w:ascii="Arial Narrow" w:hAnsi="Arial Narrow" w:cstheme="minorBidi"/>
                <w:i/>
                <w:iCs/>
                <w:sz w:val="20"/>
                <w:szCs w:val="22"/>
                <w:lang w:eastAsia="en-US"/>
              </w:rPr>
              <w:t>C. difficile</w:t>
            </w:r>
            <w:r w:rsidRPr="0080260B">
              <w:rPr>
                <w:rFonts w:ascii="Arial Narrow" w:hAnsi="Arial Narrow" w:cstheme="minorBidi"/>
                <w:sz w:val="20"/>
                <w:szCs w:val="22"/>
                <w:lang w:eastAsia="en-US"/>
              </w:rPr>
              <w:t xml:space="preserve"> Infection (MODIFY I).</w:t>
            </w:r>
          </w:p>
        </w:tc>
        <w:tc>
          <w:tcPr>
            <w:tcW w:w="1465" w:type="pct"/>
            <w:tcBorders>
              <w:top w:val="single" w:sz="4" w:space="0" w:color="auto"/>
              <w:left w:val="single" w:sz="4" w:space="0" w:color="auto"/>
              <w:right w:val="single" w:sz="4" w:space="0" w:color="auto"/>
            </w:tcBorders>
            <w:shd w:val="clear" w:color="auto" w:fill="B8CCE4" w:themeFill="accent1" w:themeFillTint="66"/>
            <w:vAlign w:val="center"/>
          </w:tcPr>
          <w:p w:rsidR="004241D6" w:rsidRPr="0080260B" w:rsidRDefault="004241D6" w:rsidP="00F84C93">
            <w:pPr>
              <w:keepNext/>
              <w:jc w:val="left"/>
              <w:rPr>
                <w:rFonts w:ascii="Arial Narrow" w:hAnsi="Arial Narrow" w:cs="Times New Roman"/>
                <w:sz w:val="20"/>
                <w:szCs w:val="22"/>
                <w:lang w:eastAsia="en-US"/>
              </w:rPr>
            </w:pPr>
            <w:r w:rsidRPr="0080260B">
              <w:rPr>
                <w:rFonts w:ascii="Arial Narrow" w:hAnsi="Arial Narrow" w:cs="Times New Roman"/>
                <w:sz w:val="20"/>
                <w:szCs w:val="22"/>
                <w:lang w:eastAsia="en-US"/>
              </w:rPr>
              <w:t>October 2015</w:t>
            </w:r>
          </w:p>
        </w:tc>
      </w:tr>
      <w:tr w:rsidR="004241D6" w:rsidRPr="0080260B" w:rsidTr="00DD33B9">
        <w:trPr>
          <w:trHeight w:val="1157"/>
        </w:trPr>
        <w:tc>
          <w:tcPr>
            <w:tcW w:w="796" w:type="pct"/>
            <w:tcBorders>
              <w:right w:val="single" w:sz="4" w:space="0" w:color="auto"/>
            </w:tcBorders>
            <w:shd w:val="clear" w:color="auto" w:fill="B8CCE4" w:themeFill="accent1" w:themeFillTint="66"/>
            <w:vAlign w:val="center"/>
          </w:tcPr>
          <w:p w:rsidR="004241D6" w:rsidRPr="0080260B" w:rsidRDefault="004241D6" w:rsidP="00F84C93">
            <w:pPr>
              <w:keepNext/>
              <w:jc w:val="left"/>
              <w:rPr>
                <w:rFonts w:ascii="Arial Narrow" w:hAnsi="Arial Narrow" w:cs="Times New Roman"/>
                <w:sz w:val="20"/>
                <w:szCs w:val="22"/>
                <w:lang w:eastAsia="en-US"/>
              </w:rPr>
            </w:pPr>
            <w:r w:rsidRPr="0080260B">
              <w:rPr>
                <w:rFonts w:ascii="Arial Narrow" w:hAnsi="Arial Narrow" w:cs="Times New Roman"/>
                <w:sz w:val="20"/>
                <w:szCs w:val="22"/>
                <w:lang w:eastAsia="en-US"/>
              </w:rPr>
              <w:t>MODIFY II</w:t>
            </w:r>
          </w:p>
        </w:tc>
        <w:tc>
          <w:tcPr>
            <w:tcW w:w="2739" w:type="pct"/>
            <w:tcBorders>
              <w:top w:val="single" w:sz="4" w:space="0" w:color="auto"/>
              <w:left w:val="single" w:sz="4" w:space="0" w:color="auto"/>
              <w:right w:val="single" w:sz="4" w:space="0" w:color="auto"/>
            </w:tcBorders>
            <w:shd w:val="clear" w:color="auto" w:fill="B8CCE4" w:themeFill="accent1" w:themeFillTint="66"/>
            <w:vAlign w:val="center"/>
          </w:tcPr>
          <w:p w:rsidR="004241D6" w:rsidRPr="0080260B" w:rsidRDefault="004241D6" w:rsidP="00F84C93">
            <w:pPr>
              <w:keepNext/>
              <w:jc w:val="left"/>
              <w:rPr>
                <w:rFonts w:ascii="Arial Narrow" w:hAnsi="Arial Narrow" w:cstheme="minorBidi"/>
                <w:sz w:val="20"/>
                <w:szCs w:val="22"/>
                <w:lang w:eastAsia="en-US"/>
              </w:rPr>
            </w:pPr>
            <w:r w:rsidRPr="0080260B">
              <w:rPr>
                <w:rFonts w:ascii="Arial Narrow" w:hAnsi="Arial Narrow"/>
                <w:snapToGrid w:val="0"/>
                <w:sz w:val="20"/>
                <w:szCs w:val="20"/>
                <w:lang w:eastAsia="en-US"/>
              </w:rPr>
              <w:t>A Phase III, Randomized, Double-Blind, Placebo-Controlled Study of the Efficacy, Safety and Tolerability of a Single Infusion of MK-6072 (Human Monoclonal Antibody to Clostridium difficile toxin B), and MK3415A (Human Monoclonal Antibodies to Clostridium difficile toxin A and B) in Patients Receiving Antibiotic Therapy for Clostridium difficile Infection (MODIFY II)</w:t>
            </w:r>
          </w:p>
        </w:tc>
        <w:tc>
          <w:tcPr>
            <w:tcW w:w="1465" w:type="pct"/>
            <w:tcBorders>
              <w:left w:val="single" w:sz="4" w:space="0" w:color="auto"/>
            </w:tcBorders>
            <w:shd w:val="clear" w:color="auto" w:fill="B8CCE4" w:themeFill="accent1" w:themeFillTint="66"/>
            <w:vAlign w:val="center"/>
          </w:tcPr>
          <w:p w:rsidR="004241D6" w:rsidRPr="0080260B" w:rsidRDefault="004241D6" w:rsidP="00F84C93">
            <w:pPr>
              <w:keepNext/>
              <w:jc w:val="left"/>
              <w:rPr>
                <w:rFonts w:ascii="Arial Narrow" w:hAnsi="Arial Narrow" w:cs="Times New Roman"/>
                <w:sz w:val="20"/>
                <w:szCs w:val="22"/>
                <w:lang w:eastAsia="en-US"/>
              </w:rPr>
            </w:pPr>
            <w:r w:rsidRPr="0080260B">
              <w:rPr>
                <w:rFonts w:ascii="Arial Narrow" w:hAnsi="Arial Narrow" w:cs="Times New Roman"/>
                <w:sz w:val="20"/>
                <w:szCs w:val="22"/>
                <w:lang w:eastAsia="en-US"/>
              </w:rPr>
              <w:t>November 2015</w:t>
            </w:r>
          </w:p>
        </w:tc>
      </w:tr>
      <w:tr w:rsidR="004241D6" w:rsidRPr="0080260B" w:rsidTr="00DD33B9">
        <w:tc>
          <w:tcPr>
            <w:tcW w:w="796" w:type="pct"/>
            <w:vMerge w:val="restart"/>
            <w:shd w:val="clear" w:color="auto" w:fill="B8CCE4" w:themeFill="accent1" w:themeFillTint="66"/>
            <w:vAlign w:val="center"/>
          </w:tcPr>
          <w:p w:rsidR="004241D6" w:rsidRPr="0080260B" w:rsidRDefault="004241D6" w:rsidP="00F84C93">
            <w:pPr>
              <w:keepNext/>
              <w:jc w:val="left"/>
              <w:rPr>
                <w:rFonts w:ascii="Arial Narrow" w:hAnsi="Arial Narrow" w:cs="Times New Roman"/>
                <w:sz w:val="20"/>
                <w:szCs w:val="22"/>
                <w:lang w:eastAsia="en-US"/>
              </w:rPr>
            </w:pPr>
            <w:r w:rsidRPr="0080260B">
              <w:rPr>
                <w:rFonts w:ascii="Arial Narrow" w:hAnsi="Arial Narrow" w:cs="Times New Roman"/>
                <w:sz w:val="20"/>
                <w:szCs w:val="22"/>
                <w:lang w:eastAsia="en-US"/>
              </w:rPr>
              <w:t>Pooled MODIFY I/II</w:t>
            </w:r>
          </w:p>
        </w:tc>
        <w:tc>
          <w:tcPr>
            <w:tcW w:w="2739" w:type="pct"/>
            <w:shd w:val="clear" w:color="auto" w:fill="B8CCE4" w:themeFill="accent1" w:themeFillTint="66"/>
          </w:tcPr>
          <w:p w:rsidR="004241D6" w:rsidRPr="0080260B" w:rsidRDefault="004241D6" w:rsidP="00F84C93">
            <w:pPr>
              <w:keepNext/>
              <w:jc w:val="left"/>
              <w:rPr>
                <w:rFonts w:ascii="Arial Narrow" w:hAnsi="Arial Narrow" w:cs="Times New Roman"/>
                <w:sz w:val="20"/>
                <w:szCs w:val="22"/>
                <w:lang w:eastAsia="en-US"/>
              </w:rPr>
            </w:pPr>
            <w:r w:rsidRPr="0080260B">
              <w:rPr>
                <w:rFonts w:ascii="Arial Narrow" w:hAnsi="Arial Narrow" w:cstheme="minorBidi"/>
                <w:sz w:val="20"/>
                <w:szCs w:val="22"/>
                <w:lang w:eastAsia="en-US"/>
              </w:rPr>
              <w:t xml:space="preserve">Wilcox MH, Gerding DN, Paxton IR et al. Bezlotoxumab for Prevention of Recurrent </w:t>
            </w:r>
            <w:r w:rsidRPr="0080260B">
              <w:rPr>
                <w:rFonts w:ascii="Arial Narrow" w:hAnsi="Arial Narrow" w:cstheme="minorBidi"/>
                <w:i/>
                <w:iCs/>
                <w:sz w:val="20"/>
                <w:szCs w:val="22"/>
                <w:lang w:eastAsia="en-US"/>
              </w:rPr>
              <w:t>Clostridium difficile</w:t>
            </w:r>
            <w:r w:rsidRPr="0080260B">
              <w:rPr>
                <w:rFonts w:ascii="Arial Narrow" w:hAnsi="Arial Narrow" w:cstheme="minorBidi"/>
                <w:sz w:val="20"/>
                <w:szCs w:val="22"/>
                <w:lang w:eastAsia="en-US"/>
              </w:rPr>
              <w:t xml:space="preserve"> Infection. </w:t>
            </w:r>
          </w:p>
        </w:tc>
        <w:tc>
          <w:tcPr>
            <w:tcW w:w="1465" w:type="pct"/>
            <w:tcBorders>
              <w:top w:val="single" w:sz="4" w:space="0" w:color="auto"/>
            </w:tcBorders>
            <w:shd w:val="clear" w:color="auto" w:fill="B8CCE4" w:themeFill="accent1" w:themeFillTint="66"/>
            <w:vAlign w:val="center"/>
          </w:tcPr>
          <w:p w:rsidR="004241D6" w:rsidRPr="0080260B" w:rsidRDefault="004241D6" w:rsidP="00F84C93">
            <w:pPr>
              <w:keepNext/>
              <w:jc w:val="left"/>
              <w:rPr>
                <w:rFonts w:ascii="Arial Narrow" w:hAnsi="Arial Narrow" w:cs="Times New Roman"/>
                <w:sz w:val="20"/>
                <w:szCs w:val="22"/>
                <w:lang w:eastAsia="en-US"/>
              </w:rPr>
            </w:pPr>
            <w:r w:rsidRPr="0080260B">
              <w:rPr>
                <w:rFonts w:ascii="Arial Narrow" w:hAnsi="Arial Narrow" w:cs="Times New Roman"/>
                <w:i/>
                <w:iCs/>
                <w:sz w:val="20"/>
                <w:szCs w:val="22"/>
                <w:lang w:eastAsia="en-US"/>
              </w:rPr>
              <w:t>New England Journal of Medicine</w:t>
            </w:r>
            <w:r w:rsidRPr="0080260B">
              <w:rPr>
                <w:rFonts w:ascii="Arial Narrow" w:hAnsi="Arial Narrow" w:cs="Times New Roman"/>
                <w:sz w:val="20"/>
                <w:szCs w:val="22"/>
                <w:lang w:eastAsia="en-US"/>
              </w:rPr>
              <w:t xml:space="preserve"> 2017; 376(4): 305-317.</w:t>
            </w:r>
          </w:p>
        </w:tc>
      </w:tr>
      <w:tr w:rsidR="004241D6" w:rsidRPr="0080260B" w:rsidTr="00DD33B9">
        <w:tc>
          <w:tcPr>
            <w:tcW w:w="796" w:type="pct"/>
            <w:vMerge/>
            <w:shd w:val="clear" w:color="auto" w:fill="B8CCE4" w:themeFill="accent1" w:themeFillTint="66"/>
            <w:vAlign w:val="center"/>
          </w:tcPr>
          <w:p w:rsidR="004241D6" w:rsidRPr="0080260B" w:rsidRDefault="004241D6" w:rsidP="00F84C93">
            <w:pPr>
              <w:keepNext/>
              <w:jc w:val="left"/>
              <w:rPr>
                <w:rFonts w:ascii="Arial Narrow" w:hAnsi="Arial Narrow" w:cs="Times New Roman"/>
                <w:sz w:val="20"/>
                <w:szCs w:val="22"/>
                <w:lang w:eastAsia="en-US"/>
              </w:rPr>
            </w:pPr>
          </w:p>
        </w:tc>
        <w:tc>
          <w:tcPr>
            <w:tcW w:w="2739" w:type="pct"/>
            <w:shd w:val="clear" w:color="auto" w:fill="B8CCE4" w:themeFill="accent1" w:themeFillTint="66"/>
            <w:vAlign w:val="center"/>
          </w:tcPr>
          <w:p w:rsidR="004241D6" w:rsidRPr="0080260B" w:rsidRDefault="004241D6" w:rsidP="00F84C93">
            <w:pPr>
              <w:keepNext/>
              <w:jc w:val="left"/>
              <w:rPr>
                <w:rFonts w:ascii="Arial Narrow" w:hAnsi="Arial Narrow" w:cs="Times New Roman"/>
                <w:sz w:val="20"/>
                <w:szCs w:val="22"/>
                <w:lang w:eastAsia="en-US"/>
              </w:rPr>
            </w:pPr>
            <w:r w:rsidRPr="0080260B">
              <w:rPr>
                <w:rFonts w:ascii="Arial Narrow" w:hAnsi="Arial Narrow" w:cs="Times New Roman"/>
                <w:sz w:val="20"/>
                <w:szCs w:val="22"/>
                <w:lang w:eastAsia="en-US"/>
              </w:rPr>
              <w:t xml:space="preserve">Gerding DN, Kelly CP, Rahav G et al. Bezlotoxumab for prevention of recurrent </w:t>
            </w:r>
            <w:r w:rsidRPr="0080260B">
              <w:rPr>
                <w:rFonts w:ascii="Arial Narrow" w:hAnsi="Arial Narrow" w:cs="Times New Roman"/>
                <w:i/>
                <w:iCs/>
                <w:sz w:val="20"/>
                <w:szCs w:val="22"/>
                <w:lang w:eastAsia="en-US"/>
              </w:rPr>
              <w:t>clostridium difficile</w:t>
            </w:r>
            <w:r w:rsidRPr="0080260B">
              <w:rPr>
                <w:rFonts w:ascii="Arial Narrow" w:hAnsi="Arial Narrow" w:cs="Times New Roman"/>
                <w:sz w:val="20"/>
                <w:szCs w:val="22"/>
                <w:lang w:eastAsia="en-US"/>
              </w:rPr>
              <w:t xml:space="preserve"> infection in patients at increased risk for recurrence.</w:t>
            </w:r>
          </w:p>
        </w:tc>
        <w:tc>
          <w:tcPr>
            <w:tcW w:w="1465" w:type="pct"/>
            <w:tcBorders>
              <w:top w:val="single" w:sz="4" w:space="0" w:color="auto"/>
            </w:tcBorders>
            <w:shd w:val="clear" w:color="auto" w:fill="B8CCE4" w:themeFill="accent1" w:themeFillTint="66"/>
            <w:vAlign w:val="center"/>
          </w:tcPr>
          <w:p w:rsidR="004241D6" w:rsidRPr="0080260B" w:rsidRDefault="004241D6" w:rsidP="00F84C93">
            <w:pPr>
              <w:keepNext/>
              <w:jc w:val="left"/>
              <w:rPr>
                <w:rFonts w:ascii="Times" w:hAnsi="Times" w:cs="Times New Roman"/>
                <w:sz w:val="20"/>
                <w:szCs w:val="22"/>
                <w:lang w:eastAsia="en-US"/>
              </w:rPr>
            </w:pPr>
            <w:r w:rsidRPr="0080260B">
              <w:rPr>
                <w:rFonts w:ascii="Arial Narrow" w:hAnsi="Arial Narrow" w:cs="Times New Roman"/>
                <w:i/>
                <w:iCs/>
                <w:sz w:val="20"/>
                <w:szCs w:val="22"/>
                <w:lang w:eastAsia="en-US"/>
              </w:rPr>
              <w:t>Clinical Infectious Diseases</w:t>
            </w:r>
            <w:r w:rsidRPr="0080260B">
              <w:rPr>
                <w:rFonts w:ascii="Arial Narrow" w:hAnsi="Arial Narrow" w:cs="Times New Roman"/>
                <w:sz w:val="20"/>
                <w:szCs w:val="22"/>
                <w:lang w:eastAsia="en-US"/>
              </w:rPr>
              <w:t xml:space="preserve"> 2018; 67(5); 649-656.</w:t>
            </w:r>
          </w:p>
        </w:tc>
      </w:tr>
      <w:tr w:rsidR="004241D6" w:rsidRPr="0080260B" w:rsidTr="00DD33B9">
        <w:tc>
          <w:tcPr>
            <w:tcW w:w="796" w:type="pct"/>
            <w:vMerge/>
            <w:tcBorders>
              <w:bottom w:val="single" w:sz="4" w:space="0" w:color="auto"/>
            </w:tcBorders>
            <w:shd w:val="clear" w:color="auto" w:fill="00FFFF"/>
            <w:vAlign w:val="center"/>
          </w:tcPr>
          <w:p w:rsidR="004241D6" w:rsidRPr="0080260B" w:rsidRDefault="004241D6" w:rsidP="00DD33B9">
            <w:pPr>
              <w:jc w:val="left"/>
              <w:rPr>
                <w:rFonts w:ascii="Arial Narrow" w:hAnsi="Arial Narrow" w:cs="Times New Roman"/>
                <w:sz w:val="20"/>
                <w:szCs w:val="22"/>
                <w:lang w:eastAsia="en-US"/>
              </w:rPr>
            </w:pPr>
          </w:p>
        </w:tc>
        <w:tc>
          <w:tcPr>
            <w:tcW w:w="2739" w:type="pct"/>
            <w:tcBorders>
              <w:bottom w:val="single" w:sz="4" w:space="0" w:color="auto"/>
            </w:tcBorders>
            <w:shd w:val="clear" w:color="auto" w:fill="FFFFFF" w:themeFill="background1"/>
            <w:vAlign w:val="center"/>
          </w:tcPr>
          <w:p w:rsidR="004241D6" w:rsidRPr="0080260B" w:rsidRDefault="004241D6" w:rsidP="00DD33B9">
            <w:pPr>
              <w:jc w:val="left"/>
              <w:rPr>
                <w:rFonts w:ascii="Arial Narrow" w:hAnsi="Arial Narrow" w:cs="Times New Roman"/>
                <w:sz w:val="20"/>
                <w:szCs w:val="22"/>
                <w:lang w:eastAsia="en-US"/>
              </w:rPr>
            </w:pPr>
            <w:r w:rsidRPr="0080260B">
              <w:rPr>
                <w:rFonts w:ascii="Arial Narrow" w:hAnsi="Arial Narrow" w:cs="Times New Roman"/>
                <w:sz w:val="20"/>
                <w:szCs w:val="22"/>
                <w:lang w:eastAsia="en-US"/>
              </w:rPr>
              <w:t>Health Technology Assessment (HTA) Report Supportive Analyses High Risk Factors of CDI Recurrence with Confirmed Toxin B Positive CDI.</w:t>
            </w:r>
          </w:p>
        </w:tc>
        <w:tc>
          <w:tcPr>
            <w:tcW w:w="1465" w:type="pct"/>
            <w:tcBorders>
              <w:bottom w:val="single" w:sz="4" w:space="0" w:color="auto"/>
            </w:tcBorders>
            <w:shd w:val="clear" w:color="auto" w:fill="FFFFFF" w:themeFill="background1"/>
            <w:vAlign w:val="center"/>
          </w:tcPr>
          <w:p w:rsidR="004241D6" w:rsidRPr="0080260B" w:rsidRDefault="004241D6" w:rsidP="00DD33B9">
            <w:pPr>
              <w:jc w:val="left"/>
              <w:rPr>
                <w:rFonts w:ascii="Arial Narrow" w:hAnsi="Arial Narrow" w:cs="Times New Roman"/>
                <w:sz w:val="20"/>
                <w:szCs w:val="22"/>
                <w:lang w:eastAsia="en-US"/>
              </w:rPr>
            </w:pPr>
            <w:r>
              <w:rPr>
                <w:rFonts w:ascii="Arial Narrow" w:hAnsi="Arial Narrow" w:cs="Times New Roman"/>
                <w:sz w:val="20"/>
                <w:szCs w:val="22"/>
                <w:lang w:eastAsia="en-US"/>
              </w:rPr>
              <w:t>September</w:t>
            </w:r>
            <w:r w:rsidRPr="0080260B">
              <w:rPr>
                <w:rFonts w:ascii="Arial Narrow" w:hAnsi="Arial Narrow" w:cs="Times New Roman"/>
                <w:sz w:val="20"/>
                <w:szCs w:val="22"/>
                <w:lang w:eastAsia="en-US"/>
              </w:rPr>
              <w:t xml:space="preserve"> 2019.</w:t>
            </w:r>
          </w:p>
        </w:tc>
      </w:tr>
    </w:tbl>
    <w:p w:rsidR="004241D6" w:rsidRPr="00A64859" w:rsidRDefault="004241D6" w:rsidP="004241D6">
      <w:pPr>
        <w:widowControl w:val="0"/>
        <w:rPr>
          <w:rFonts w:ascii="Arial Narrow" w:hAnsi="Arial Narrow"/>
          <w:iCs/>
          <w:snapToGrid w:val="0"/>
          <w:sz w:val="18"/>
          <w:szCs w:val="22"/>
          <w:lang w:eastAsia="en-US"/>
        </w:rPr>
      </w:pPr>
      <w:r w:rsidRPr="00A64859">
        <w:rPr>
          <w:rFonts w:ascii="Arial Narrow" w:hAnsi="Arial Narrow"/>
          <w:iCs/>
          <w:snapToGrid w:val="0"/>
          <w:sz w:val="18"/>
          <w:szCs w:val="22"/>
          <w:shd w:val="clear" w:color="auto" w:fill="B8CCE4" w:themeFill="accent1" w:themeFillTint="66"/>
          <w:lang w:eastAsia="en-US"/>
        </w:rPr>
        <w:t xml:space="preserve">Shaded </w:t>
      </w:r>
      <w:r w:rsidRPr="00A64859">
        <w:rPr>
          <w:rFonts w:ascii="Arial Narrow" w:hAnsi="Arial Narrow"/>
          <w:iCs/>
          <w:snapToGrid w:val="0"/>
          <w:sz w:val="18"/>
          <w:szCs w:val="22"/>
          <w:lang w:eastAsia="en-US"/>
        </w:rPr>
        <w:t>areas indicate data previously seen by the PBAC.</w:t>
      </w:r>
    </w:p>
    <w:p w:rsidR="004241D6" w:rsidRPr="00A64859" w:rsidRDefault="004241D6" w:rsidP="004241D6">
      <w:pPr>
        <w:rPr>
          <w:rFonts w:ascii="Arial Narrow" w:hAnsi="Arial Narrow"/>
          <w:iCs/>
          <w:snapToGrid w:val="0"/>
          <w:sz w:val="18"/>
          <w:szCs w:val="22"/>
          <w:lang w:eastAsia="en-US"/>
        </w:rPr>
      </w:pPr>
      <w:r w:rsidRPr="00A64859">
        <w:rPr>
          <w:rFonts w:ascii="Arial Narrow" w:hAnsi="Arial Narrow"/>
          <w:iCs/>
          <w:snapToGrid w:val="0"/>
          <w:sz w:val="18"/>
          <w:szCs w:val="22"/>
          <w:lang w:eastAsia="en-US"/>
        </w:rPr>
        <w:t>Note: only main trial citations have been included in this table.</w:t>
      </w:r>
    </w:p>
    <w:p w:rsidR="004241D6" w:rsidRPr="00A64859" w:rsidRDefault="004241D6" w:rsidP="004241D6">
      <w:pPr>
        <w:widowControl w:val="0"/>
        <w:rPr>
          <w:rFonts w:ascii="Arial Narrow" w:hAnsi="Arial Narrow"/>
          <w:snapToGrid w:val="0"/>
          <w:sz w:val="18"/>
          <w:szCs w:val="22"/>
          <w:lang w:eastAsia="en-US"/>
        </w:rPr>
      </w:pPr>
      <w:r w:rsidRPr="00A64859">
        <w:rPr>
          <w:rFonts w:ascii="Arial Narrow" w:hAnsi="Arial Narrow"/>
          <w:snapToGrid w:val="0"/>
          <w:sz w:val="18"/>
          <w:szCs w:val="22"/>
          <w:lang w:eastAsia="en-US"/>
        </w:rPr>
        <w:t>Source: p43 of the resubmission.</w:t>
      </w:r>
    </w:p>
    <w:p w:rsidR="004241D6" w:rsidRPr="00DF62EF" w:rsidRDefault="004241D6" w:rsidP="00DF62EF">
      <w:pPr>
        <w:pStyle w:val="3-BodyText"/>
        <w:numPr>
          <w:ilvl w:val="0"/>
          <w:numId w:val="0"/>
        </w:numPr>
        <w:ind w:left="720" w:hanging="720"/>
      </w:pPr>
    </w:p>
    <w:p w:rsidR="00B60939" w:rsidRPr="00C9624D" w:rsidRDefault="00B60939" w:rsidP="00EC5836">
      <w:pPr>
        <w:pStyle w:val="4-SubsectionHeading"/>
      </w:pPr>
      <w:bookmarkStart w:id="12" w:name="_Toc22897641"/>
      <w:bookmarkStart w:id="13" w:name="_Toc30493363"/>
      <w:r w:rsidRPr="00C9624D">
        <w:t>Comparative effectiveness</w:t>
      </w:r>
      <w:bookmarkEnd w:id="12"/>
      <w:bookmarkEnd w:id="13"/>
    </w:p>
    <w:p w:rsidR="007E403F" w:rsidRPr="00A64859" w:rsidRDefault="00847AAB" w:rsidP="00566183">
      <w:pPr>
        <w:pStyle w:val="3-BodyText"/>
        <w:numPr>
          <w:ilvl w:val="1"/>
          <w:numId w:val="5"/>
        </w:numPr>
        <w:rPr>
          <w:lang w:eastAsia="en-US"/>
        </w:rPr>
      </w:pPr>
      <w:r w:rsidRPr="003273CB">
        <w:rPr>
          <w:snapToGrid/>
          <w:lang w:val="en-US"/>
        </w:rPr>
        <w:t xml:space="preserve">Table 6 summarises the main </w:t>
      </w:r>
      <w:r w:rsidR="007E403F" w:rsidRPr="003273CB">
        <w:rPr>
          <w:snapToGrid/>
          <w:lang w:val="en-US"/>
        </w:rPr>
        <w:t xml:space="preserve">efficacy outcomes </w:t>
      </w:r>
      <w:r w:rsidRPr="003273CB">
        <w:rPr>
          <w:snapToGrid/>
          <w:lang w:val="en-US"/>
        </w:rPr>
        <w:t>in</w:t>
      </w:r>
      <w:r w:rsidR="007E403F" w:rsidRPr="003273CB">
        <w:rPr>
          <w:snapToGrid/>
          <w:lang w:val="en-US"/>
        </w:rPr>
        <w:t xml:space="preserve"> the MODIFY trials </w:t>
      </w:r>
      <w:r w:rsidRPr="003273CB">
        <w:rPr>
          <w:snapToGrid/>
          <w:lang w:val="en-US"/>
        </w:rPr>
        <w:t xml:space="preserve">for the requested populations </w:t>
      </w:r>
      <w:r w:rsidR="007E403F" w:rsidRPr="003273CB">
        <w:rPr>
          <w:snapToGrid/>
          <w:lang w:val="en-US"/>
        </w:rPr>
        <w:t xml:space="preserve">in the current </w:t>
      </w:r>
      <w:r w:rsidR="00455A58" w:rsidRPr="003273CB">
        <w:rPr>
          <w:snapToGrid/>
          <w:lang w:val="en-US"/>
        </w:rPr>
        <w:t xml:space="preserve">(≥1 of 2 risk factors only) </w:t>
      </w:r>
      <w:r w:rsidR="007E403F" w:rsidRPr="003273CB">
        <w:rPr>
          <w:snapToGrid/>
          <w:lang w:val="en-US"/>
        </w:rPr>
        <w:t>and previous submissions.  The main outcome</w:t>
      </w:r>
      <w:r w:rsidR="007E403F" w:rsidRPr="00A04AC5">
        <w:rPr>
          <w:rFonts w:ascii="Calibri" w:hAnsi="Calibri"/>
          <w:iCs/>
          <w:szCs w:val="22"/>
          <w:lang w:eastAsia="en-US"/>
        </w:rPr>
        <w:t xml:space="preserve"> relied on by the resubmission for its clinical claim was CDI recurrence</w:t>
      </w:r>
      <w:r w:rsidRPr="00A04AC5">
        <w:rPr>
          <w:rFonts w:ascii="Calibri" w:hAnsi="Calibri"/>
          <w:iCs/>
          <w:szCs w:val="22"/>
          <w:lang w:eastAsia="en-US"/>
        </w:rPr>
        <w:t xml:space="preserve"> (primary outcome)</w:t>
      </w:r>
      <w:r w:rsidR="007E403F" w:rsidRPr="00A04AC5">
        <w:rPr>
          <w:rFonts w:ascii="Calibri" w:hAnsi="Calibri"/>
          <w:iCs/>
          <w:szCs w:val="22"/>
          <w:lang w:eastAsia="en-US"/>
        </w:rPr>
        <w:t xml:space="preserve">, and the </w:t>
      </w:r>
      <w:r w:rsidR="007E403F" w:rsidRPr="00A04AC5">
        <w:rPr>
          <w:rFonts w:ascii="Calibri" w:hAnsi="Calibri"/>
          <w:szCs w:val="22"/>
          <w:lang w:eastAsia="en-US"/>
        </w:rPr>
        <w:t>minimal clinically important difference (MCID) was the reduction in recurrence of 8-9%, unchanged from the previous submissions.</w:t>
      </w:r>
      <w:r w:rsidR="00A04AC5">
        <w:rPr>
          <w:rFonts w:ascii="Calibri" w:hAnsi="Calibri"/>
          <w:szCs w:val="22"/>
          <w:lang w:eastAsia="en-US"/>
        </w:rPr>
        <w:t xml:space="preserve">  </w:t>
      </w:r>
      <w:r w:rsidRPr="00A64859">
        <w:t xml:space="preserve">The PBAC previously considered that global cure was a more relevant endpoint as it is ‘more interpretable’, since clinically, the goal would be to get cured, stay alive, and remain free of recurrent infection over time (paragraph 6.8; </w:t>
      </w:r>
      <w:r w:rsidR="00B43B8B" w:rsidRPr="00A64859">
        <w:t>b</w:t>
      </w:r>
      <w:r w:rsidRPr="00A64859">
        <w:t>ezlotoxumab</w:t>
      </w:r>
      <w:r w:rsidR="00B43B8B" w:rsidRPr="00A64859">
        <w:t>, Public Summary Document,</w:t>
      </w:r>
      <w:r w:rsidRPr="00A64859">
        <w:t xml:space="preserve"> November 2017 </w:t>
      </w:r>
      <w:r w:rsidR="00B43B8B" w:rsidRPr="00A64859">
        <w:t>PBAC meeting</w:t>
      </w:r>
      <w:r w:rsidRPr="00A64859">
        <w:t>).</w:t>
      </w:r>
    </w:p>
    <w:p w:rsidR="007E403F" w:rsidRPr="007E403F" w:rsidRDefault="007E403F" w:rsidP="00F84C93">
      <w:pPr>
        <w:keepNext/>
        <w:rPr>
          <w:rFonts w:ascii="Arial Narrow" w:eastAsiaTheme="minorHAnsi" w:hAnsi="Arial Narrow" w:cstheme="minorBidi"/>
          <w:b/>
          <w:bCs/>
          <w:sz w:val="20"/>
          <w:szCs w:val="20"/>
          <w:lang w:eastAsia="en-US"/>
        </w:rPr>
      </w:pPr>
      <w:r w:rsidRPr="002C648B">
        <w:rPr>
          <w:rFonts w:ascii="Arial Narrow" w:eastAsiaTheme="minorHAnsi" w:hAnsi="Arial Narrow" w:cstheme="minorBidi"/>
          <w:b/>
          <w:bCs/>
          <w:sz w:val="20"/>
          <w:szCs w:val="20"/>
          <w:lang w:eastAsia="en-US"/>
        </w:rPr>
        <w:lastRenderedPageBreak/>
        <w:t>Table 6: CDI Recurrence and Global cure rates at 12 weeks (MODIFY I and MODIFY II integrated)</w:t>
      </w:r>
      <w:r w:rsidRPr="007E403F">
        <w:rPr>
          <w:rFonts w:ascii="Arial Narrow" w:eastAsiaTheme="minorHAnsi" w:hAnsi="Arial Narrow" w:cstheme="minorBidi"/>
          <w:b/>
          <w:bCs/>
          <w:sz w:val="20"/>
          <w:szCs w:val="20"/>
          <w:lang w:eastAsia="en-US"/>
        </w:rPr>
        <w:t xml:space="preserve"> </w:t>
      </w:r>
    </w:p>
    <w:tbl>
      <w:tblPr>
        <w:tblStyle w:val="TableGrid"/>
        <w:tblW w:w="0" w:type="auto"/>
        <w:tblCellMar>
          <w:left w:w="28" w:type="dxa"/>
          <w:right w:w="28" w:type="dxa"/>
        </w:tblCellMar>
        <w:tblLook w:val="04A0" w:firstRow="1" w:lastRow="0" w:firstColumn="1" w:lastColumn="0" w:noHBand="0" w:noVBand="1"/>
        <w:tblCaption w:val="Table 6: CDI Recurrence and Global cure rates at 12 weeks (MODIFY I and MODIFY II integrated) "/>
      </w:tblPr>
      <w:tblGrid>
        <w:gridCol w:w="3098"/>
        <w:gridCol w:w="1425"/>
        <w:gridCol w:w="1426"/>
        <w:gridCol w:w="1534"/>
        <w:gridCol w:w="1534"/>
      </w:tblGrid>
      <w:tr w:rsidR="007E403F" w:rsidRPr="007E403F" w:rsidTr="003B205F">
        <w:trPr>
          <w:tblHeader/>
        </w:trPr>
        <w:tc>
          <w:tcPr>
            <w:tcW w:w="3098" w:type="dxa"/>
            <w:shd w:val="clear" w:color="auto" w:fill="auto"/>
            <w:vAlign w:val="center"/>
          </w:tcPr>
          <w:p w:rsidR="007E403F" w:rsidRPr="007E403F" w:rsidRDefault="007E403F" w:rsidP="00F84C93">
            <w:pPr>
              <w:keepNext/>
              <w:widowControl w:val="0"/>
              <w:jc w:val="left"/>
              <w:rPr>
                <w:rFonts w:ascii="Arial Narrow" w:hAnsi="Arial Narrow"/>
                <w:b/>
                <w:snapToGrid w:val="0"/>
                <w:sz w:val="20"/>
                <w:szCs w:val="20"/>
                <w:lang w:eastAsia="en-US"/>
              </w:rPr>
            </w:pPr>
            <w:r w:rsidRPr="007E403F">
              <w:rPr>
                <w:rFonts w:ascii="Arial Narrow" w:hAnsi="Arial Narrow"/>
                <w:b/>
                <w:snapToGrid w:val="0"/>
                <w:sz w:val="20"/>
                <w:szCs w:val="20"/>
                <w:lang w:eastAsia="en-US"/>
              </w:rPr>
              <w:t>Population</w:t>
            </w:r>
          </w:p>
        </w:tc>
        <w:tc>
          <w:tcPr>
            <w:tcW w:w="1425" w:type="dxa"/>
            <w:tcBorders>
              <w:bottom w:val="single" w:sz="4" w:space="0" w:color="auto"/>
            </w:tcBorders>
            <w:shd w:val="clear" w:color="auto" w:fill="auto"/>
            <w:vAlign w:val="center"/>
          </w:tcPr>
          <w:p w:rsidR="007E403F" w:rsidRPr="007E403F" w:rsidRDefault="007E403F" w:rsidP="00F84C93">
            <w:pPr>
              <w:keepNext/>
              <w:widowControl w:val="0"/>
              <w:jc w:val="center"/>
              <w:rPr>
                <w:rFonts w:ascii="Arial Narrow" w:hAnsi="Arial Narrow"/>
                <w:b/>
                <w:snapToGrid w:val="0"/>
                <w:sz w:val="20"/>
                <w:szCs w:val="20"/>
                <w:lang w:eastAsia="en-US"/>
              </w:rPr>
            </w:pPr>
            <w:r w:rsidRPr="007E403F">
              <w:rPr>
                <w:rFonts w:ascii="Arial Narrow" w:hAnsi="Arial Narrow"/>
                <w:b/>
                <w:snapToGrid w:val="0"/>
                <w:sz w:val="20"/>
                <w:szCs w:val="20"/>
                <w:lang w:eastAsia="en-US"/>
              </w:rPr>
              <w:t>Bezlotoxumab</w:t>
            </w:r>
          </w:p>
          <w:p w:rsidR="007E403F" w:rsidRPr="007E403F" w:rsidRDefault="007E403F" w:rsidP="00F84C93">
            <w:pPr>
              <w:keepNext/>
              <w:widowControl w:val="0"/>
              <w:jc w:val="center"/>
              <w:rPr>
                <w:rFonts w:ascii="Arial Narrow" w:hAnsi="Arial Narrow"/>
                <w:b/>
                <w:snapToGrid w:val="0"/>
                <w:sz w:val="20"/>
                <w:szCs w:val="20"/>
                <w:lang w:eastAsia="en-US"/>
              </w:rPr>
            </w:pPr>
            <w:r w:rsidRPr="007E403F">
              <w:rPr>
                <w:rFonts w:ascii="Arial Narrow" w:hAnsi="Arial Narrow"/>
                <w:b/>
                <w:snapToGrid w:val="0"/>
                <w:sz w:val="20"/>
                <w:szCs w:val="20"/>
                <w:lang w:eastAsia="en-US"/>
              </w:rPr>
              <w:t>n/N (%)</w:t>
            </w:r>
          </w:p>
        </w:tc>
        <w:tc>
          <w:tcPr>
            <w:tcW w:w="1426" w:type="dxa"/>
            <w:tcBorders>
              <w:bottom w:val="single" w:sz="4" w:space="0" w:color="auto"/>
            </w:tcBorders>
            <w:shd w:val="clear" w:color="auto" w:fill="auto"/>
            <w:vAlign w:val="center"/>
          </w:tcPr>
          <w:p w:rsidR="007E403F" w:rsidRPr="007E403F" w:rsidRDefault="007E403F" w:rsidP="00F84C93">
            <w:pPr>
              <w:keepNext/>
              <w:widowControl w:val="0"/>
              <w:jc w:val="center"/>
              <w:rPr>
                <w:rFonts w:ascii="Arial Narrow" w:hAnsi="Arial Narrow"/>
                <w:b/>
                <w:snapToGrid w:val="0"/>
                <w:sz w:val="20"/>
                <w:szCs w:val="20"/>
                <w:lang w:eastAsia="en-US"/>
              </w:rPr>
            </w:pPr>
            <w:r w:rsidRPr="007E403F">
              <w:rPr>
                <w:rFonts w:ascii="Arial Narrow" w:hAnsi="Arial Narrow"/>
                <w:b/>
                <w:snapToGrid w:val="0"/>
                <w:sz w:val="20"/>
                <w:szCs w:val="20"/>
                <w:lang w:eastAsia="en-US"/>
              </w:rPr>
              <w:t>Placebo</w:t>
            </w:r>
          </w:p>
          <w:p w:rsidR="007E403F" w:rsidRPr="007E403F" w:rsidRDefault="007E403F" w:rsidP="00F84C93">
            <w:pPr>
              <w:keepNext/>
              <w:widowControl w:val="0"/>
              <w:jc w:val="center"/>
              <w:rPr>
                <w:rFonts w:ascii="Arial Narrow" w:hAnsi="Arial Narrow"/>
                <w:b/>
                <w:snapToGrid w:val="0"/>
                <w:sz w:val="20"/>
                <w:szCs w:val="20"/>
                <w:lang w:eastAsia="en-US"/>
              </w:rPr>
            </w:pPr>
            <w:r w:rsidRPr="007E403F">
              <w:rPr>
                <w:rFonts w:ascii="Arial Narrow" w:hAnsi="Arial Narrow"/>
                <w:b/>
                <w:snapToGrid w:val="0"/>
                <w:sz w:val="20"/>
                <w:szCs w:val="20"/>
                <w:lang w:eastAsia="en-US"/>
              </w:rPr>
              <w:t>n/N (%)</w:t>
            </w:r>
          </w:p>
        </w:tc>
        <w:tc>
          <w:tcPr>
            <w:tcW w:w="1534" w:type="dxa"/>
            <w:tcBorders>
              <w:bottom w:val="single" w:sz="4" w:space="0" w:color="auto"/>
            </w:tcBorders>
            <w:shd w:val="clear" w:color="auto" w:fill="auto"/>
            <w:vAlign w:val="center"/>
          </w:tcPr>
          <w:p w:rsidR="007E403F" w:rsidRPr="007E403F" w:rsidRDefault="007E403F" w:rsidP="00F84C93">
            <w:pPr>
              <w:keepNext/>
              <w:widowControl w:val="0"/>
              <w:jc w:val="center"/>
              <w:rPr>
                <w:rFonts w:ascii="Arial Narrow" w:hAnsi="Arial Narrow"/>
                <w:b/>
                <w:snapToGrid w:val="0"/>
                <w:sz w:val="20"/>
                <w:szCs w:val="20"/>
                <w:lang w:eastAsia="en-US"/>
              </w:rPr>
            </w:pPr>
            <w:r w:rsidRPr="007E403F">
              <w:rPr>
                <w:rFonts w:ascii="Arial Narrow" w:hAnsi="Arial Narrow"/>
                <w:b/>
                <w:snapToGrid w:val="0"/>
                <w:sz w:val="20"/>
                <w:szCs w:val="20"/>
                <w:lang w:eastAsia="en-US"/>
              </w:rPr>
              <w:t>Risk difference %</w:t>
            </w:r>
          </w:p>
          <w:p w:rsidR="007E403F" w:rsidRPr="007E403F" w:rsidRDefault="007E403F" w:rsidP="00F84C93">
            <w:pPr>
              <w:keepNext/>
              <w:widowControl w:val="0"/>
              <w:jc w:val="center"/>
              <w:rPr>
                <w:rFonts w:ascii="Arial Narrow" w:hAnsi="Arial Narrow"/>
                <w:b/>
                <w:snapToGrid w:val="0"/>
                <w:sz w:val="20"/>
                <w:szCs w:val="20"/>
                <w:vertAlign w:val="superscript"/>
                <w:lang w:eastAsia="en-US"/>
              </w:rPr>
            </w:pPr>
            <w:r w:rsidRPr="007E403F">
              <w:rPr>
                <w:rFonts w:ascii="Arial Narrow" w:hAnsi="Arial Narrow"/>
                <w:b/>
                <w:snapToGrid w:val="0"/>
                <w:sz w:val="20"/>
                <w:szCs w:val="20"/>
                <w:lang w:eastAsia="en-US"/>
              </w:rPr>
              <w:t>(95% CI)</w:t>
            </w:r>
            <w:r w:rsidRPr="007E403F">
              <w:rPr>
                <w:rFonts w:ascii="Arial Narrow" w:hAnsi="Arial Narrow"/>
                <w:b/>
                <w:snapToGrid w:val="0"/>
                <w:sz w:val="20"/>
                <w:szCs w:val="20"/>
                <w:vertAlign w:val="superscript"/>
                <w:lang w:eastAsia="en-US"/>
              </w:rPr>
              <w:t>a</w:t>
            </w:r>
          </w:p>
        </w:tc>
        <w:tc>
          <w:tcPr>
            <w:tcW w:w="1534" w:type="dxa"/>
            <w:tcBorders>
              <w:bottom w:val="single" w:sz="4" w:space="0" w:color="auto"/>
            </w:tcBorders>
            <w:shd w:val="clear" w:color="auto" w:fill="auto"/>
            <w:vAlign w:val="center"/>
          </w:tcPr>
          <w:p w:rsidR="007E403F" w:rsidRPr="007E403F" w:rsidRDefault="007E403F" w:rsidP="00F84C93">
            <w:pPr>
              <w:keepNext/>
              <w:widowControl w:val="0"/>
              <w:jc w:val="center"/>
              <w:rPr>
                <w:rFonts w:ascii="Arial Narrow" w:hAnsi="Arial Narrow"/>
                <w:b/>
                <w:snapToGrid w:val="0"/>
                <w:sz w:val="20"/>
                <w:szCs w:val="20"/>
                <w:lang w:eastAsia="en-US"/>
              </w:rPr>
            </w:pPr>
            <w:r w:rsidRPr="007E403F">
              <w:rPr>
                <w:rFonts w:ascii="Arial Narrow" w:hAnsi="Arial Narrow"/>
                <w:b/>
                <w:snapToGrid w:val="0"/>
                <w:sz w:val="20"/>
                <w:szCs w:val="20"/>
                <w:lang w:eastAsia="en-US"/>
              </w:rPr>
              <w:t>Relative Risk</w:t>
            </w:r>
          </w:p>
          <w:p w:rsidR="007E403F" w:rsidRPr="007E403F" w:rsidRDefault="007E403F" w:rsidP="00F84C93">
            <w:pPr>
              <w:keepNext/>
              <w:widowControl w:val="0"/>
              <w:jc w:val="center"/>
              <w:rPr>
                <w:rFonts w:ascii="Arial Narrow" w:hAnsi="Arial Narrow"/>
                <w:b/>
                <w:snapToGrid w:val="0"/>
                <w:sz w:val="20"/>
                <w:szCs w:val="20"/>
                <w:lang w:eastAsia="en-US"/>
              </w:rPr>
            </w:pPr>
            <w:r w:rsidRPr="007E403F">
              <w:rPr>
                <w:rFonts w:ascii="Arial Narrow" w:hAnsi="Arial Narrow"/>
                <w:b/>
                <w:snapToGrid w:val="0"/>
                <w:sz w:val="20"/>
                <w:szCs w:val="20"/>
                <w:lang w:eastAsia="en-US"/>
              </w:rPr>
              <w:t>(95% CI)</w:t>
            </w:r>
            <w:r w:rsidRPr="007E403F">
              <w:rPr>
                <w:rFonts w:ascii="Arial Narrow" w:hAnsi="Arial Narrow"/>
                <w:b/>
                <w:snapToGrid w:val="0"/>
                <w:sz w:val="20"/>
                <w:szCs w:val="20"/>
                <w:vertAlign w:val="superscript"/>
                <w:lang w:eastAsia="en-US"/>
              </w:rPr>
              <w:t>#</w:t>
            </w:r>
          </w:p>
        </w:tc>
      </w:tr>
      <w:tr w:rsidR="007E403F" w:rsidRPr="007E403F" w:rsidTr="00DD33B9">
        <w:tc>
          <w:tcPr>
            <w:tcW w:w="9017" w:type="dxa"/>
            <w:gridSpan w:val="5"/>
            <w:tcBorders>
              <w:bottom w:val="single" w:sz="4" w:space="0" w:color="auto"/>
            </w:tcBorders>
            <w:shd w:val="clear" w:color="auto" w:fill="auto"/>
            <w:vAlign w:val="center"/>
          </w:tcPr>
          <w:p w:rsidR="007E403F" w:rsidRPr="007E403F" w:rsidRDefault="007E403F" w:rsidP="00F84C93">
            <w:pPr>
              <w:keepNext/>
              <w:widowControl w:val="0"/>
              <w:rPr>
                <w:rFonts w:ascii="Arial Narrow" w:hAnsi="Arial Narrow"/>
                <w:b/>
                <w:bCs/>
                <w:snapToGrid w:val="0"/>
                <w:sz w:val="20"/>
                <w:szCs w:val="20"/>
                <w:lang w:eastAsia="en-US"/>
              </w:rPr>
            </w:pPr>
            <w:r w:rsidRPr="007E403F">
              <w:rPr>
                <w:rFonts w:ascii="Arial Narrow" w:hAnsi="Arial Narrow"/>
                <w:b/>
                <w:bCs/>
                <w:snapToGrid w:val="0"/>
                <w:sz w:val="20"/>
                <w:szCs w:val="20"/>
                <w:lang w:eastAsia="en-US"/>
              </w:rPr>
              <w:t>CDI recurrence at 12 weeks</w:t>
            </w:r>
          </w:p>
        </w:tc>
      </w:tr>
      <w:tr w:rsidR="007E403F" w:rsidRPr="007E403F" w:rsidTr="00DD33B9">
        <w:tc>
          <w:tcPr>
            <w:tcW w:w="3098" w:type="dxa"/>
            <w:tcBorders>
              <w:bottom w:val="nil"/>
            </w:tcBorders>
            <w:shd w:val="clear" w:color="auto" w:fill="B8CCE4" w:themeFill="accent1" w:themeFillTint="66"/>
          </w:tcPr>
          <w:p w:rsidR="007E403F" w:rsidRPr="0029612F" w:rsidRDefault="007E403F" w:rsidP="00F84C93">
            <w:pPr>
              <w:keepNext/>
              <w:widowControl w:val="0"/>
              <w:rPr>
                <w:rFonts w:ascii="Arial Narrow" w:hAnsi="Arial Narrow"/>
                <w:snapToGrid w:val="0"/>
                <w:sz w:val="20"/>
                <w:szCs w:val="20"/>
                <w:lang w:eastAsia="en-US"/>
              </w:rPr>
            </w:pPr>
            <w:r w:rsidRPr="0029612F">
              <w:rPr>
                <w:rFonts w:ascii="Arial Narrow" w:hAnsi="Arial Narrow"/>
                <w:b/>
                <w:snapToGrid w:val="0"/>
                <w:sz w:val="20"/>
                <w:szCs w:val="20"/>
                <w:lang w:eastAsia="en-US"/>
              </w:rPr>
              <w:t>November 2017 submission:</w:t>
            </w:r>
          </w:p>
        </w:tc>
        <w:tc>
          <w:tcPr>
            <w:tcW w:w="1425"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426"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r>
      <w:tr w:rsidR="007E403F" w:rsidRPr="007E403F" w:rsidTr="00DD33B9">
        <w:tc>
          <w:tcPr>
            <w:tcW w:w="3098" w:type="dxa"/>
            <w:tcBorders>
              <w:top w:val="nil"/>
              <w:bottom w:val="single" w:sz="4" w:space="0" w:color="auto"/>
            </w:tcBorders>
            <w:shd w:val="clear" w:color="auto" w:fill="B8CCE4" w:themeFill="accent1" w:themeFillTint="66"/>
          </w:tcPr>
          <w:p w:rsidR="007E403F" w:rsidRPr="0029612F" w:rsidRDefault="007E403F" w:rsidP="000735EA">
            <w:pPr>
              <w:keepNext/>
              <w:widowControl w:val="0"/>
              <w:numPr>
                <w:ilvl w:val="0"/>
                <w:numId w:val="8"/>
              </w:numPr>
              <w:ind w:left="255" w:hanging="181"/>
              <w:rPr>
                <w:rFonts w:ascii="Arial Narrow" w:hAnsi="Arial Narrow"/>
                <w:b/>
                <w:snapToGrid w:val="0"/>
                <w:sz w:val="20"/>
                <w:szCs w:val="20"/>
                <w:lang w:eastAsia="en-US"/>
              </w:rPr>
            </w:pPr>
            <w:r w:rsidRPr="0029612F">
              <w:rPr>
                <w:rFonts w:ascii="Arial Narrow" w:hAnsi="Arial Narrow"/>
                <w:snapToGrid w:val="0"/>
                <w:sz w:val="20"/>
                <w:szCs w:val="20"/>
                <w:lang w:eastAsia="en-US"/>
              </w:rPr>
              <w:t>All patients</w:t>
            </w:r>
          </w:p>
        </w:tc>
        <w:tc>
          <w:tcPr>
            <w:tcW w:w="1425"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129/781 (16.5)</w:t>
            </w:r>
          </w:p>
        </w:tc>
        <w:tc>
          <w:tcPr>
            <w:tcW w:w="1426"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206/773 (26.6)</w:t>
            </w:r>
          </w:p>
        </w:tc>
        <w:tc>
          <w:tcPr>
            <w:tcW w:w="1534"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b/>
                <w:bCs/>
                <w:snapToGrid w:val="0"/>
                <w:sz w:val="20"/>
                <w:szCs w:val="20"/>
                <w:lang w:eastAsia="en-US"/>
              </w:rPr>
            </w:pPr>
            <w:r w:rsidRPr="0029612F">
              <w:rPr>
                <w:rFonts w:ascii="Arial Narrow" w:hAnsi="Arial Narrow"/>
                <w:b/>
                <w:bCs/>
                <w:snapToGrid w:val="0"/>
                <w:sz w:val="20"/>
                <w:szCs w:val="20"/>
                <w:lang w:eastAsia="en-US"/>
              </w:rPr>
              <w:t>-10.0 (-14.0, -6.0)^</w:t>
            </w:r>
          </w:p>
        </w:tc>
        <w:tc>
          <w:tcPr>
            <w:tcW w:w="1534" w:type="dxa"/>
            <w:tcBorders>
              <w:top w:val="nil"/>
              <w:bottom w:val="single" w:sz="4" w:space="0" w:color="auto"/>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b/>
                <w:bCs/>
                <w:snapToGrid w:val="0"/>
                <w:sz w:val="20"/>
                <w:szCs w:val="20"/>
                <w:lang w:eastAsia="en-US"/>
              </w:rPr>
            </w:pPr>
            <w:r w:rsidRPr="00142AA9">
              <w:rPr>
                <w:rFonts w:ascii="Arial Narrow" w:hAnsi="Arial Narrow"/>
                <w:b/>
                <w:bCs/>
                <w:snapToGrid w:val="0"/>
                <w:sz w:val="20"/>
                <w:szCs w:val="20"/>
                <w:lang w:eastAsia="en-US"/>
              </w:rPr>
              <w:t>0.62 (0.51,0.75)</w:t>
            </w:r>
          </w:p>
        </w:tc>
      </w:tr>
      <w:tr w:rsidR="007E403F" w:rsidRPr="007E403F" w:rsidTr="00DD33B9">
        <w:tc>
          <w:tcPr>
            <w:tcW w:w="3098" w:type="dxa"/>
            <w:tcBorders>
              <w:bottom w:val="nil"/>
            </w:tcBorders>
            <w:shd w:val="clear" w:color="auto" w:fill="B8CCE4" w:themeFill="accent1" w:themeFillTint="66"/>
          </w:tcPr>
          <w:p w:rsidR="007E403F" w:rsidRPr="0029612F" w:rsidRDefault="007E403F" w:rsidP="00F84C93">
            <w:pPr>
              <w:keepNext/>
              <w:widowControl w:val="0"/>
              <w:rPr>
                <w:rFonts w:ascii="Arial Narrow" w:hAnsi="Arial Narrow"/>
                <w:b/>
                <w:snapToGrid w:val="0"/>
                <w:sz w:val="20"/>
                <w:szCs w:val="20"/>
                <w:lang w:eastAsia="en-US"/>
              </w:rPr>
            </w:pPr>
            <w:r w:rsidRPr="0029612F">
              <w:rPr>
                <w:rFonts w:ascii="Arial Narrow" w:hAnsi="Arial Narrow"/>
                <w:b/>
                <w:snapToGrid w:val="0"/>
                <w:sz w:val="20"/>
                <w:szCs w:val="20"/>
                <w:lang w:eastAsia="en-US"/>
              </w:rPr>
              <w:t>July 2018 resubmission (clinical):</w:t>
            </w:r>
          </w:p>
        </w:tc>
        <w:tc>
          <w:tcPr>
            <w:tcW w:w="1425"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426"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snapToGrid w:val="0"/>
                <w:sz w:val="20"/>
                <w:szCs w:val="20"/>
                <w:lang w:eastAsia="en-US"/>
              </w:rPr>
            </w:pPr>
          </w:p>
        </w:tc>
      </w:tr>
      <w:tr w:rsidR="007E403F" w:rsidRPr="007E403F" w:rsidTr="00DD33B9">
        <w:tc>
          <w:tcPr>
            <w:tcW w:w="3098" w:type="dxa"/>
            <w:tcBorders>
              <w:top w:val="nil"/>
              <w:bottom w:val="nil"/>
            </w:tcBorders>
            <w:shd w:val="clear" w:color="auto" w:fill="B8CCE4" w:themeFill="accent1" w:themeFillTint="66"/>
          </w:tcPr>
          <w:p w:rsidR="007E403F" w:rsidRPr="0029612F" w:rsidRDefault="007E403F" w:rsidP="000735EA">
            <w:pPr>
              <w:keepNext/>
              <w:widowControl w:val="0"/>
              <w:numPr>
                <w:ilvl w:val="0"/>
                <w:numId w:val="8"/>
              </w:numPr>
              <w:ind w:left="255" w:hanging="181"/>
              <w:rPr>
                <w:rFonts w:ascii="Arial Narrow" w:hAnsi="Arial Narrow"/>
                <w:snapToGrid w:val="0"/>
                <w:sz w:val="20"/>
                <w:szCs w:val="20"/>
                <w:lang w:eastAsia="en-US"/>
              </w:rPr>
            </w:pPr>
            <w:r w:rsidRPr="0029612F">
              <w:rPr>
                <w:rFonts w:ascii="Arial Narrow" w:hAnsi="Arial Narrow"/>
                <w:snapToGrid w:val="0"/>
                <w:sz w:val="20"/>
                <w:szCs w:val="20"/>
                <w:lang w:eastAsia="en-US"/>
              </w:rPr>
              <w:t>≥1 of 5 risk factors</w:t>
            </w:r>
            <w:r w:rsidRPr="0029612F">
              <w:rPr>
                <w:rFonts w:ascii="Arial Narrow" w:hAnsi="Arial Narrow"/>
                <w:snapToGrid w:val="0"/>
                <w:sz w:val="20"/>
                <w:szCs w:val="20"/>
                <w:vertAlign w:val="superscript"/>
                <w:lang w:eastAsia="en-US"/>
              </w:rPr>
              <w:t>b</w:t>
            </w:r>
          </w:p>
        </w:tc>
        <w:tc>
          <w:tcPr>
            <w:tcW w:w="1425"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100/592 (16.9)</w:t>
            </w:r>
          </w:p>
        </w:tc>
        <w:tc>
          <w:tcPr>
            <w:tcW w:w="1426"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174/583 (29.8)</w:t>
            </w:r>
          </w:p>
        </w:tc>
        <w:tc>
          <w:tcPr>
            <w:tcW w:w="1534"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b/>
                <w:bCs/>
                <w:snapToGrid w:val="0"/>
                <w:sz w:val="20"/>
                <w:szCs w:val="20"/>
                <w:lang w:eastAsia="en-US"/>
              </w:rPr>
            </w:pPr>
            <w:r w:rsidRPr="0029612F">
              <w:rPr>
                <w:rFonts w:ascii="Arial Narrow" w:hAnsi="Arial Narrow"/>
                <w:b/>
                <w:bCs/>
                <w:snapToGrid w:val="0"/>
                <w:sz w:val="20"/>
                <w:szCs w:val="20"/>
                <w:lang w:eastAsia="en-US"/>
              </w:rPr>
              <w:t>-12.8 (-17.6, -8.0)</w:t>
            </w:r>
          </w:p>
        </w:tc>
        <w:tc>
          <w:tcPr>
            <w:tcW w:w="1534" w:type="dxa"/>
            <w:tcBorders>
              <w:top w:val="nil"/>
              <w:bottom w:val="nil"/>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b/>
                <w:bCs/>
                <w:snapToGrid w:val="0"/>
                <w:sz w:val="20"/>
                <w:szCs w:val="20"/>
                <w:lang w:eastAsia="en-US"/>
              </w:rPr>
            </w:pPr>
            <w:r w:rsidRPr="00142AA9">
              <w:rPr>
                <w:rFonts w:ascii="Arial Narrow" w:hAnsi="Arial Narrow"/>
                <w:b/>
                <w:bCs/>
                <w:snapToGrid w:val="0"/>
                <w:sz w:val="20"/>
                <w:szCs w:val="20"/>
                <w:lang w:eastAsia="en-US"/>
              </w:rPr>
              <w:t>0.57 (0.46, 0.71)</w:t>
            </w:r>
          </w:p>
        </w:tc>
      </w:tr>
      <w:tr w:rsidR="007E403F" w:rsidRPr="007E403F" w:rsidTr="00DD33B9">
        <w:trPr>
          <w:trHeight w:val="105"/>
        </w:trPr>
        <w:tc>
          <w:tcPr>
            <w:tcW w:w="3098" w:type="dxa"/>
            <w:tcBorders>
              <w:top w:val="nil"/>
              <w:bottom w:val="single" w:sz="4" w:space="0" w:color="auto"/>
            </w:tcBorders>
            <w:shd w:val="clear" w:color="auto" w:fill="B8CCE4" w:themeFill="accent1" w:themeFillTint="66"/>
          </w:tcPr>
          <w:p w:rsidR="007E403F" w:rsidRPr="0029612F" w:rsidRDefault="007E403F" w:rsidP="000735EA">
            <w:pPr>
              <w:keepNext/>
              <w:widowControl w:val="0"/>
              <w:numPr>
                <w:ilvl w:val="0"/>
                <w:numId w:val="8"/>
              </w:numPr>
              <w:ind w:left="255" w:hanging="181"/>
              <w:rPr>
                <w:rFonts w:ascii="Arial Narrow" w:hAnsi="Arial Narrow"/>
                <w:snapToGrid w:val="0"/>
                <w:sz w:val="20"/>
                <w:szCs w:val="20"/>
                <w:lang w:eastAsia="en-US"/>
              </w:rPr>
            </w:pPr>
            <w:r w:rsidRPr="0029612F">
              <w:rPr>
                <w:rFonts w:ascii="Arial Narrow" w:hAnsi="Arial Narrow"/>
                <w:snapToGrid w:val="0"/>
                <w:sz w:val="20"/>
                <w:szCs w:val="20"/>
                <w:lang w:eastAsia="en-US"/>
              </w:rPr>
              <w:t>Complement</w:t>
            </w:r>
          </w:p>
        </w:tc>
        <w:tc>
          <w:tcPr>
            <w:tcW w:w="1425"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29/189 (15.3)</w:t>
            </w:r>
          </w:p>
        </w:tc>
        <w:tc>
          <w:tcPr>
            <w:tcW w:w="1426"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32/190 (16.8)</w:t>
            </w:r>
          </w:p>
        </w:tc>
        <w:tc>
          <w:tcPr>
            <w:tcW w:w="1534"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-1.5 (-9.0, 6.0)</w:t>
            </w:r>
          </w:p>
        </w:tc>
        <w:tc>
          <w:tcPr>
            <w:tcW w:w="1534" w:type="dxa"/>
            <w:tcBorders>
              <w:top w:val="nil"/>
              <w:bottom w:val="single" w:sz="4" w:space="0" w:color="auto"/>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snapToGrid w:val="0"/>
                <w:sz w:val="20"/>
                <w:szCs w:val="20"/>
                <w:lang w:eastAsia="en-US"/>
              </w:rPr>
            </w:pPr>
            <w:r w:rsidRPr="00142AA9">
              <w:rPr>
                <w:rFonts w:ascii="Arial Narrow" w:hAnsi="Arial Narrow"/>
                <w:snapToGrid w:val="0"/>
                <w:sz w:val="20"/>
                <w:szCs w:val="20"/>
                <w:lang w:eastAsia="en-US"/>
              </w:rPr>
              <w:t>0.91 (0.58, 1.44)</w:t>
            </w:r>
          </w:p>
        </w:tc>
      </w:tr>
      <w:tr w:rsidR="007E403F" w:rsidRPr="007E403F" w:rsidTr="00DD33B9">
        <w:trPr>
          <w:trHeight w:val="105"/>
        </w:trPr>
        <w:tc>
          <w:tcPr>
            <w:tcW w:w="3098" w:type="dxa"/>
            <w:tcBorders>
              <w:bottom w:val="nil"/>
            </w:tcBorders>
            <w:shd w:val="clear" w:color="auto" w:fill="B8CCE4" w:themeFill="accent1" w:themeFillTint="66"/>
          </w:tcPr>
          <w:p w:rsidR="007E403F" w:rsidRPr="0029612F" w:rsidRDefault="007E403F" w:rsidP="00F84C93">
            <w:pPr>
              <w:keepNext/>
              <w:widowControl w:val="0"/>
              <w:rPr>
                <w:rFonts w:ascii="Arial Narrow" w:hAnsi="Arial Narrow"/>
                <w:snapToGrid w:val="0"/>
                <w:sz w:val="20"/>
                <w:szCs w:val="20"/>
                <w:vertAlign w:val="superscript"/>
                <w:lang w:eastAsia="en-US"/>
              </w:rPr>
            </w:pPr>
            <w:r w:rsidRPr="0029612F">
              <w:rPr>
                <w:rFonts w:ascii="Arial Narrow" w:hAnsi="Arial Narrow"/>
                <w:b/>
                <w:snapToGrid w:val="0"/>
                <w:sz w:val="20"/>
                <w:szCs w:val="20"/>
                <w:lang w:eastAsia="en-US"/>
              </w:rPr>
              <w:t>July 2018 resubmission (model):</w:t>
            </w:r>
          </w:p>
        </w:tc>
        <w:tc>
          <w:tcPr>
            <w:tcW w:w="1425"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426"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snapToGrid w:val="0"/>
                <w:sz w:val="20"/>
                <w:szCs w:val="20"/>
                <w:lang w:eastAsia="en-US"/>
              </w:rPr>
            </w:pPr>
          </w:p>
        </w:tc>
      </w:tr>
      <w:tr w:rsidR="007E403F" w:rsidRPr="007E403F" w:rsidTr="00DD33B9">
        <w:trPr>
          <w:trHeight w:val="105"/>
        </w:trPr>
        <w:tc>
          <w:tcPr>
            <w:tcW w:w="3098" w:type="dxa"/>
            <w:tcBorders>
              <w:top w:val="nil"/>
              <w:bottom w:val="nil"/>
            </w:tcBorders>
            <w:shd w:val="clear" w:color="auto" w:fill="B8CCE4" w:themeFill="accent1" w:themeFillTint="66"/>
          </w:tcPr>
          <w:p w:rsidR="007E403F" w:rsidRPr="0029612F" w:rsidRDefault="007E403F" w:rsidP="000735EA">
            <w:pPr>
              <w:keepNext/>
              <w:widowControl w:val="0"/>
              <w:numPr>
                <w:ilvl w:val="0"/>
                <w:numId w:val="8"/>
              </w:numPr>
              <w:ind w:left="255" w:hanging="181"/>
              <w:rPr>
                <w:rFonts w:ascii="Arial Narrow" w:hAnsi="Arial Narrow"/>
                <w:b/>
                <w:snapToGrid w:val="0"/>
                <w:sz w:val="20"/>
                <w:szCs w:val="20"/>
                <w:lang w:eastAsia="en-US"/>
              </w:rPr>
            </w:pPr>
            <w:r w:rsidRPr="0029612F">
              <w:rPr>
                <w:rFonts w:ascii="Arial Narrow" w:hAnsi="Arial Narrow"/>
                <w:snapToGrid w:val="0"/>
                <w:sz w:val="20"/>
                <w:szCs w:val="20"/>
                <w:lang w:eastAsia="en-US"/>
              </w:rPr>
              <w:t>≥1 of 4 risk factors</w:t>
            </w:r>
            <w:r w:rsidRPr="0029612F">
              <w:rPr>
                <w:rFonts w:ascii="Arial Narrow" w:hAnsi="Arial Narrow"/>
                <w:snapToGrid w:val="0"/>
                <w:sz w:val="20"/>
                <w:szCs w:val="20"/>
                <w:vertAlign w:val="superscript"/>
                <w:lang w:eastAsia="en-US"/>
              </w:rPr>
              <w:t>c</w:t>
            </w:r>
          </w:p>
        </w:tc>
        <w:tc>
          <w:tcPr>
            <w:tcW w:w="1425"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97/581 (16.7)</w:t>
            </w:r>
          </w:p>
        </w:tc>
        <w:tc>
          <w:tcPr>
            <w:tcW w:w="1426"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167/562 (29.7)</w:t>
            </w:r>
          </w:p>
        </w:tc>
        <w:tc>
          <w:tcPr>
            <w:tcW w:w="1534"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b/>
                <w:snapToGrid w:val="0"/>
                <w:sz w:val="20"/>
                <w:szCs w:val="20"/>
                <w:lang w:eastAsia="en-US"/>
              </w:rPr>
            </w:pPr>
            <w:r w:rsidRPr="0029612F">
              <w:rPr>
                <w:rFonts w:ascii="Arial Narrow" w:hAnsi="Arial Narrow"/>
                <w:b/>
                <w:snapToGrid w:val="0"/>
                <w:sz w:val="20"/>
                <w:szCs w:val="20"/>
                <w:lang w:eastAsia="en-US"/>
              </w:rPr>
              <w:t>-13.0 (-17.9, -8.2)</w:t>
            </w:r>
          </w:p>
        </w:tc>
        <w:tc>
          <w:tcPr>
            <w:tcW w:w="1534" w:type="dxa"/>
            <w:tcBorders>
              <w:top w:val="nil"/>
              <w:bottom w:val="nil"/>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b/>
                <w:snapToGrid w:val="0"/>
                <w:sz w:val="20"/>
                <w:szCs w:val="20"/>
                <w:lang w:eastAsia="en-US"/>
              </w:rPr>
            </w:pPr>
            <w:r w:rsidRPr="00142AA9">
              <w:rPr>
                <w:rFonts w:ascii="Arial Narrow" w:hAnsi="Arial Narrow"/>
                <w:b/>
                <w:snapToGrid w:val="0"/>
                <w:sz w:val="20"/>
                <w:szCs w:val="20"/>
                <w:lang w:eastAsia="en-US"/>
              </w:rPr>
              <w:t>0.56 (0.45, 0.70)</w:t>
            </w:r>
          </w:p>
        </w:tc>
      </w:tr>
      <w:tr w:rsidR="007E403F" w:rsidRPr="007E403F" w:rsidTr="00DD33B9">
        <w:trPr>
          <w:trHeight w:val="105"/>
        </w:trPr>
        <w:tc>
          <w:tcPr>
            <w:tcW w:w="3098" w:type="dxa"/>
            <w:tcBorders>
              <w:top w:val="nil"/>
              <w:bottom w:val="single" w:sz="4" w:space="0" w:color="auto"/>
            </w:tcBorders>
            <w:shd w:val="clear" w:color="auto" w:fill="B8CCE4" w:themeFill="accent1" w:themeFillTint="66"/>
          </w:tcPr>
          <w:p w:rsidR="007E403F" w:rsidRPr="0029612F" w:rsidRDefault="007E403F" w:rsidP="000735EA">
            <w:pPr>
              <w:keepNext/>
              <w:widowControl w:val="0"/>
              <w:numPr>
                <w:ilvl w:val="0"/>
                <w:numId w:val="8"/>
              </w:numPr>
              <w:ind w:left="255" w:hanging="181"/>
              <w:rPr>
                <w:rFonts w:ascii="Arial Narrow" w:hAnsi="Arial Narrow"/>
                <w:snapToGrid w:val="0"/>
                <w:sz w:val="20"/>
                <w:szCs w:val="20"/>
                <w:lang w:eastAsia="en-US"/>
              </w:rPr>
            </w:pPr>
            <w:r w:rsidRPr="0029612F">
              <w:rPr>
                <w:rFonts w:ascii="Arial Narrow" w:hAnsi="Arial Narrow"/>
                <w:snapToGrid w:val="0"/>
                <w:sz w:val="20"/>
                <w:szCs w:val="20"/>
                <w:lang w:eastAsia="en-US"/>
              </w:rPr>
              <w:t>Complement</w:t>
            </w:r>
          </w:p>
        </w:tc>
        <w:tc>
          <w:tcPr>
            <w:tcW w:w="1425"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NR</w:t>
            </w:r>
          </w:p>
        </w:tc>
        <w:tc>
          <w:tcPr>
            <w:tcW w:w="1426"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NR</w:t>
            </w:r>
          </w:p>
        </w:tc>
        <w:tc>
          <w:tcPr>
            <w:tcW w:w="1534"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bCs/>
                <w:snapToGrid w:val="0"/>
                <w:sz w:val="20"/>
                <w:szCs w:val="20"/>
                <w:lang w:eastAsia="en-US"/>
              </w:rPr>
            </w:pPr>
            <w:r w:rsidRPr="0029612F">
              <w:rPr>
                <w:rFonts w:ascii="Arial Narrow" w:hAnsi="Arial Narrow"/>
                <w:bCs/>
                <w:snapToGrid w:val="0"/>
                <w:sz w:val="20"/>
                <w:szCs w:val="20"/>
                <w:lang w:eastAsia="en-US"/>
              </w:rPr>
              <w:t>NR</w:t>
            </w:r>
          </w:p>
        </w:tc>
        <w:tc>
          <w:tcPr>
            <w:tcW w:w="1534" w:type="dxa"/>
            <w:tcBorders>
              <w:top w:val="nil"/>
              <w:bottom w:val="single" w:sz="4" w:space="0" w:color="auto"/>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bCs/>
                <w:snapToGrid w:val="0"/>
                <w:sz w:val="20"/>
                <w:szCs w:val="20"/>
                <w:lang w:eastAsia="en-US"/>
              </w:rPr>
            </w:pPr>
            <w:r w:rsidRPr="00142AA9">
              <w:rPr>
                <w:rFonts w:ascii="Arial Narrow" w:hAnsi="Arial Narrow"/>
                <w:bCs/>
                <w:snapToGrid w:val="0"/>
                <w:sz w:val="20"/>
                <w:szCs w:val="20"/>
                <w:lang w:eastAsia="en-US"/>
              </w:rPr>
              <w:t>NR</w:t>
            </w:r>
          </w:p>
        </w:tc>
      </w:tr>
      <w:tr w:rsidR="007E403F" w:rsidRPr="007E403F" w:rsidTr="00DD33B9">
        <w:trPr>
          <w:trHeight w:val="171"/>
        </w:trPr>
        <w:tc>
          <w:tcPr>
            <w:tcW w:w="3098" w:type="dxa"/>
            <w:tcBorders>
              <w:bottom w:val="nil"/>
            </w:tcBorders>
            <w:shd w:val="clear" w:color="auto" w:fill="B8CCE4" w:themeFill="accent1" w:themeFillTint="66"/>
          </w:tcPr>
          <w:p w:rsidR="007E403F" w:rsidRPr="0029612F" w:rsidRDefault="007E403F" w:rsidP="00F84C93">
            <w:pPr>
              <w:keepNext/>
              <w:widowControl w:val="0"/>
              <w:rPr>
                <w:rFonts w:ascii="Arial Narrow" w:hAnsi="Arial Narrow"/>
                <w:b/>
                <w:snapToGrid w:val="0"/>
                <w:sz w:val="20"/>
                <w:szCs w:val="20"/>
                <w:lang w:eastAsia="en-US"/>
              </w:rPr>
            </w:pPr>
            <w:r w:rsidRPr="0029612F">
              <w:rPr>
                <w:rFonts w:ascii="Arial Narrow" w:hAnsi="Arial Narrow"/>
                <w:b/>
                <w:snapToGrid w:val="0"/>
                <w:sz w:val="20"/>
                <w:szCs w:val="20"/>
                <w:lang w:eastAsia="en-US"/>
              </w:rPr>
              <w:t>July 2019 resubmission:</w:t>
            </w:r>
          </w:p>
        </w:tc>
        <w:tc>
          <w:tcPr>
            <w:tcW w:w="1425"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426"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snapToGrid w:val="0"/>
                <w:sz w:val="20"/>
                <w:szCs w:val="20"/>
                <w:lang w:eastAsia="en-US"/>
              </w:rPr>
            </w:pPr>
          </w:p>
        </w:tc>
      </w:tr>
      <w:tr w:rsidR="007E403F" w:rsidRPr="007E403F" w:rsidTr="00DD33B9">
        <w:trPr>
          <w:trHeight w:val="105"/>
        </w:trPr>
        <w:tc>
          <w:tcPr>
            <w:tcW w:w="3098" w:type="dxa"/>
            <w:tcBorders>
              <w:top w:val="nil"/>
              <w:bottom w:val="nil"/>
            </w:tcBorders>
            <w:shd w:val="clear" w:color="auto" w:fill="B8CCE4" w:themeFill="accent1" w:themeFillTint="66"/>
          </w:tcPr>
          <w:p w:rsidR="007E403F" w:rsidRPr="0029612F" w:rsidDel="00E94F30" w:rsidRDefault="007E403F" w:rsidP="000735EA">
            <w:pPr>
              <w:keepNext/>
              <w:widowControl w:val="0"/>
              <w:numPr>
                <w:ilvl w:val="0"/>
                <w:numId w:val="8"/>
              </w:numPr>
              <w:ind w:left="255" w:hanging="181"/>
              <w:rPr>
                <w:rFonts w:ascii="Arial Narrow" w:hAnsi="Arial Narrow"/>
                <w:b/>
                <w:snapToGrid w:val="0"/>
                <w:sz w:val="20"/>
                <w:szCs w:val="20"/>
                <w:lang w:eastAsia="en-US"/>
              </w:rPr>
            </w:pPr>
            <w:r w:rsidRPr="0029612F">
              <w:rPr>
                <w:rFonts w:ascii="Arial Narrow" w:hAnsi="Arial Narrow"/>
                <w:snapToGrid w:val="0"/>
                <w:sz w:val="20"/>
                <w:szCs w:val="20"/>
                <w:lang w:eastAsia="en-US"/>
              </w:rPr>
              <w:t>≥2 of 4 risk factors</w:t>
            </w:r>
            <w:r w:rsidRPr="0029612F">
              <w:rPr>
                <w:rFonts w:ascii="Arial Narrow" w:hAnsi="Arial Narrow"/>
                <w:snapToGrid w:val="0"/>
                <w:sz w:val="20"/>
                <w:szCs w:val="20"/>
                <w:vertAlign w:val="superscript"/>
                <w:lang w:eastAsia="en-US"/>
              </w:rPr>
              <w:t>c</w:t>
            </w:r>
            <w:r w:rsidRPr="0029612F">
              <w:rPr>
                <w:rFonts w:ascii="Arial Narrow" w:hAnsi="Arial Narrow"/>
                <w:snapToGrid w:val="0"/>
                <w:sz w:val="20"/>
                <w:szCs w:val="20"/>
                <w:lang w:eastAsia="en-US"/>
              </w:rPr>
              <w:t xml:space="preserve"> (&amp; toxin B pos.)</w:t>
            </w:r>
          </w:p>
        </w:tc>
        <w:tc>
          <w:tcPr>
            <w:tcW w:w="1425"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24/146 (16.4)</w:t>
            </w:r>
          </w:p>
        </w:tc>
        <w:tc>
          <w:tcPr>
            <w:tcW w:w="1426"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51/150 (34.0)</w:t>
            </w:r>
          </w:p>
        </w:tc>
        <w:tc>
          <w:tcPr>
            <w:tcW w:w="1534"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b/>
                <w:bCs/>
                <w:snapToGrid w:val="0"/>
                <w:sz w:val="20"/>
                <w:szCs w:val="20"/>
                <w:lang w:eastAsia="en-US"/>
              </w:rPr>
            </w:pPr>
            <w:r w:rsidRPr="0029612F">
              <w:rPr>
                <w:rFonts w:ascii="Arial Narrow" w:hAnsi="Arial Narrow"/>
                <w:b/>
                <w:bCs/>
                <w:snapToGrid w:val="0"/>
                <w:sz w:val="20"/>
                <w:szCs w:val="20"/>
                <w:lang w:eastAsia="en-US"/>
              </w:rPr>
              <w:t>-16.8 (-26.7, -6.9)</w:t>
            </w:r>
            <w:r w:rsidRPr="0029612F">
              <w:rPr>
                <w:rFonts w:ascii="Arial Narrow" w:hAnsi="Arial Narrow"/>
                <w:b/>
                <w:bCs/>
                <w:snapToGrid w:val="0"/>
                <w:sz w:val="20"/>
                <w:szCs w:val="20"/>
                <w:vertAlign w:val="superscript"/>
                <w:lang w:eastAsia="en-US"/>
              </w:rPr>
              <w:t>d</w:t>
            </w:r>
          </w:p>
        </w:tc>
        <w:tc>
          <w:tcPr>
            <w:tcW w:w="1534" w:type="dxa"/>
            <w:tcBorders>
              <w:top w:val="nil"/>
              <w:bottom w:val="nil"/>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b/>
                <w:snapToGrid w:val="0"/>
                <w:sz w:val="20"/>
                <w:szCs w:val="20"/>
                <w:lang w:eastAsia="en-US"/>
              </w:rPr>
            </w:pPr>
            <w:r w:rsidRPr="00142AA9">
              <w:rPr>
                <w:rFonts w:ascii="Arial Narrow" w:hAnsi="Arial Narrow"/>
                <w:b/>
                <w:iCs/>
                <w:snapToGrid w:val="0"/>
                <w:sz w:val="20"/>
                <w:szCs w:val="20"/>
                <w:lang w:eastAsia="en-US"/>
              </w:rPr>
              <w:t>0.48 (0.32, 0.74</w:t>
            </w:r>
            <w:r w:rsidRPr="00142AA9">
              <w:rPr>
                <w:rFonts w:ascii="Arial Narrow" w:hAnsi="Arial Narrow"/>
                <w:b/>
                <w:snapToGrid w:val="0"/>
                <w:sz w:val="20"/>
                <w:szCs w:val="20"/>
                <w:lang w:eastAsia="en-US"/>
              </w:rPr>
              <w:t>)</w:t>
            </w:r>
            <w:r w:rsidR="00142AA9" w:rsidRPr="00142AA9">
              <w:rPr>
                <w:rFonts w:ascii="Arial Narrow" w:hAnsi="Arial Narrow"/>
                <w:b/>
                <w:snapToGrid w:val="0"/>
                <w:sz w:val="20"/>
                <w:szCs w:val="20"/>
                <w:lang w:eastAsia="en-US"/>
              </w:rPr>
              <w:t>**</w:t>
            </w:r>
          </w:p>
        </w:tc>
      </w:tr>
      <w:tr w:rsidR="007E403F" w:rsidRPr="007E403F" w:rsidTr="00DD33B9">
        <w:trPr>
          <w:trHeight w:val="105"/>
        </w:trPr>
        <w:tc>
          <w:tcPr>
            <w:tcW w:w="3098" w:type="dxa"/>
            <w:tcBorders>
              <w:top w:val="nil"/>
            </w:tcBorders>
            <w:shd w:val="clear" w:color="auto" w:fill="B8CCE4" w:themeFill="accent1" w:themeFillTint="66"/>
          </w:tcPr>
          <w:p w:rsidR="007E403F" w:rsidRPr="0029612F" w:rsidRDefault="007E403F" w:rsidP="000735EA">
            <w:pPr>
              <w:keepNext/>
              <w:widowControl w:val="0"/>
              <w:numPr>
                <w:ilvl w:val="0"/>
                <w:numId w:val="8"/>
              </w:numPr>
              <w:ind w:left="255" w:hanging="181"/>
              <w:rPr>
                <w:rFonts w:ascii="Arial Narrow" w:hAnsi="Arial Narrow"/>
                <w:snapToGrid w:val="0"/>
                <w:sz w:val="20"/>
                <w:szCs w:val="20"/>
                <w:lang w:eastAsia="en-US"/>
              </w:rPr>
            </w:pPr>
            <w:r w:rsidRPr="0029612F">
              <w:rPr>
                <w:rFonts w:ascii="Arial Narrow" w:hAnsi="Arial Narrow"/>
                <w:snapToGrid w:val="0"/>
                <w:sz w:val="20"/>
                <w:szCs w:val="20"/>
                <w:lang w:eastAsia="en-US"/>
              </w:rPr>
              <w:t>Complement (&amp; toxin B pos.)</w:t>
            </w:r>
          </w:p>
        </w:tc>
        <w:tc>
          <w:tcPr>
            <w:tcW w:w="1425" w:type="dxa"/>
            <w:tcBorders>
              <w:top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31/236 (13.1)</w:t>
            </w:r>
          </w:p>
        </w:tc>
        <w:tc>
          <w:tcPr>
            <w:tcW w:w="1426" w:type="dxa"/>
            <w:tcBorders>
              <w:top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56/241 (23.2)</w:t>
            </w:r>
          </w:p>
        </w:tc>
        <w:tc>
          <w:tcPr>
            <w:tcW w:w="1534" w:type="dxa"/>
            <w:tcBorders>
              <w:top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bCs/>
                <w:snapToGrid w:val="0"/>
                <w:sz w:val="20"/>
                <w:szCs w:val="20"/>
                <w:vertAlign w:val="superscript"/>
                <w:lang w:eastAsia="en-US"/>
              </w:rPr>
            </w:pPr>
            <w:r w:rsidRPr="0029612F">
              <w:rPr>
                <w:rFonts w:ascii="Arial Narrow" w:hAnsi="Arial Narrow"/>
                <w:bCs/>
                <w:snapToGrid w:val="0"/>
                <w:sz w:val="20"/>
                <w:szCs w:val="20"/>
                <w:lang w:eastAsia="en-US"/>
              </w:rPr>
              <w:t>-</w:t>
            </w:r>
            <w:r w:rsidRPr="0029612F">
              <w:rPr>
                <w:rFonts w:ascii="Arial Narrow" w:hAnsi="Arial Narrow"/>
                <w:b/>
                <w:snapToGrid w:val="0"/>
                <w:sz w:val="20"/>
                <w:szCs w:val="20"/>
                <w:lang w:eastAsia="en-US"/>
              </w:rPr>
              <w:t>10.2 (-17.2, -3.3)</w:t>
            </w:r>
            <w:r w:rsidRPr="0029612F">
              <w:rPr>
                <w:rFonts w:ascii="Arial Narrow" w:hAnsi="Arial Narrow"/>
                <w:b/>
                <w:snapToGrid w:val="0"/>
                <w:sz w:val="20"/>
                <w:szCs w:val="20"/>
                <w:vertAlign w:val="superscript"/>
                <w:lang w:eastAsia="en-US"/>
              </w:rPr>
              <w:t>d</w:t>
            </w:r>
          </w:p>
        </w:tc>
        <w:tc>
          <w:tcPr>
            <w:tcW w:w="1534" w:type="dxa"/>
            <w:tcBorders>
              <w:top w:val="nil"/>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b/>
                <w:snapToGrid w:val="0"/>
                <w:sz w:val="20"/>
                <w:szCs w:val="20"/>
                <w:lang w:eastAsia="en-US"/>
              </w:rPr>
            </w:pPr>
            <w:r w:rsidRPr="00142AA9">
              <w:rPr>
                <w:rFonts w:ascii="Arial Narrow" w:hAnsi="Arial Narrow"/>
                <w:b/>
                <w:snapToGrid w:val="0"/>
                <w:sz w:val="20"/>
                <w:szCs w:val="20"/>
                <w:lang w:eastAsia="en-US"/>
              </w:rPr>
              <w:t>0.57 (0.38, 0.84)</w:t>
            </w:r>
          </w:p>
        </w:tc>
      </w:tr>
      <w:tr w:rsidR="007E403F" w:rsidRPr="007E403F" w:rsidTr="00DD33B9">
        <w:trPr>
          <w:trHeight w:val="105"/>
        </w:trPr>
        <w:tc>
          <w:tcPr>
            <w:tcW w:w="3098" w:type="dxa"/>
            <w:tcBorders>
              <w:top w:val="nil"/>
              <w:bottom w:val="nil"/>
            </w:tcBorders>
            <w:shd w:val="clear" w:color="auto" w:fill="auto"/>
          </w:tcPr>
          <w:p w:rsidR="007E403F" w:rsidRPr="007E403F" w:rsidRDefault="007E403F" w:rsidP="00F84C93">
            <w:pPr>
              <w:keepNext/>
              <w:widowControl w:val="0"/>
              <w:rPr>
                <w:rFonts w:ascii="Arial Narrow" w:hAnsi="Arial Narrow"/>
                <w:b/>
                <w:bCs/>
                <w:snapToGrid w:val="0"/>
                <w:sz w:val="20"/>
                <w:szCs w:val="20"/>
                <w:lang w:eastAsia="en-US"/>
              </w:rPr>
            </w:pPr>
            <w:r w:rsidRPr="007E403F">
              <w:rPr>
                <w:rFonts w:ascii="Arial Narrow" w:hAnsi="Arial Narrow"/>
                <w:b/>
                <w:bCs/>
                <w:snapToGrid w:val="0"/>
                <w:sz w:val="20"/>
                <w:szCs w:val="20"/>
                <w:lang w:eastAsia="en-US"/>
              </w:rPr>
              <w:t>March 2020 resubmission:</w:t>
            </w:r>
          </w:p>
        </w:tc>
        <w:tc>
          <w:tcPr>
            <w:tcW w:w="1425" w:type="dxa"/>
            <w:tcBorders>
              <w:top w:val="nil"/>
              <w:bottom w:val="nil"/>
            </w:tcBorders>
            <w:shd w:val="clear" w:color="auto" w:fill="auto"/>
            <w:vAlign w:val="center"/>
          </w:tcPr>
          <w:p w:rsidR="007E403F" w:rsidRPr="007E403F" w:rsidRDefault="007E403F" w:rsidP="00F84C93">
            <w:pPr>
              <w:keepNext/>
              <w:widowControl w:val="0"/>
              <w:jc w:val="center"/>
              <w:rPr>
                <w:rFonts w:ascii="Arial Narrow" w:hAnsi="Arial Narrow"/>
                <w:snapToGrid w:val="0"/>
                <w:sz w:val="20"/>
                <w:szCs w:val="20"/>
                <w:lang w:eastAsia="en-US"/>
              </w:rPr>
            </w:pPr>
          </w:p>
        </w:tc>
        <w:tc>
          <w:tcPr>
            <w:tcW w:w="1426" w:type="dxa"/>
            <w:tcBorders>
              <w:top w:val="nil"/>
              <w:bottom w:val="nil"/>
            </w:tcBorders>
            <w:shd w:val="clear" w:color="auto" w:fill="auto"/>
            <w:vAlign w:val="center"/>
          </w:tcPr>
          <w:p w:rsidR="007E403F" w:rsidRPr="007E403F" w:rsidRDefault="007E403F" w:rsidP="00F84C93">
            <w:pPr>
              <w:keepNext/>
              <w:widowControl w:val="0"/>
              <w:jc w:val="center"/>
              <w:rPr>
                <w:rFonts w:ascii="Arial Narrow" w:hAnsi="Arial Narrow"/>
                <w:snapToGrid w:val="0"/>
                <w:sz w:val="20"/>
                <w:szCs w:val="20"/>
                <w:lang w:eastAsia="en-US"/>
              </w:rPr>
            </w:pPr>
          </w:p>
        </w:tc>
        <w:tc>
          <w:tcPr>
            <w:tcW w:w="1534" w:type="dxa"/>
            <w:tcBorders>
              <w:top w:val="nil"/>
              <w:bottom w:val="nil"/>
            </w:tcBorders>
            <w:shd w:val="clear" w:color="auto" w:fill="auto"/>
            <w:vAlign w:val="center"/>
          </w:tcPr>
          <w:p w:rsidR="007E403F" w:rsidRPr="007E403F" w:rsidRDefault="007E403F" w:rsidP="00F84C93">
            <w:pPr>
              <w:keepNext/>
              <w:widowControl w:val="0"/>
              <w:jc w:val="center"/>
              <w:rPr>
                <w:rFonts w:ascii="Arial Narrow" w:hAnsi="Arial Narrow"/>
                <w:bCs/>
                <w:snapToGrid w:val="0"/>
                <w:color w:val="000000"/>
                <w:sz w:val="20"/>
                <w:szCs w:val="20"/>
                <w:lang w:eastAsia="en-US"/>
              </w:rPr>
            </w:pPr>
          </w:p>
        </w:tc>
        <w:tc>
          <w:tcPr>
            <w:tcW w:w="1534" w:type="dxa"/>
            <w:tcBorders>
              <w:top w:val="nil"/>
              <w:bottom w:val="nil"/>
            </w:tcBorders>
            <w:shd w:val="clear" w:color="auto" w:fill="auto"/>
            <w:vAlign w:val="center"/>
          </w:tcPr>
          <w:p w:rsidR="007E403F" w:rsidRPr="00142AA9" w:rsidRDefault="007E403F" w:rsidP="00F84C93">
            <w:pPr>
              <w:keepNext/>
              <w:widowControl w:val="0"/>
              <w:jc w:val="center"/>
              <w:rPr>
                <w:rFonts w:ascii="Arial Narrow" w:hAnsi="Arial Narrow"/>
                <w:bCs/>
                <w:snapToGrid w:val="0"/>
                <w:sz w:val="20"/>
                <w:szCs w:val="20"/>
                <w:lang w:eastAsia="en-US"/>
              </w:rPr>
            </w:pPr>
          </w:p>
        </w:tc>
      </w:tr>
      <w:tr w:rsidR="007E403F" w:rsidRPr="007E403F" w:rsidTr="00DD33B9">
        <w:trPr>
          <w:trHeight w:val="105"/>
        </w:trPr>
        <w:tc>
          <w:tcPr>
            <w:tcW w:w="3098" w:type="dxa"/>
            <w:tcBorders>
              <w:top w:val="nil"/>
              <w:left w:val="single" w:sz="4" w:space="0" w:color="auto"/>
              <w:bottom w:val="nil"/>
              <w:right w:val="single" w:sz="4" w:space="0" w:color="auto"/>
            </w:tcBorders>
            <w:shd w:val="clear" w:color="auto" w:fill="auto"/>
          </w:tcPr>
          <w:p w:rsidR="007E403F" w:rsidRPr="007E403F" w:rsidRDefault="007E403F" w:rsidP="000735EA">
            <w:pPr>
              <w:keepNext/>
              <w:widowControl w:val="0"/>
              <w:numPr>
                <w:ilvl w:val="0"/>
                <w:numId w:val="8"/>
              </w:numPr>
              <w:ind w:left="255" w:hanging="181"/>
              <w:rPr>
                <w:rFonts w:ascii="Arial Narrow" w:hAnsi="Arial Narrow"/>
                <w:snapToGrid w:val="0"/>
                <w:sz w:val="20"/>
                <w:szCs w:val="20"/>
                <w:lang w:eastAsia="en-US"/>
              </w:rPr>
            </w:pPr>
            <w:r w:rsidRPr="007E403F">
              <w:rPr>
                <w:rFonts w:ascii="Arial Narrow" w:hAnsi="Arial Narrow"/>
                <w:snapToGrid w:val="0"/>
                <w:sz w:val="20"/>
                <w:szCs w:val="20"/>
                <w:lang w:eastAsia="en-US"/>
              </w:rPr>
              <w:t>≥1 of 2 risk factors</w:t>
            </w:r>
            <w:r w:rsidRPr="007E403F">
              <w:rPr>
                <w:rFonts w:ascii="Arial Narrow" w:hAnsi="Arial Narrow"/>
                <w:snapToGrid w:val="0"/>
                <w:sz w:val="20"/>
                <w:szCs w:val="20"/>
                <w:vertAlign w:val="superscript"/>
                <w:lang w:eastAsia="en-US"/>
              </w:rPr>
              <w:t>f</w:t>
            </w:r>
            <w:r w:rsidRPr="007E403F">
              <w:rPr>
                <w:rFonts w:ascii="Arial Narrow" w:hAnsi="Arial Narrow"/>
                <w:snapToGrid w:val="0"/>
                <w:sz w:val="20"/>
                <w:szCs w:val="20"/>
                <w:lang w:eastAsia="en-US"/>
              </w:rPr>
              <w:t xml:space="preserve"> (&amp; toxin B pos.)</w:t>
            </w:r>
          </w:p>
        </w:tc>
        <w:tc>
          <w:tcPr>
            <w:tcW w:w="1425" w:type="dxa"/>
            <w:tcBorders>
              <w:top w:val="nil"/>
              <w:left w:val="single" w:sz="4" w:space="0" w:color="auto"/>
              <w:bottom w:val="nil"/>
              <w:right w:val="single" w:sz="4" w:space="0" w:color="auto"/>
            </w:tcBorders>
            <w:shd w:val="clear" w:color="auto" w:fill="auto"/>
            <w:vAlign w:val="center"/>
          </w:tcPr>
          <w:p w:rsidR="007E403F" w:rsidRPr="007E403F" w:rsidRDefault="007E403F" w:rsidP="00F84C93">
            <w:pPr>
              <w:keepNext/>
              <w:widowControl w:val="0"/>
              <w:jc w:val="center"/>
              <w:rPr>
                <w:rFonts w:ascii="Arial Narrow" w:hAnsi="Arial Narrow"/>
                <w:snapToGrid w:val="0"/>
                <w:sz w:val="20"/>
                <w:szCs w:val="20"/>
                <w:lang w:eastAsia="en-US"/>
              </w:rPr>
            </w:pPr>
            <w:r w:rsidRPr="007E403F">
              <w:rPr>
                <w:rFonts w:ascii="Arial Narrow" w:hAnsi="Arial Narrow"/>
                <w:snapToGrid w:val="0"/>
                <w:sz w:val="20"/>
                <w:szCs w:val="20"/>
                <w:lang w:eastAsia="en-US"/>
              </w:rPr>
              <w:t>41/254 (16.1)</w:t>
            </w:r>
          </w:p>
        </w:tc>
        <w:tc>
          <w:tcPr>
            <w:tcW w:w="1426" w:type="dxa"/>
            <w:tcBorders>
              <w:top w:val="nil"/>
              <w:left w:val="single" w:sz="4" w:space="0" w:color="auto"/>
              <w:bottom w:val="nil"/>
              <w:right w:val="single" w:sz="4" w:space="0" w:color="auto"/>
            </w:tcBorders>
            <w:shd w:val="clear" w:color="auto" w:fill="auto"/>
            <w:vAlign w:val="center"/>
          </w:tcPr>
          <w:p w:rsidR="007E403F" w:rsidRPr="007E403F" w:rsidRDefault="007E403F" w:rsidP="00F84C93">
            <w:pPr>
              <w:keepNext/>
              <w:widowControl w:val="0"/>
              <w:jc w:val="center"/>
              <w:rPr>
                <w:rFonts w:ascii="Arial Narrow" w:hAnsi="Arial Narrow"/>
                <w:snapToGrid w:val="0"/>
                <w:sz w:val="20"/>
                <w:szCs w:val="20"/>
                <w:lang w:eastAsia="en-US"/>
              </w:rPr>
            </w:pPr>
            <w:r w:rsidRPr="007E403F">
              <w:rPr>
                <w:rFonts w:ascii="Arial Narrow" w:hAnsi="Arial Narrow"/>
                <w:snapToGrid w:val="0"/>
                <w:sz w:val="20"/>
                <w:szCs w:val="20"/>
                <w:lang w:eastAsia="en-US"/>
              </w:rPr>
              <w:t>86/266 (32.3)</w:t>
            </w:r>
          </w:p>
        </w:tc>
        <w:tc>
          <w:tcPr>
            <w:tcW w:w="1534" w:type="dxa"/>
            <w:tcBorders>
              <w:top w:val="nil"/>
              <w:bottom w:val="nil"/>
            </w:tcBorders>
            <w:shd w:val="clear" w:color="auto" w:fill="auto"/>
            <w:vAlign w:val="center"/>
          </w:tcPr>
          <w:p w:rsidR="007E403F" w:rsidRPr="007E403F" w:rsidRDefault="007E403F" w:rsidP="00F84C93">
            <w:pPr>
              <w:keepNext/>
              <w:widowControl w:val="0"/>
              <w:jc w:val="center"/>
              <w:rPr>
                <w:rFonts w:ascii="Arial Narrow" w:hAnsi="Arial Narrow"/>
                <w:bCs/>
                <w:snapToGrid w:val="0"/>
                <w:color w:val="000000"/>
                <w:sz w:val="20"/>
                <w:szCs w:val="20"/>
                <w:lang w:eastAsia="en-US"/>
              </w:rPr>
            </w:pPr>
            <w:r w:rsidRPr="007E403F">
              <w:rPr>
                <w:rFonts w:ascii="Arial Narrow" w:hAnsi="Arial Narrow"/>
                <w:b/>
                <w:bCs/>
                <w:snapToGrid w:val="0"/>
                <w:color w:val="000000"/>
                <w:sz w:val="20"/>
                <w:szCs w:val="20"/>
                <w:lang w:eastAsia="en-US"/>
              </w:rPr>
              <w:t>-15.6 (-22.9, -8.3)</w:t>
            </w:r>
            <w:r w:rsidRPr="007E403F">
              <w:rPr>
                <w:rFonts w:ascii="Arial Narrow" w:hAnsi="Arial Narrow"/>
                <w:b/>
                <w:bCs/>
                <w:snapToGrid w:val="0"/>
                <w:color w:val="000000"/>
                <w:sz w:val="20"/>
                <w:szCs w:val="20"/>
                <w:vertAlign w:val="superscript"/>
                <w:lang w:eastAsia="en-US"/>
              </w:rPr>
              <w:t>d</w:t>
            </w:r>
          </w:p>
        </w:tc>
        <w:tc>
          <w:tcPr>
            <w:tcW w:w="1534" w:type="dxa"/>
            <w:tcBorders>
              <w:top w:val="nil"/>
              <w:bottom w:val="nil"/>
            </w:tcBorders>
            <w:shd w:val="clear" w:color="auto" w:fill="auto"/>
            <w:vAlign w:val="center"/>
          </w:tcPr>
          <w:p w:rsidR="007E403F" w:rsidRPr="00142AA9" w:rsidRDefault="007E403F" w:rsidP="00F84C93">
            <w:pPr>
              <w:keepNext/>
              <w:widowControl w:val="0"/>
              <w:jc w:val="center"/>
              <w:rPr>
                <w:rFonts w:ascii="Arial Narrow" w:hAnsi="Arial Narrow"/>
                <w:bCs/>
                <w:snapToGrid w:val="0"/>
                <w:sz w:val="20"/>
                <w:szCs w:val="20"/>
                <w:lang w:eastAsia="en-US"/>
              </w:rPr>
            </w:pPr>
            <w:r w:rsidRPr="00142AA9">
              <w:rPr>
                <w:rFonts w:ascii="Arial Narrow" w:hAnsi="Arial Narrow"/>
                <w:b/>
                <w:iCs/>
                <w:snapToGrid w:val="0"/>
                <w:sz w:val="20"/>
                <w:szCs w:val="20"/>
                <w:lang w:eastAsia="en-US"/>
              </w:rPr>
              <w:t>0.50 (0.36, 0.69</w:t>
            </w:r>
            <w:r w:rsidRPr="00142AA9">
              <w:rPr>
                <w:rFonts w:ascii="Arial Narrow" w:hAnsi="Arial Narrow"/>
                <w:b/>
                <w:snapToGrid w:val="0"/>
                <w:sz w:val="20"/>
                <w:szCs w:val="20"/>
                <w:lang w:eastAsia="en-US"/>
              </w:rPr>
              <w:t>)</w:t>
            </w:r>
            <w:r w:rsidR="00142AA9" w:rsidRPr="00142AA9">
              <w:rPr>
                <w:rFonts w:ascii="Arial Narrow" w:hAnsi="Arial Narrow"/>
                <w:b/>
                <w:snapToGrid w:val="0"/>
                <w:sz w:val="20"/>
                <w:szCs w:val="20"/>
                <w:lang w:eastAsia="en-US"/>
              </w:rPr>
              <w:t>**</w:t>
            </w:r>
          </w:p>
        </w:tc>
      </w:tr>
      <w:tr w:rsidR="007E403F" w:rsidRPr="007E403F" w:rsidTr="00DD33B9">
        <w:trPr>
          <w:trHeight w:val="105"/>
        </w:trPr>
        <w:tc>
          <w:tcPr>
            <w:tcW w:w="3098" w:type="dxa"/>
            <w:tcBorders>
              <w:top w:val="nil"/>
            </w:tcBorders>
            <w:shd w:val="clear" w:color="auto" w:fill="auto"/>
          </w:tcPr>
          <w:p w:rsidR="007E403F" w:rsidRPr="007E403F" w:rsidRDefault="007E403F" w:rsidP="000735EA">
            <w:pPr>
              <w:keepNext/>
              <w:widowControl w:val="0"/>
              <w:numPr>
                <w:ilvl w:val="0"/>
                <w:numId w:val="8"/>
              </w:numPr>
              <w:ind w:left="255" w:hanging="181"/>
              <w:rPr>
                <w:rFonts w:ascii="Arial Narrow" w:hAnsi="Arial Narrow"/>
                <w:snapToGrid w:val="0"/>
                <w:sz w:val="20"/>
                <w:szCs w:val="20"/>
                <w:lang w:eastAsia="en-US"/>
              </w:rPr>
            </w:pPr>
            <w:r w:rsidRPr="007E403F">
              <w:rPr>
                <w:rFonts w:ascii="Arial Narrow" w:hAnsi="Arial Narrow"/>
                <w:snapToGrid w:val="0"/>
                <w:sz w:val="20"/>
                <w:szCs w:val="20"/>
                <w:lang w:eastAsia="en-US"/>
              </w:rPr>
              <w:t>Complement (&amp; toxin B pos.)</w:t>
            </w:r>
          </w:p>
        </w:tc>
        <w:tc>
          <w:tcPr>
            <w:tcW w:w="1425" w:type="dxa"/>
            <w:tcBorders>
              <w:top w:val="nil"/>
            </w:tcBorders>
            <w:shd w:val="clear" w:color="auto" w:fill="auto"/>
            <w:vAlign w:val="center"/>
          </w:tcPr>
          <w:p w:rsidR="007E403F" w:rsidRPr="007E403F" w:rsidRDefault="007E403F" w:rsidP="00F84C93">
            <w:pPr>
              <w:keepNext/>
              <w:widowControl w:val="0"/>
              <w:jc w:val="center"/>
              <w:rPr>
                <w:rFonts w:ascii="Arial Narrow" w:hAnsi="Arial Narrow"/>
                <w:snapToGrid w:val="0"/>
                <w:sz w:val="20"/>
                <w:szCs w:val="20"/>
                <w:lang w:eastAsia="en-US"/>
              </w:rPr>
            </w:pPr>
            <w:r w:rsidRPr="007E403F">
              <w:rPr>
                <w:rFonts w:ascii="Arial Narrow" w:hAnsi="Arial Narrow"/>
                <w:snapToGrid w:val="0"/>
                <w:sz w:val="20"/>
                <w:szCs w:val="20"/>
                <w:lang w:eastAsia="en-US"/>
              </w:rPr>
              <w:t>14/128 (10.9)</w:t>
            </w:r>
          </w:p>
        </w:tc>
        <w:tc>
          <w:tcPr>
            <w:tcW w:w="1426" w:type="dxa"/>
            <w:tcBorders>
              <w:top w:val="nil"/>
            </w:tcBorders>
            <w:shd w:val="clear" w:color="auto" w:fill="auto"/>
            <w:vAlign w:val="center"/>
          </w:tcPr>
          <w:p w:rsidR="007E403F" w:rsidRPr="007E403F" w:rsidRDefault="007E403F" w:rsidP="00F84C93">
            <w:pPr>
              <w:keepNext/>
              <w:widowControl w:val="0"/>
              <w:jc w:val="center"/>
              <w:rPr>
                <w:rFonts w:ascii="Arial Narrow" w:hAnsi="Arial Narrow"/>
                <w:snapToGrid w:val="0"/>
                <w:sz w:val="20"/>
                <w:szCs w:val="20"/>
                <w:lang w:eastAsia="en-US"/>
              </w:rPr>
            </w:pPr>
            <w:r w:rsidRPr="007E403F">
              <w:rPr>
                <w:rFonts w:ascii="Arial Narrow" w:hAnsi="Arial Narrow"/>
                <w:snapToGrid w:val="0"/>
                <w:sz w:val="20"/>
                <w:szCs w:val="20"/>
                <w:lang w:eastAsia="en-US"/>
              </w:rPr>
              <w:t>21/125 (16.8)</w:t>
            </w:r>
          </w:p>
        </w:tc>
        <w:tc>
          <w:tcPr>
            <w:tcW w:w="1534" w:type="dxa"/>
            <w:tcBorders>
              <w:top w:val="nil"/>
              <w:bottom w:val="nil"/>
            </w:tcBorders>
            <w:shd w:val="clear" w:color="auto" w:fill="auto"/>
            <w:vAlign w:val="center"/>
          </w:tcPr>
          <w:p w:rsidR="007E403F" w:rsidRPr="007E403F" w:rsidRDefault="007E403F" w:rsidP="00F84C93">
            <w:pPr>
              <w:keepNext/>
              <w:widowControl w:val="0"/>
              <w:jc w:val="center"/>
              <w:rPr>
                <w:rFonts w:ascii="Arial Narrow" w:hAnsi="Arial Narrow"/>
                <w:snapToGrid w:val="0"/>
                <w:color w:val="000000"/>
                <w:sz w:val="20"/>
                <w:szCs w:val="20"/>
                <w:lang w:eastAsia="en-US"/>
              </w:rPr>
            </w:pPr>
            <w:r w:rsidRPr="007E403F">
              <w:rPr>
                <w:rFonts w:ascii="Arial Narrow" w:hAnsi="Arial Narrow"/>
                <w:snapToGrid w:val="0"/>
                <w:color w:val="000000"/>
                <w:sz w:val="20"/>
                <w:szCs w:val="20"/>
                <w:lang w:eastAsia="en-US"/>
              </w:rPr>
              <w:t>-5.6 (-14.8, 3.3)</w:t>
            </w:r>
            <w:r w:rsidRPr="007E403F">
              <w:rPr>
                <w:rFonts w:ascii="Arial Narrow" w:hAnsi="Arial Narrow"/>
                <w:snapToGrid w:val="0"/>
                <w:color w:val="000000"/>
                <w:sz w:val="20"/>
                <w:szCs w:val="20"/>
                <w:vertAlign w:val="superscript"/>
                <w:lang w:eastAsia="en-US"/>
              </w:rPr>
              <w:t>d</w:t>
            </w:r>
          </w:p>
        </w:tc>
        <w:tc>
          <w:tcPr>
            <w:tcW w:w="1534" w:type="dxa"/>
            <w:tcBorders>
              <w:top w:val="nil"/>
              <w:bottom w:val="nil"/>
            </w:tcBorders>
            <w:shd w:val="clear" w:color="auto" w:fill="auto"/>
            <w:vAlign w:val="center"/>
          </w:tcPr>
          <w:p w:rsidR="007E403F" w:rsidRPr="00142AA9" w:rsidRDefault="007E403F" w:rsidP="00F84C93">
            <w:pPr>
              <w:keepNext/>
              <w:widowControl w:val="0"/>
              <w:jc w:val="center"/>
              <w:rPr>
                <w:rFonts w:ascii="Arial Narrow" w:hAnsi="Arial Narrow"/>
                <w:bCs/>
                <w:snapToGrid w:val="0"/>
                <w:sz w:val="20"/>
                <w:szCs w:val="20"/>
                <w:lang w:eastAsia="en-US"/>
              </w:rPr>
            </w:pPr>
            <w:r w:rsidRPr="00142AA9">
              <w:rPr>
                <w:rFonts w:ascii="Arial Narrow" w:hAnsi="Arial Narrow"/>
                <w:bCs/>
                <w:iCs/>
                <w:snapToGrid w:val="0"/>
                <w:sz w:val="20"/>
                <w:szCs w:val="20"/>
                <w:lang w:eastAsia="en-US"/>
              </w:rPr>
              <w:t>0.65 (0.35, 1.22</w:t>
            </w:r>
            <w:r w:rsidRPr="00142AA9">
              <w:rPr>
                <w:rFonts w:ascii="Arial Narrow" w:hAnsi="Arial Narrow"/>
                <w:bCs/>
                <w:snapToGrid w:val="0"/>
                <w:sz w:val="20"/>
                <w:szCs w:val="20"/>
                <w:lang w:eastAsia="en-US"/>
              </w:rPr>
              <w:t>)</w:t>
            </w:r>
            <w:r w:rsidR="00142AA9" w:rsidRPr="00142AA9">
              <w:rPr>
                <w:rFonts w:ascii="Arial Narrow" w:hAnsi="Arial Narrow"/>
                <w:bCs/>
                <w:snapToGrid w:val="0"/>
                <w:sz w:val="20"/>
                <w:szCs w:val="20"/>
                <w:lang w:eastAsia="en-US"/>
              </w:rPr>
              <w:t>**</w:t>
            </w:r>
          </w:p>
        </w:tc>
      </w:tr>
      <w:tr w:rsidR="007E403F" w:rsidRPr="007E403F" w:rsidTr="00DD33B9">
        <w:tc>
          <w:tcPr>
            <w:tcW w:w="9017" w:type="dxa"/>
            <w:gridSpan w:val="5"/>
            <w:tcBorders>
              <w:bottom w:val="single" w:sz="4" w:space="0" w:color="auto"/>
            </w:tcBorders>
            <w:shd w:val="clear" w:color="auto" w:fill="auto"/>
            <w:vAlign w:val="center"/>
          </w:tcPr>
          <w:p w:rsidR="007E403F" w:rsidRPr="00142AA9" w:rsidRDefault="007E403F" w:rsidP="00F84C93">
            <w:pPr>
              <w:keepNext/>
              <w:widowControl w:val="0"/>
              <w:rPr>
                <w:rFonts w:ascii="Arial Narrow" w:hAnsi="Arial Narrow"/>
                <w:b/>
                <w:bCs/>
                <w:snapToGrid w:val="0"/>
                <w:sz w:val="20"/>
                <w:szCs w:val="20"/>
                <w:lang w:eastAsia="en-US"/>
              </w:rPr>
            </w:pPr>
            <w:r w:rsidRPr="00142AA9">
              <w:rPr>
                <w:rFonts w:ascii="Arial Narrow" w:hAnsi="Arial Narrow"/>
                <w:b/>
                <w:bCs/>
                <w:snapToGrid w:val="0"/>
                <w:sz w:val="20"/>
                <w:szCs w:val="20"/>
                <w:lang w:eastAsia="en-US"/>
              </w:rPr>
              <w:t>CDI recurrence in patients who attained clinical cure of initial episode at 12 weeks</w:t>
            </w:r>
          </w:p>
        </w:tc>
      </w:tr>
      <w:tr w:rsidR="007E403F" w:rsidRPr="007E403F" w:rsidTr="00DD33B9">
        <w:tc>
          <w:tcPr>
            <w:tcW w:w="3098" w:type="dxa"/>
            <w:tcBorders>
              <w:bottom w:val="nil"/>
            </w:tcBorders>
            <w:shd w:val="clear" w:color="auto" w:fill="B8CCE4" w:themeFill="accent1" w:themeFillTint="66"/>
          </w:tcPr>
          <w:p w:rsidR="007E403F" w:rsidRPr="0029612F" w:rsidRDefault="007E403F" w:rsidP="00F84C93">
            <w:pPr>
              <w:keepNext/>
              <w:widowControl w:val="0"/>
              <w:rPr>
                <w:rFonts w:ascii="Arial Narrow" w:hAnsi="Arial Narrow"/>
                <w:snapToGrid w:val="0"/>
                <w:sz w:val="20"/>
                <w:szCs w:val="20"/>
                <w:lang w:eastAsia="en-US"/>
              </w:rPr>
            </w:pPr>
            <w:r w:rsidRPr="0029612F">
              <w:rPr>
                <w:rFonts w:ascii="Arial Narrow" w:hAnsi="Arial Narrow"/>
                <w:b/>
                <w:snapToGrid w:val="0"/>
                <w:sz w:val="20"/>
                <w:szCs w:val="20"/>
                <w:lang w:eastAsia="en-US"/>
              </w:rPr>
              <w:t>November 2017 submission:</w:t>
            </w:r>
          </w:p>
        </w:tc>
        <w:tc>
          <w:tcPr>
            <w:tcW w:w="1425"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426"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snapToGrid w:val="0"/>
                <w:sz w:val="20"/>
                <w:szCs w:val="20"/>
                <w:lang w:eastAsia="en-US"/>
              </w:rPr>
            </w:pPr>
          </w:p>
        </w:tc>
      </w:tr>
      <w:tr w:rsidR="007E403F" w:rsidRPr="007E403F" w:rsidTr="00DD33B9">
        <w:tc>
          <w:tcPr>
            <w:tcW w:w="3098" w:type="dxa"/>
            <w:tcBorders>
              <w:top w:val="nil"/>
              <w:bottom w:val="single" w:sz="4" w:space="0" w:color="auto"/>
            </w:tcBorders>
            <w:shd w:val="clear" w:color="auto" w:fill="B8CCE4" w:themeFill="accent1" w:themeFillTint="66"/>
          </w:tcPr>
          <w:p w:rsidR="007E403F" w:rsidRPr="0029612F" w:rsidRDefault="007E403F" w:rsidP="000735EA">
            <w:pPr>
              <w:keepNext/>
              <w:widowControl w:val="0"/>
              <w:numPr>
                <w:ilvl w:val="0"/>
                <w:numId w:val="8"/>
              </w:numPr>
              <w:ind w:left="255" w:hanging="181"/>
              <w:rPr>
                <w:rFonts w:ascii="Arial Narrow" w:hAnsi="Arial Narrow"/>
                <w:b/>
                <w:snapToGrid w:val="0"/>
                <w:sz w:val="20"/>
                <w:szCs w:val="20"/>
                <w:lang w:eastAsia="en-US"/>
              </w:rPr>
            </w:pPr>
            <w:r w:rsidRPr="0029612F">
              <w:rPr>
                <w:rFonts w:ascii="Arial Narrow" w:hAnsi="Arial Narrow"/>
                <w:snapToGrid w:val="0"/>
                <w:sz w:val="20"/>
                <w:szCs w:val="20"/>
                <w:lang w:eastAsia="en-US"/>
              </w:rPr>
              <w:t>All patients</w:t>
            </w:r>
          </w:p>
        </w:tc>
        <w:tc>
          <w:tcPr>
            <w:tcW w:w="1425"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129/625 (20.6)</w:t>
            </w:r>
          </w:p>
        </w:tc>
        <w:tc>
          <w:tcPr>
            <w:tcW w:w="1426"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206/621 (33.2)</w:t>
            </w:r>
          </w:p>
        </w:tc>
        <w:tc>
          <w:tcPr>
            <w:tcW w:w="1534"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b/>
                <w:bCs/>
                <w:snapToGrid w:val="0"/>
                <w:sz w:val="20"/>
                <w:szCs w:val="20"/>
                <w:lang w:eastAsia="en-US"/>
              </w:rPr>
            </w:pPr>
            <w:r w:rsidRPr="0029612F">
              <w:rPr>
                <w:rFonts w:ascii="Arial Narrow" w:hAnsi="Arial Narrow"/>
                <w:b/>
                <w:bCs/>
                <w:snapToGrid w:val="0"/>
                <w:sz w:val="20"/>
                <w:szCs w:val="20"/>
                <w:lang w:eastAsia="en-US"/>
              </w:rPr>
              <w:t>-12.2 (-17.1, -7.4)^</w:t>
            </w:r>
          </w:p>
        </w:tc>
        <w:tc>
          <w:tcPr>
            <w:tcW w:w="1534" w:type="dxa"/>
            <w:tcBorders>
              <w:top w:val="nil"/>
              <w:bottom w:val="single" w:sz="4" w:space="0" w:color="auto"/>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b/>
                <w:bCs/>
                <w:snapToGrid w:val="0"/>
                <w:sz w:val="20"/>
                <w:szCs w:val="20"/>
                <w:lang w:eastAsia="en-US"/>
              </w:rPr>
            </w:pPr>
            <w:r w:rsidRPr="00142AA9">
              <w:rPr>
                <w:rFonts w:ascii="Arial Narrow" w:hAnsi="Arial Narrow"/>
                <w:b/>
                <w:bCs/>
                <w:snapToGrid w:val="0"/>
                <w:sz w:val="20"/>
                <w:szCs w:val="20"/>
                <w:lang w:eastAsia="en-US"/>
              </w:rPr>
              <w:t>0.62 (0.51, 0.75)</w:t>
            </w:r>
          </w:p>
        </w:tc>
      </w:tr>
      <w:tr w:rsidR="007E403F" w:rsidRPr="007E403F" w:rsidTr="00DD33B9">
        <w:tc>
          <w:tcPr>
            <w:tcW w:w="3098" w:type="dxa"/>
            <w:tcBorders>
              <w:bottom w:val="nil"/>
            </w:tcBorders>
            <w:shd w:val="clear" w:color="auto" w:fill="B8CCE4" w:themeFill="accent1" w:themeFillTint="66"/>
          </w:tcPr>
          <w:p w:rsidR="007E403F" w:rsidRPr="0029612F" w:rsidRDefault="007E403F" w:rsidP="00F84C93">
            <w:pPr>
              <w:keepNext/>
              <w:widowControl w:val="0"/>
              <w:rPr>
                <w:rFonts w:ascii="Arial Narrow" w:hAnsi="Arial Narrow"/>
                <w:snapToGrid w:val="0"/>
                <w:sz w:val="20"/>
                <w:szCs w:val="20"/>
                <w:lang w:eastAsia="en-US"/>
              </w:rPr>
            </w:pPr>
            <w:r w:rsidRPr="0029612F">
              <w:rPr>
                <w:rFonts w:ascii="Arial Narrow" w:hAnsi="Arial Narrow"/>
                <w:b/>
                <w:snapToGrid w:val="0"/>
                <w:sz w:val="20"/>
                <w:szCs w:val="20"/>
                <w:lang w:eastAsia="en-US"/>
              </w:rPr>
              <w:t xml:space="preserve">July 2018 resubmission: </w:t>
            </w:r>
          </w:p>
        </w:tc>
        <w:tc>
          <w:tcPr>
            <w:tcW w:w="1425"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426"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snapToGrid w:val="0"/>
                <w:sz w:val="20"/>
                <w:szCs w:val="20"/>
                <w:lang w:eastAsia="en-US"/>
              </w:rPr>
            </w:pPr>
          </w:p>
        </w:tc>
      </w:tr>
      <w:tr w:rsidR="007E403F" w:rsidRPr="007E403F" w:rsidTr="00DD33B9">
        <w:tc>
          <w:tcPr>
            <w:tcW w:w="3098" w:type="dxa"/>
            <w:tcBorders>
              <w:top w:val="nil"/>
              <w:bottom w:val="nil"/>
            </w:tcBorders>
            <w:shd w:val="clear" w:color="auto" w:fill="B8CCE4" w:themeFill="accent1" w:themeFillTint="66"/>
          </w:tcPr>
          <w:p w:rsidR="007E403F" w:rsidRPr="0029612F" w:rsidRDefault="007E403F" w:rsidP="000735EA">
            <w:pPr>
              <w:keepNext/>
              <w:widowControl w:val="0"/>
              <w:numPr>
                <w:ilvl w:val="0"/>
                <w:numId w:val="8"/>
              </w:numPr>
              <w:ind w:left="255" w:hanging="181"/>
              <w:rPr>
                <w:rFonts w:ascii="Arial Narrow" w:hAnsi="Arial Narrow"/>
                <w:snapToGrid w:val="0"/>
                <w:sz w:val="20"/>
                <w:szCs w:val="20"/>
                <w:lang w:eastAsia="en-US"/>
              </w:rPr>
            </w:pPr>
            <w:r w:rsidRPr="0029612F">
              <w:rPr>
                <w:rFonts w:ascii="Arial Narrow" w:hAnsi="Arial Narrow"/>
                <w:snapToGrid w:val="0"/>
                <w:sz w:val="20"/>
                <w:szCs w:val="20"/>
                <w:lang w:eastAsia="en-US"/>
              </w:rPr>
              <w:t>≥1 of 5 risk factors</w:t>
            </w:r>
            <w:r w:rsidRPr="0029612F">
              <w:rPr>
                <w:rFonts w:ascii="Arial Narrow" w:hAnsi="Arial Narrow"/>
                <w:snapToGrid w:val="0"/>
                <w:sz w:val="20"/>
                <w:szCs w:val="20"/>
                <w:vertAlign w:val="superscript"/>
                <w:lang w:eastAsia="en-US"/>
              </w:rPr>
              <w:t>b</w:t>
            </w:r>
          </w:p>
        </w:tc>
        <w:tc>
          <w:tcPr>
            <w:tcW w:w="1425"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100/471 (21.2)</w:t>
            </w:r>
          </w:p>
        </w:tc>
        <w:tc>
          <w:tcPr>
            <w:tcW w:w="1426"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174/468 (37.2)</w:t>
            </w:r>
          </w:p>
        </w:tc>
        <w:tc>
          <w:tcPr>
            <w:tcW w:w="1534"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b/>
                <w:bCs/>
                <w:snapToGrid w:val="0"/>
                <w:sz w:val="20"/>
                <w:szCs w:val="20"/>
                <w:lang w:eastAsia="en-US"/>
              </w:rPr>
            </w:pPr>
            <w:r w:rsidRPr="0029612F">
              <w:rPr>
                <w:rFonts w:ascii="Arial Narrow" w:hAnsi="Arial Narrow"/>
                <w:b/>
                <w:bCs/>
                <w:snapToGrid w:val="0"/>
                <w:sz w:val="20"/>
                <w:szCs w:val="20"/>
                <w:lang w:eastAsia="en-US"/>
              </w:rPr>
              <w:t>-15.9 (-21.6, -10.2)</w:t>
            </w:r>
          </w:p>
        </w:tc>
        <w:tc>
          <w:tcPr>
            <w:tcW w:w="1534" w:type="dxa"/>
            <w:tcBorders>
              <w:top w:val="nil"/>
              <w:bottom w:val="nil"/>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b/>
                <w:bCs/>
                <w:snapToGrid w:val="0"/>
                <w:sz w:val="20"/>
                <w:szCs w:val="20"/>
                <w:lang w:eastAsia="en-US"/>
              </w:rPr>
            </w:pPr>
            <w:r w:rsidRPr="00142AA9">
              <w:rPr>
                <w:rFonts w:ascii="Arial Narrow" w:hAnsi="Arial Narrow"/>
                <w:b/>
                <w:bCs/>
                <w:snapToGrid w:val="0"/>
                <w:sz w:val="20"/>
                <w:szCs w:val="20"/>
                <w:lang w:eastAsia="en-US"/>
              </w:rPr>
              <w:t>0.57 (0.46, 0.70)</w:t>
            </w:r>
          </w:p>
        </w:tc>
      </w:tr>
      <w:tr w:rsidR="007E403F" w:rsidRPr="007E403F" w:rsidTr="00DD33B9">
        <w:tc>
          <w:tcPr>
            <w:tcW w:w="3098" w:type="dxa"/>
            <w:tcBorders>
              <w:top w:val="nil"/>
              <w:bottom w:val="single" w:sz="4" w:space="0" w:color="auto"/>
            </w:tcBorders>
            <w:shd w:val="clear" w:color="auto" w:fill="B8CCE4" w:themeFill="accent1" w:themeFillTint="66"/>
          </w:tcPr>
          <w:p w:rsidR="007E403F" w:rsidRPr="0029612F" w:rsidRDefault="007E403F" w:rsidP="000735EA">
            <w:pPr>
              <w:keepNext/>
              <w:widowControl w:val="0"/>
              <w:numPr>
                <w:ilvl w:val="0"/>
                <w:numId w:val="8"/>
              </w:numPr>
              <w:ind w:left="255" w:hanging="181"/>
              <w:rPr>
                <w:rFonts w:ascii="Arial Narrow" w:hAnsi="Arial Narrow"/>
                <w:snapToGrid w:val="0"/>
                <w:sz w:val="20"/>
                <w:szCs w:val="20"/>
                <w:lang w:eastAsia="en-US"/>
              </w:rPr>
            </w:pPr>
            <w:r w:rsidRPr="0029612F">
              <w:rPr>
                <w:rFonts w:ascii="Arial Narrow" w:hAnsi="Arial Narrow"/>
                <w:snapToGrid w:val="0"/>
                <w:sz w:val="20"/>
                <w:szCs w:val="20"/>
                <w:lang w:eastAsia="en-US"/>
              </w:rPr>
              <w:t>Complement*</w:t>
            </w:r>
          </w:p>
        </w:tc>
        <w:tc>
          <w:tcPr>
            <w:tcW w:w="1425"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29/154 (18.8)</w:t>
            </w:r>
          </w:p>
        </w:tc>
        <w:tc>
          <w:tcPr>
            <w:tcW w:w="1426"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32/153 (20.9)</w:t>
            </w:r>
          </w:p>
        </w:tc>
        <w:tc>
          <w:tcPr>
            <w:tcW w:w="1534"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-2.1 (-11.1, 6.9)</w:t>
            </w:r>
          </w:p>
        </w:tc>
        <w:tc>
          <w:tcPr>
            <w:tcW w:w="1534" w:type="dxa"/>
            <w:tcBorders>
              <w:top w:val="nil"/>
              <w:bottom w:val="single" w:sz="4" w:space="0" w:color="auto"/>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snapToGrid w:val="0"/>
                <w:sz w:val="20"/>
                <w:szCs w:val="20"/>
                <w:lang w:eastAsia="en-US"/>
              </w:rPr>
            </w:pPr>
            <w:r w:rsidRPr="00142AA9">
              <w:rPr>
                <w:rFonts w:ascii="Arial Narrow" w:hAnsi="Arial Narrow"/>
                <w:snapToGrid w:val="0"/>
                <w:sz w:val="20"/>
                <w:szCs w:val="20"/>
                <w:lang w:eastAsia="en-US"/>
              </w:rPr>
              <w:t>0.90 (0.58, 1.41)</w:t>
            </w:r>
          </w:p>
        </w:tc>
      </w:tr>
      <w:tr w:rsidR="007E403F" w:rsidRPr="007E403F" w:rsidTr="00DD33B9">
        <w:tc>
          <w:tcPr>
            <w:tcW w:w="3098" w:type="dxa"/>
            <w:tcBorders>
              <w:bottom w:val="nil"/>
            </w:tcBorders>
            <w:shd w:val="clear" w:color="auto" w:fill="B8CCE4" w:themeFill="accent1" w:themeFillTint="66"/>
          </w:tcPr>
          <w:p w:rsidR="007E403F" w:rsidRPr="0029612F" w:rsidRDefault="007E403F" w:rsidP="00F84C93">
            <w:pPr>
              <w:keepNext/>
              <w:widowControl w:val="0"/>
              <w:rPr>
                <w:rFonts w:ascii="Arial Narrow" w:hAnsi="Arial Narrow"/>
                <w:snapToGrid w:val="0"/>
                <w:sz w:val="20"/>
                <w:szCs w:val="20"/>
                <w:lang w:eastAsia="en-US"/>
              </w:rPr>
            </w:pPr>
            <w:r w:rsidRPr="0029612F">
              <w:rPr>
                <w:rFonts w:ascii="Arial Narrow" w:hAnsi="Arial Narrow"/>
                <w:b/>
                <w:snapToGrid w:val="0"/>
                <w:sz w:val="20"/>
                <w:szCs w:val="20"/>
                <w:lang w:eastAsia="en-US"/>
              </w:rPr>
              <w:t>July 2019 resubmission:</w:t>
            </w:r>
          </w:p>
        </w:tc>
        <w:tc>
          <w:tcPr>
            <w:tcW w:w="1425"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426"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b/>
                <w:bCs/>
                <w:snapToGrid w:val="0"/>
                <w:sz w:val="20"/>
                <w:szCs w:val="20"/>
                <w:lang w:eastAsia="en-US"/>
              </w:rPr>
            </w:pPr>
          </w:p>
        </w:tc>
        <w:tc>
          <w:tcPr>
            <w:tcW w:w="1534" w:type="dxa"/>
            <w:tcBorders>
              <w:bottom w:val="nil"/>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b/>
                <w:bCs/>
                <w:snapToGrid w:val="0"/>
                <w:sz w:val="20"/>
                <w:szCs w:val="20"/>
                <w:lang w:eastAsia="en-US"/>
              </w:rPr>
            </w:pPr>
          </w:p>
        </w:tc>
      </w:tr>
      <w:tr w:rsidR="007E403F" w:rsidRPr="007E403F" w:rsidTr="00DD33B9">
        <w:tc>
          <w:tcPr>
            <w:tcW w:w="3098" w:type="dxa"/>
            <w:tcBorders>
              <w:top w:val="nil"/>
              <w:bottom w:val="nil"/>
            </w:tcBorders>
            <w:shd w:val="clear" w:color="auto" w:fill="B8CCE4" w:themeFill="accent1" w:themeFillTint="66"/>
          </w:tcPr>
          <w:p w:rsidR="007E403F" w:rsidRPr="0029612F" w:rsidRDefault="007E403F" w:rsidP="000735EA">
            <w:pPr>
              <w:keepNext/>
              <w:widowControl w:val="0"/>
              <w:numPr>
                <w:ilvl w:val="0"/>
                <w:numId w:val="8"/>
              </w:numPr>
              <w:ind w:left="255" w:hanging="181"/>
              <w:rPr>
                <w:rFonts w:ascii="Arial Narrow" w:hAnsi="Arial Narrow"/>
                <w:snapToGrid w:val="0"/>
                <w:sz w:val="20"/>
                <w:szCs w:val="20"/>
                <w:lang w:eastAsia="en-US"/>
              </w:rPr>
            </w:pPr>
            <w:r w:rsidRPr="0029612F">
              <w:rPr>
                <w:rFonts w:ascii="Arial Narrow" w:hAnsi="Arial Narrow"/>
                <w:snapToGrid w:val="0"/>
                <w:sz w:val="20"/>
                <w:szCs w:val="20"/>
                <w:lang w:eastAsia="en-US"/>
              </w:rPr>
              <w:t>≥2 of 4 risk factors</w:t>
            </w:r>
            <w:r w:rsidRPr="0029612F">
              <w:rPr>
                <w:rFonts w:ascii="Arial Narrow" w:hAnsi="Arial Narrow"/>
                <w:snapToGrid w:val="0"/>
                <w:sz w:val="20"/>
                <w:szCs w:val="20"/>
                <w:vertAlign w:val="superscript"/>
                <w:lang w:eastAsia="en-US"/>
              </w:rPr>
              <w:t>c</w:t>
            </w:r>
            <w:r w:rsidRPr="0029612F">
              <w:rPr>
                <w:rFonts w:ascii="Arial Narrow" w:hAnsi="Arial Narrow"/>
                <w:snapToGrid w:val="0"/>
                <w:sz w:val="20"/>
                <w:szCs w:val="20"/>
                <w:lang w:eastAsia="en-US"/>
              </w:rPr>
              <w:t xml:space="preserve"> (&amp; toxin B pos.)</w:t>
            </w:r>
          </w:p>
        </w:tc>
        <w:tc>
          <w:tcPr>
            <w:tcW w:w="1425"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24/113 (21.2)</w:t>
            </w:r>
          </w:p>
        </w:tc>
        <w:tc>
          <w:tcPr>
            <w:tcW w:w="1426"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51/122 (41.8)</w:t>
            </w:r>
          </w:p>
        </w:tc>
        <w:tc>
          <w:tcPr>
            <w:tcW w:w="1534"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b/>
                <w:bCs/>
                <w:snapToGrid w:val="0"/>
                <w:sz w:val="20"/>
                <w:szCs w:val="20"/>
                <w:lang w:eastAsia="en-US"/>
              </w:rPr>
            </w:pPr>
            <w:r w:rsidRPr="0029612F">
              <w:rPr>
                <w:rFonts w:ascii="Arial Narrow" w:hAnsi="Arial Narrow"/>
                <w:b/>
                <w:bCs/>
                <w:snapToGrid w:val="0"/>
                <w:sz w:val="20"/>
                <w:szCs w:val="20"/>
                <w:lang w:eastAsia="en-US"/>
              </w:rPr>
              <w:t>-19.2 (-30.8, -7.2)</w:t>
            </w:r>
            <w:r w:rsidRPr="0029612F">
              <w:rPr>
                <w:rFonts w:ascii="Arial Narrow" w:hAnsi="Arial Narrow"/>
                <w:b/>
                <w:bCs/>
                <w:snapToGrid w:val="0"/>
                <w:sz w:val="20"/>
                <w:szCs w:val="20"/>
                <w:vertAlign w:val="superscript"/>
                <w:lang w:eastAsia="en-US"/>
              </w:rPr>
              <w:t>d</w:t>
            </w:r>
          </w:p>
        </w:tc>
        <w:tc>
          <w:tcPr>
            <w:tcW w:w="1534" w:type="dxa"/>
            <w:tcBorders>
              <w:top w:val="nil"/>
              <w:bottom w:val="nil"/>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b/>
                <w:bCs/>
                <w:snapToGrid w:val="0"/>
                <w:sz w:val="20"/>
                <w:szCs w:val="20"/>
                <w:lang w:eastAsia="en-US"/>
              </w:rPr>
            </w:pPr>
            <w:r w:rsidRPr="00142AA9">
              <w:rPr>
                <w:rFonts w:ascii="Arial Narrow" w:hAnsi="Arial Narrow"/>
                <w:b/>
                <w:bCs/>
                <w:iCs/>
                <w:snapToGrid w:val="0"/>
                <w:sz w:val="20"/>
                <w:szCs w:val="20"/>
                <w:lang w:eastAsia="en-US"/>
              </w:rPr>
              <w:t>0.51 (0.34, 0.77)</w:t>
            </w:r>
            <w:r w:rsidR="00142AA9" w:rsidRPr="00142AA9">
              <w:rPr>
                <w:rFonts w:ascii="Arial Narrow" w:hAnsi="Arial Narrow"/>
                <w:b/>
                <w:bCs/>
                <w:iCs/>
                <w:snapToGrid w:val="0"/>
                <w:sz w:val="20"/>
                <w:szCs w:val="20"/>
                <w:lang w:eastAsia="en-US"/>
              </w:rPr>
              <w:t>**</w:t>
            </w:r>
          </w:p>
        </w:tc>
      </w:tr>
      <w:tr w:rsidR="007E403F" w:rsidRPr="007E403F" w:rsidTr="00DD33B9">
        <w:tc>
          <w:tcPr>
            <w:tcW w:w="3098" w:type="dxa"/>
            <w:tcBorders>
              <w:top w:val="nil"/>
            </w:tcBorders>
            <w:shd w:val="clear" w:color="auto" w:fill="B8CCE4" w:themeFill="accent1" w:themeFillTint="66"/>
          </w:tcPr>
          <w:p w:rsidR="007E403F" w:rsidRPr="0029612F" w:rsidRDefault="007E403F" w:rsidP="000735EA">
            <w:pPr>
              <w:keepNext/>
              <w:widowControl w:val="0"/>
              <w:numPr>
                <w:ilvl w:val="0"/>
                <w:numId w:val="8"/>
              </w:numPr>
              <w:ind w:left="255" w:hanging="181"/>
              <w:rPr>
                <w:rFonts w:ascii="Arial Narrow" w:hAnsi="Arial Narrow"/>
                <w:snapToGrid w:val="0"/>
                <w:sz w:val="20"/>
                <w:szCs w:val="20"/>
                <w:lang w:eastAsia="en-US"/>
              </w:rPr>
            </w:pPr>
            <w:r w:rsidRPr="0029612F">
              <w:rPr>
                <w:rFonts w:ascii="Arial Narrow" w:hAnsi="Arial Narrow"/>
                <w:snapToGrid w:val="0"/>
                <w:sz w:val="20"/>
                <w:szCs w:val="20"/>
                <w:lang w:eastAsia="en-US"/>
              </w:rPr>
              <w:t>Complement (&amp; toxin B pos.)</w:t>
            </w:r>
          </w:p>
        </w:tc>
        <w:tc>
          <w:tcPr>
            <w:tcW w:w="1425" w:type="dxa"/>
            <w:tcBorders>
              <w:top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31/199 (15.6)</w:t>
            </w:r>
          </w:p>
        </w:tc>
        <w:tc>
          <w:tcPr>
            <w:tcW w:w="1426" w:type="dxa"/>
            <w:tcBorders>
              <w:top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56/202 (27.7)</w:t>
            </w:r>
          </w:p>
        </w:tc>
        <w:tc>
          <w:tcPr>
            <w:tcW w:w="1534" w:type="dxa"/>
            <w:tcBorders>
              <w:top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b/>
                <w:snapToGrid w:val="0"/>
                <w:sz w:val="20"/>
                <w:szCs w:val="20"/>
                <w:lang w:eastAsia="en-US"/>
              </w:rPr>
            </w:pPr>
            <w:r w:rsidRPr="0029612F">
              <w:rPr>
                <w:rFonts w:ascii="Arial Narrow" w:hAnsi="Arial Narrow"/>
                <w:b/>
                <w:snapToGrid w:val="0"/>
                <w:sz w:val="20"/>
                <w:szCs w:val="20"/>
                <w:lang w:eastAsia="en-US"/>
              </w:rPr>
              <w:t>-11.2 (-19.3, -3.2)</w:t>
            </w:r>
          </w:p>
        </w:tc>
        <w:tc>
          <w:tcPr>
            <w:tcW w:w="1534" w:type="dxa"/>
            <w:tcBorders>
              <w:top w:val="nil"/>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b/>
                <w:bCs/>
                <w:snapToGrid w:val="0"/>
                <w:sz w:val="20"/>
                <w:szCs w:val="20"/>
                <w:lang w:eastAsia="en-US"/>
              </w:rPr>
            </w:pPr>
            <w:r w:rsidRPr="00142AA9">
              <w:rPr>
                <w:rFonts w:ascii="Arial Narrow" w:hAnsi="Arial Narrow"/>
                <w:b/>
                <w:snapToGrid w:val="0"/>
                <w:sz w:val="20"/>
                <w:szCs w:val="20"/>
                <w:lang w:eastAsia="en-US"/>
              </w:rPr>
              <w:t>0.56 (0.38, 0.83</w:t>
            </w:r>
            <w:r w:rsidRPr="00142AA9">
              <w:rPr>
                <w:rFonts w:ascii="Arial Narrow" w:hAnsi="Arial Narrow"/>
                <w:bCs/>
                <w:snapToGrid w:val="0"/>
                <w:sz w:val="20"/>
                <w:szCs w:val="20"/>
                <w:lang w:eastAsia="en-US"/>
              </w:rPr>
              <w:t>)</w:t>
            </w:r>
          </w:p>
        </w:tc>
      </w:tr>
      <w:tr w:rsidR="007E403F" w:rsidRPr="007E403F" w:rsidTr="00DD33B9">
        <w:tc>
          <w:tcPr>
            <w:tcW w:w="3098" w:type="dxa"/>
            <w:tcBorders>
              <w:top w:val="nil"/>
              <w:bottom w:val="nil"/>
            </w:tcBorders>
            <w:shd w:val="clear" w:color="auto" w:fill="auto"/>
          </w:tcPr>
          <w:p w:rsidR="007E403F" w:rsidRPr="007E403F" w:rsidRDefault="007E403F" w:rsidP="00F84C93">
            <w:pPr>
              <w:keepNext/>
              <w:widowControl w:val="0"/>
              <w:rPr>
                <w:rFonts w:ascii="Arial Narrow" w:hAnsi="Arial Narrow"/>
                <w:snapToGrid w:val="0"/>
                <w:sz w:val="20"/>
                <w:szCs w:val="20"/>
                <w:lang w:eastAsia="en-US"/>
              </w:rPr>
            </w:pPr>
            <w:r w:rsidRPr="007E403F">
              <w:rPr>
                <w:rFonts w:ascii="Arial Narrow" w:hAnsi="Arial Narrow"/>
                <w:b/>
                <w:bCs/>
                <w:snapToGrid w:val="0"/>
                <w:sz w:val="20"/>
                <w:szCs w:val="20"/>
                <w:lang w:eastAsia="en-US"/>
              </w:rPr>
              <w:t>March 2020 resubmission:</w:t>
            </w:r>
          </w:p>
        </w:tc>
        <w:tc>
          <w:tcPr>
            <w:tcW w:w="1425" w:type="dxa"/>
            <w:tcBorders>
              <w:top w:val="nil"/>
              <w:bottom w:val="nil"/>
            </w:tcBorders>
            <w:shd w:val="clear" w:color="auto" w:fill="auto"/>
            <w:vAlign w:val="center"/>
          </w:tcPr>
          <w:p w:rsidR="007E403F" w:rsidRPr="007E403F" w:rsidRDefault="007E403F" w:rsidP="00F84C93">
            <w:pPr>
              <w:keepNext/>
              <w:widowControl w:val="0"/>
              <w:jc w:val="center"/>
              <w:rPr>
                <w:rFonts w:ascii="Arial Narrow" w:hAnsi="Arial Narrow"/>
                <w:snapToGrid w:val="0"/>
                <w:sz w:val="20"/>
                <w:szCs w:val="20"/>
                <w:lang w:eastAsia="en-US"/>
              </w:rPr>
            </w:pPr>
          </w:p>
        </w:tc>
        <w:tc>
          <w:tcPr>
            <w:tcW w:w="1426" w:type="dxa"/>
            <w:tcBorders>
              <w:top w:val="nil"/>
              <w:bottom w:val="nil"/>
            </w:tcBorders>
            <w:shd w:val="clear" w:color="auto" w:fill="auto"/>
            <w:vAlign w:val="center"/>
          </w:tcPr>
          <w:p w:rsidR="007E403F" w:rsidRPr="007E403F" w:rsidRDefault="007E403F" w:rsidP="00F84C93">
            <w:pPr>
              <w:keepNext/>
              <w:widowControl w:val="0"/>
              <w:jc w:val="center"/>
              <w:rPr>
                <w:rFonts w:ascii="Arial Narrow" w:hAnsi="Arial Narrow"/>
                <w:snapToGrid w:val="0"/>
                <w:sz w:val="20"/>
                <w:szCs w:val="20"/>
                <w:lang w:eastAsia="en-US"/>
              </w:rPr>
            </w:pPr>
          </w:p>
        </w:tc>
        <w:tc>
          <w:tcPr>
            <w:tcW w:w="1534" w:type="dxa"/>
            <w:tcBorders>
              <w:top w:val="nil"/>
              <w:bottom w:val="nil"/>
            </w:tcBorders>
            <w:shd w:val="clear" w:color="auto" w:fill="auto"/>
            <w:vAlign w:val="center"/>
          </w:tcPr>
          <w:p w:rsidR="007E403F" w:rsidRPr="007E403F" w:rsidRDefault="007E403F" w:rsidP="00F84C93">
            <w:pPr>
              <w:keepNext/>
              <w:widowControl w:val="0"/>
              <w:jc w:val="center"/>
              <w:rPr>
                <w:rFonts w:ascii="Arial Narrow" w:hAnsi="Arial Narrow"/>
                <w:bCs/>
                <w:snapToGrid w:val="0"/>
                <w:color w:val="000000"/>
                <w:sz w:val="20"/>
                <w:szCs w:val="20"/>
                <w:lang w:eastAsia="en-US"/>
              </w:rPr>
            </w:pPr>
          </w:p>
        </w:tc>
        <w:tc>
          <w:tcPr>
            <w:tcW w:w="1534" w:type="dxa"/>
            <w:tcBorders>
              <w:top w:val="nil"/>
              <w:bottom w:val="nil"/>
            </w:tcBorders>
            <w:shd w:val="clear" w:color="auto" w:fill="auto"/>
            <w:vAlign w:val="center"/>
          </w:tcPr>
          <w:p w:rsidR="007E403F" w:rsidRPr="00142AA9" w:rsidRDefault="007E403F" w:rsidP="00F84C93">
            <w:pPr>
              <w:keepNext/>
              <w:widowControl w:val="0"/>
              <w:jc w:val="center"/>
              <w:rPr>
                <w:rFonts w:ascii="Arial Narrow" w:hAnsi="Arial Narrow"/>
                <w:bCs/>
                <w:snapToGrid w:val="0"/>
                <w:sz w:val="20"/>
                <w:szCs w:val="20"/>
                <w:lang w:eastAsia="en-US"/>
              </w:rPr>
            </w:pPr>
          </w:p>
        </w:tc>
      </w:tr>
      <w:tr w:rsidR="007E403F" w:rsidRPr="007E403F" w:rsidTr="00DD33B9">
        <w:tc>
          <w:tcPr>
            <w:tcW w:w="3098" w:type="dxa"/>
            <w:tcBorders>
              <w:top w:val="nil"/>
              <w:left w:val="single" w:sz="4" w:space="0" w:color="auto"/>
              <w:bottom w:val="nil"/>
              <w:right w:val="single" w:sz="4" w:space="0" w:color="auto"/>
            </w:tcBorders>
            <w:shd w:val="clear" w:color="auto" w:fill="auto"/>
          </w:tcPr>
          <w:p w:rsidR="007E403F" w:rsidRPr="007E403F" w:rsidRDefault="007E403F" w:rsidP="000735EA">
            <w:pPr>
              <w:keepNext/>
              <w:widowControl w:val="0"/>
              <w:numPr>
                <w:ilvl w:val="0"/>
                <w:numId w:val="8"/>
              </w:numPr>
              <w:ind w:left="255" w:hanging="181"/>
              <w:rPr>
                <w:rFonts w:ascii="Arial Narrow" w:hAnsi="Arial Narrow"/>
                <w:snapToGrid w:val="0"/>
                <w:sz w:val="20"/>
                <w:szCs w:val="20"/>
                <w:lang w:eastAsia="en-US"/>
              </w:rPr>
            </w:pPr>
            <w:r w:rsidRPr="007E403F">
              <w:rPr>
                <w:rFonts w:ascii="Arial Narrow" w:hAnsi="Arial Narrow"/>
                <w:snapToGrid w:val="0"/>
                <w:sz w:val="20"/>
                <w:szCs w:val="20"/>
                <w:lang w:eastAsia="en-US"/>
              </w:rPr>
              <w:t>≥1 of 2 risk factors</w:t>
            </w:r>
            <w:r w:rsidRPr="007E403F">
              <w:rPr>
                <w:rFonts w:ascii="Arial Narrow" w:hAnsi="Arial Narrow"/>
                <w:snapToGrid w:val="0"/>
                <w:sz w:val="20"/>
                <w:szCs w:val="20"/>
                <w:vertAlign w:val="superscript"/>
                <w:lang w:eastAsia="en-US"/>
              </w:rPr>
              <w:t>f</w:t>
            </w:r>
            <w:r w:rsidRPr="007E403F">
              <w:rPr>
                <w:rFonts w:ascii="Arial Narrow" w:hAnsi="Arial Narrow"/>
                <w:snapToGrid w:val="0"/>
                <w:sz w:val="20"/>
                <w:szCs w:val="20"/>
                <w:lang w:eastAsia="en-US"/>
              </w:rPr>
              <w:t xml:space="preserve"> (&amp; toxin B pos.)</w:t>
            </w:r>
          </w:p>
        </w:tc>
        <w:tc>
          <w:tcPr>
            <w:tcW w:w="1425" w:type="dxa"/>
            <w:tcBorders>
              <w:top w:val="nil"/>
              <w:left w:val="single" w:sz="4" w:space="0" w:color="auto"/>
              <w:bottom w:val="nil"/>
              <w:right w:val="single" w:sz="4" w:space="0" w:color="auto"/>
            </w:tcBorders>
            <w:shd w:val="clear" w:color="auto" w:fill="auto"/>
            <w:vAlign w:val="center"/>
          </w:tcPr>
          <w:p w:rsidR="007E403F" w:rsidRPr="007E403F" w:rsidRDefault="007E403F" w:rsidP="00F84C93">
            <w:pPr>
              <w:keepNext/>
              <w:widowControl w:val="0"/>
              <w:jc w:val="center"/>
              <w:rPr>
                <w:rFonts w:ascii="Arial Narrow" w:hAnsi="Arial Narrow"/>
                <w:snapToGrid w:val="0"/>
                <w:sz w:val="20"/>
                <w:szCs w:val="20"/>
                <w:lang w:eastAsia="en-US"/>
              </w:rPr>
            </w:pPr>
            <w:r w:rsidRPr="007E403F">
              <w:rPr>
                <w:rFonts w:ascii="Arial Narrow" w:hAnsi="Arial Narrow"/>
                <w:snapToGrid w:val="0"/>
                <w:sz w:val="20"/>
                <w:szCs w:val="20"/>
                <w:lang w:eastAsia="en-US"/>
              </w:rPr>
              <w:t>41/207 (19.8)</w:t>
            </w:r>
          </w:p>
        </w:tc>
        <w:tc>
          <w:tcPr>
            <w:tcW w:w="1426" w:type="dxa"/>
            <w:tcBorders>
              <w:top w:val="nil"/>
              <w:left w:val="single" w:sz="4" w:space="0" w:color="auto"/>
              <w:bottom w:val="nil"/>
              <w:right w:val="single" w:sz="4" w:space="0" w:color="auto"/>
            </w:tcBorders>
            <w:shd w:val="clear" w:color="auto" w:fill="auto"/>
            <w:vAlign w:val="center"/>
          </w:tcPr>
          <w:p w:rsidR="007E403F" w:rsidRPr="007E403F" w:rsidRDefault="007E403F" w:rsidP="00F84C93">
            <w:pPr>
              <w:keepNext/>
              <w:widowControl w:val="0"/>
              <w:jc w:val="center"/>
              <w:rPr>
                <w:rFonts w:ascii="Arial Narrow" w:hAnsi="Arial Narrow"/>
                <w:snapToGrid w:val="0"/>
                <w:sz w:val="20"/>
                <w:szCs w:val="20"/>
                <w:lang w:eastAsia="en-US"/>
              </w:rPr>
            </w:pPr>
            <w:r w:rsidRPr="007E403F">
              <w:rPr>
                <w:rFonts w:ascii="Arial Narrow" w:hAnsi="Arial Narrow"/>
                <w:snapToGrid w:val="0"/>
                <w:sz w:val="20"/>
                <w:szCs w:val="20"/>
                <w:lang w:eastAsia="en-US"/>
              </w:rPr>
              <w:t>86/221 (38.9)</w:t>
            </w:r>
          </w:p>
        </w:tc>
        <w:tc>
          <w:tcPr>
            <w:tcW w:w="1534" w:type="dxa"/>
            <w:tcBorders>
              <w:top w:val="nil"/>
              <w:bottom w:val="nil"/>
            </w:tcBorders>
            <w:shd w:val="clear" w:color="auto" w:fill="auto"/>
            <w:vAlign w:val="center"/>
          </w:tcPr>
          <w:p w:rsidR="007E403F" w:rsidRPr="007E403F" w:rsidRDefault="007E403F" w:rsidP="00F84C93">
            <w:pPr>
              <w:keepNext/>
              <w:widowControl w:val="0"/>
              <w:jc w:val="center"/>
              <w:rPr>
                <w:rFonts w:ascii="Arial Narrow" w:hAnsi="Arial Narrow"/>
                <w:bCs/>
                <w:snapToGrid w:val="0"/>
                <w:color w:val="000000"/>
                <w:sz w:val="20"/>
                <w:szCs w:val="20"/>
                <w:lang w:eastAsia="en-US"/>
              </w:rPr>
            </w:pPr>
            <w:r w:rsidRPr="007E403F">
              <w:rPr>
                <w:rFonts w:ascii="Arial Narrow" w:hAnsi="Arial Narrow"/>
                <w:b/>
                <w:bCs/>
                <w:snapToGrid w:val="0"/>
                <w:color w:val="000000"/>
                <w:sz w:val="20"/>
                <w:szCs w:val="20"/>
                <w:lang w:eastAsia="en-US"/>
              </w:rPr>
              <w:t>-18.3 (-26.7, -9.7)</w:t>
            </w:r>
            <w:r w:rsidRPr="007E403F">
              <w:rPr>
                <w:rFonts w:ascii="Arial Narrow" w:hAnsi="Arial Narrow"/>
                <w:b/>
                <w:bCs/>
                <w:snapToGrid w:val="0"/>
                <w:color w:val="000000"/>
                <w:sz w:val="20"/>
                <w:szCs w:val="20"/>
                <w:vertAlign w:val="superscript"/>
                <w:lang w:eastAsia="en-US"/>
              </w:rPr>
              <w:t>d</w:t>
            </w:r>
          </w:p>
        </w:tc>
        <w:tc>
          <w:tcPr>
            <w:tcW w:w="1534" w:type="dxa"/>
            <w:tcBorders>
              <w:top w:val="nil"/>
              <w:bottom w:val="nil"/>
            </w:tcBorders>
            <w:shd w:val="clear" w:color="auto" w:fill="auto"/>
            <w:vAlign w:val="center"/>
          </w:tcPr>
          <w:p w:rsidR="007E403F" w:rsidRPr="00142AA9" w:rsidRDefault="007E403F" w:rsidP="00F84C93">
            <w:pPr>
              <w:keepNext/>
              <w:widowControl w:val="0"/>
              <w:jc w:val="center"/>
              <w:rPr>
                <w:rFonts w:ascii="Arial Narrow" w:hAnsi="Arial Narrow"/>
                <w:bCs/>
                <w:snapToGrid w:val="0"/>
                <w:sz w:val="20"/>
                <w:szCs w:val="20"/>
                <w:lang w:eastAsia="en-US"/>
              </w:rPr>
            </w:pPr>
            <w:r w:rsidRPr="00142AA9">
              <w:rPr>
                <w:rFonts w:ascii="Arial Narrow" w:hAnsi="Arial Narrow"/>
                <w:b/>
                <w:iCs/>
                <w:snapToGrid w:val="0"/>
                <w:sz w:val="20"/>
                <w:szCs w:val="20"/>
                <w:lang w:eastAsia="en-US"/>
              </w:rPr>
              <w:t>0.51 (0.37, 0.70</w:t>
            </w:r>
            <w:r w:rsidRPr="00142AA9">
              <w:rPr>
                <w:rFonts w:ascii="Arial Narrow" w:hAnsi="Arial Narrow"/>
                <w:b/>
                <w:snapToGrid w:val="0"/>
                <w:sz w:val="20"/>
                <w:szCs w:val="20"/>
                <w:lang w:eastAsia="en-US"/>
              </w:rPr>
              <w:t>)</w:t>
            </w:r>
            <w:r w:rsidR="00142AA9" w:rsidRPr="00142AA9">
              <w:rPr>
                <w:rFonts w:ascii="Arial Narrow" w:hAnsi="Arial Narrow"/>
                <w:b/>
                <w:snapToGrid w:val="0"/>
                <w:sz w:val="20"/>
                <w:szCs w:val="20"/>
                <w:lang w:eastAsia="en-US"/>
              </w:rPr>
              <w:t>**</w:t>
            </w:r>
          </w:p>
        </w:tc>
      </w:tr>
      <w:tr w:rsidR="007E403F" w:rsidRPr="007E403F" w:rsidTr="00DD33B9">
        <w:tc>
          <w:tcPr>
            <w:tcW w:w="3098" w:type="dxa"/>
            <w:tcBorders>
              <w:top w:val="nil"/>
            </w:tcBorders>
            <w:shd w:val="clear" w:color="auto" w:fill="auto"/>
          </w:tcPr>
          <w:p w:rsidR="007E403F" w:rsidRPr="007E403F" w:rsidRDefault="007E403F" w:rsidP="000735EA">
            <w:pPr>
              <w:keepNext/>
              <w:widowControl w:val="0"/>
              <w:numPr>
                <w:ilvl w:val="0"/>
                <w:numId w:val="8"/>
              </w:numPr>
              <w:ind w:left="255" w:hanging="181"/>
              <w:rPr>
                <w:rFonts w:ascii="Arial Narrow" w:hAnsi="Arial Narrow"/>
                <w:snapToGrid w:val="0"/>
                <w:sz w:val="20"/>
                <w:szCs w:val="20"/>
                <w:lang w:eastAsia="en-US"/>
              </w:rPr>
            </w:pPr>
            <w:r w:rsidRPr="007E403F">
              <w:rPr>
                <w:rFonts w:ascii="Arial Narrow" w:hAnsi="Arial Narrow"/>
                <w:snapToGrid w:val="0"/>
                <w:sz w:val="20"/>
                <w:szCs w:val="20"/>
                <w:lang w:eastAsia="en-US"/>
              </w:rPr>
              <w:t>Complement (&amp; toxin B pos.)</w:t>
            </w:r>
          </w:p>
        </w:tc>
        <w:tc>
          <w:tcPr>
            <w:tcW w:w="1425" w:type="dxa"/>
            <w:tcBorders>
              <w:top w:val="nil"/>
            </w:tcBorders>
            <w:shd w:val="clear" w:color="auto" w:fill="auto"/>
            <w:vAlign w:val="center"/>
          </w:tcPr>
          <w:p w:rsidR="007E403F" w:rsidRPr="007E403F" w:rsidRDefault="007E403F" w:rsidP="00F84C93">
            <w:pPr>
              <w:keepNext/>
              <w:widowControl w:val="0"/>
              <w:jc w:val="center"/>
              <w:rPr>
                <w:rFonts w:ascii="Arial Narrow" w:hAnsi="Arial Narrow"/>
                <w:snapToGrid w:val="0"/>
                <w:sz w:val="20"/>
                <w:szCs w:val="20"/>
                <w:lang w:eastAsia="en-US"/>
              </w:rPr>
            </w:pPr>
            <w:r w:rsidRPr="007E403F">
              <w:rPr>
                <w:rFonts w:ascii="Arial Narrow" w:hAnsi="Arial Narrow"/>
                <w:snapToGrid w:val="0"/>
                <w:sz w:val="20"/>
                <w:szCs w:val="20"/>
                <w:lang w:eastAsia="en-US"/>
              </w:rPr>
              <w:t>14/105 (13.3)</w:t>
            </w:r>
          </w:p>
        </w:tc>
        <w:tc>
          <w:tcPr>
            <w:tcW w:w="1426" w:type="dxa"/>
            <w:tcBorders>
              <w:top w:val="nil"/>
            </w:tcBorders>
            <w:shd w:val="clear" w:color="auto" w:fill="auto"/>
            <w:vAlign w:val="center"/>
          </w:tcPr>
          <w:p w:rsidR="007E403F" w:rsidRPr="007E403F" w:rsidRDefault="007E403F" w:rsidP="00F84C93">
            <w:pPr>
              <w:keepNext/>
              <w:widowControl w:val="0"/>
              <w:jc w:val="center"/>
              <w:rPr>
                <w:rFonts w:ascii="Arial Narrow" w:hAnsi="Arial Narrow"/>
                <w:snapToGrid w:val="0"/>
                <w:sz w:val="20"/>
                <w:szCs w:val="20"/>
                <w:lang w:eastAsia="en-US"/>
              </w:rPr>
            </w:pPr>
            <w:r w:rsidRPr="007E403F">
              <w:rPr>
                <w:rFonts w:ascii="Arial Narrow" w:hAnsi="Arial Narrow"/>
                <w:snapToGrid w:val="0"/>
                <w:sz w:val="20"/>
                <w:szCs w:val="20"/>
                <w:lang w:eastAsia="en-US"/>
              </w:rPr>
              <w:t>21/103 (20.4)</w:t>
            </w:r>
          </w:p>
        </w:tc>
        <w:tc>
          <w:tcPr>
            <w:tcW w:w="1534" w:type="dxa"/>
            <w:tcBorders>
              <w:top w:val="nil"/>
              <w:bottom w:val="nil"/>
            </w:tcBorders>
            <w:shd w:val="clear" w:color="auto" w:fill="auto"/>
            <w:vAlign w:val="center"/>
          </w:tcPr>
          <w:p w:rsidR="007E403F" w:rsidRPr="007E403F" w:rsidRDefault="007E403F" w:rsidP="00F84C93">
            <w:pPr>
              <w:keepNext/>
              <w:widowControl w:val="0"/>
              <w:jc w:val="center"/>
              <w:rPr>
                <w:rFonts w:ascii="Arial Narrow" w:hAnsi="Arial Narrow"/>
                <w:snapToGrid w:val="0"/>
                <w:color w:val="000000"/>
                <w:sz w:val="20"/>
                <w:szCs w:val="20"/>
                <w:lang w:eastAsia="en-US"/>
              </w:rPr>
            </w:pPr>
            <w:r w:rsidRPr="007E403F">
              <w:rPr>
                <w:rFonts w:ascii="Arial Narrow" w:hAnsi="Arial Narrow"/>
                <w:snapToGrid w:val="0"/>
                <w:color w:val="000000"/>
                <w:sz w:val="20"/>
                <w:szCs w:val="20"/>
                <w:lang w:eastAsia="en-US"/>
              </w:rPr>
              <w:t>-6.3 (-17.1, 4.3)</w:t>
            </w:r>
            <w:r w:rsidRPr="007E403F">
              <w:rPr>
                <w:rFonts w:ascii="Arial Narrow" w:hAnsi="Arial Narrow"/>
                <w:snapToGrid w:val="0"/>
                <w:color w:val="000000"/>
                <w:sz w:val="20"/>
                <w:szCs w:val="20"/>
                <w:vertAlign w:val="superscript"/>
                <w:lang w:eastAsia="en-US"/>
              </w:rPr>
              <w:t>d</w:t>
            </w:r>
          </w:p>
        </w:tc>
        <w:tc>
          <w:tcPr>
            <w:tcW w:w="1534" w:type="dxa"/>
            <w:tcBorders>
              <w:top w:val="nil"/>
              <w:bottom w:val="nil"/>
            </w:tcBorders>
            <w:shd w:val="clear" w:color="auto" w:fill="auto"/>
            <w:vAlign w:val="center"/>
          </w:tcPr>
          <w:p w:rsidR="007E403F" w:rsidRPr="00142AA9" w:rsidRDefault="007E403F" w:rsidP="00F84C93">
            <w:pPr>
              <w:keepNext/>
              <w:widowControl w:val="0"/>
              <w:jc w:val="center"/>
              <w:rPr>
                <w:rFonts w:ascii="Arial Narrow" w:hAnsi="Arial Narrow"/>
                <w:snapToGrid w:val="0"/>
                <w:sz w:val="20"/>
                <w:szCs w:val="20"/>
                <w:lang w:eastAsia="en-US"/>
              </w:rPr>
            </w:pPr>
            <w:r w:rsidRPr="00142AA9">
              <w:rPr>
                <w:rFonts w:ascii="Arial Narrow" w:hAnsi="Arial Narrow"/>
                <w:iCs/>
                <w:snapToGrid w:val="0"/>
                <w:sz w:val="20"/>
                <w:szCs w:val="20"/>
                <w:lang w:eastAsia="en-US"/>
              </w:rPr>
              <w:t>0.65 (0.35, 1.21</w:t>
            </w:r>
            <w:r w:rsidRPr="00142AA9">
              <w:rPr>
                <w:rFonts w:ascii="Arial Narrow" w:hAnsi="Arial Narrow"/>
                <w:snapToGrid w:val="0"/>
                <w:sz w:val="20"/>
                <w:szCs w:val="20"/>
                <w:lang w:eastAsia="en-US"/>
              </w:rPr>
              <w:t>)</w:t>
            </w:r>
            <w:r w:rsidR="00142AA9" w:rsidRPr="00142AA9">
              <w:rPr>
                <w:rFonts w:ascii="Arial Narrow" w:hAnsi="Arial Narrow"/>
                <w:snapToGrid w:val="0"/>
                <w:sz w:val="20"/>
                <w:szCs w:val="20"/>
                <w:lang w:eastAsia="en-US"/>
              </w:rPr>
              <w:t>**</w:t>
            </w:r>
          </w:p>
        </w:tc>
      </w:tr>
      <w:tr w:rsidR="007E403F" w:rsidRPr="007E403F" w:rsidTr="00DD33B9">
        <w:tc>
          <w:tcPr>
            <w:tcW w:w="9017" w:type="dxa"/>
            <w:gridSpan w:val="5"/>
            <w:tcBorders>
              <w:bottom w:val="single" w:sz="4" w:space="0" w:color="auto"/>
            </w:tcBorders>
            <w:shd w:val="clear" w:color="auto" w:fill="auto"/>
            <w:vAlign w:val="center"/>
          </w:tcPr>
          <w:p w:rsidR="007E403F" w:rsidRPr="00142AA9" w:rsidRDefault="007E403F" w:rsidP="00F84C93">
            <w:pPr>
              <w:keepNext/>
              <w:widowControl w:val="0"/>
              <w:rPr>
                <w:rFonts w:ascii="Arial Narrow" w:hAnsi="Arial Narrow"/>
                <w:b/>
                <w:bCs/>
                <w:snapToGrid w:val="0"/>
                <w:sz w:val="20"/>
                <w:szCs w:val="20"/>
                <w:lang w:eastAsia="en-US"/>
              </w:rPr>
            </w:pPr>
            <w:r w:rsidRPr="00142AA9">
              <w:rPr>
                <w:rFonts w:ascii="Arial Narrow" w:hAnsi="Arial Narrow"/>
                <w:b/>
                <w:bCs/>
                <w:snapToGrid w:val="0"/>
                <w:sz w:val="20"/>
                <w:szCs w:val="20"/>
                <w:lang w:eastAsia="en-US"/>
              </w:rPr>
              <w:t>Global cure at 12 weeks (clinical cure of initial episode and no CDI recurrence)</w:t>
            </w:r>
          </w:p>
        </w:tc>
      </w:tr>
      <w:tr w:rsidR="007E403F" w:rsidRPr="007E403F" w:rsidTr="00DD33B9">
        <w:tc>
          <w:tcPr>
            <w:tcW w:w="3098" w:type="dxa"/>
            <w:tcBorders>
              <w:bottom w:val="nil"/>
            </w:tcBorders>
            <w:shd w:val="clear" w:color="auto" w:fill="B8CCE4" w:themeFill="accent1" w:themeFillTint="66"/>
          </w:tcPr>
          <w:p w:rsidR="007E403F" w:rsidRPr="0029612F" w:rsidRDefault="007E403F" w:rsidP="00F84C93">
            <w:pPr>
              <w:keepNext/>
              <w:widowControl w:val="0"/>
              <w:rPr>
                <w:rFonts w:ascii="Arial Narrow" w:hAnsi="Arial Narrow"/>
                <w:snapToGrid w:val="0"/>
                <w:sz w:val="20"/>
                <w:szCs w:val="20"/>
                <w:lang w:eastAsia="en-US"/>
              </w:rPr>
            </w:pPr>
            <w:r w:rsidRPr="0029612F">
              <w:rPr>
                <w:rFonts w:ascii="Arial Narrow" w:hAnsi="Arial Narrow"/>
                <w:b/>
                <w:snapToGrid w:val="0"/>
                <w:sz w:val="20"/>
                <w:szCs w:val="20"/>
                <w:lang w:eastAsia="en-US"/>
              </w:rPr>
              <w:t>November 2017 submission:</w:t>
            </w:r>
          </w:p>
        </w:tc>
        <w:tc>
          <w:tcPr>
            <w:tcW w:w="1425"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426"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snapToGrid w:val="0"/>
                <w:sz w:val="20"/>
                <w:szCs w:val="20"/>
                <w:lang w:eastAsia="en-US"/>
              </w:rPr>
            </w:pPr>
          </w:p>
        </w:tc>
      </w:tr>
      <w:tr w:rsidR="007E403F" w:rsidRPr="007E403F" w:rsidTr="00DD33B9">
        <w:tc>
          <w:tcPr>
            <w:tcW w:w="3098" w:type="dxa"/>
            <w:tcBorders>
              <w:top w:val="nil"/>
              <w:bottom w:val="single" w:sz="4" w:space="0" w:color="auto"/>
            </w:tcBorders>
            <w:shd w:val="clear" w:color="auto" w:fill="B8CCE4" w:themeFill="accent1" w:themeFillTint="66"/>
          </w:tcPr>
          <w:p w:rsidR="007E403F" w:rsidRPr="0029612F" w:rsidRDefault="007E403F" w:rsidP="000735EA">
            <w:pPr>
              <w:keepNext/>
              <w:widowControl w:val="0"/>
              <w:numPr>
                <w:ilvl w:val="0"/>
                <w:numId w:val="8"/>
              </w:numPr>
              <w:ind w:left="255" w:hanging="181"/>
              <w:rPr>
                <w:rFonts w:ascii="Arial Narrow" w:hAnsi="Arial Narrow"/>
                <w:b/>
                <w:snapToGrid w:val="0"/>
                <w:sz w:val="20"/>
                <w:szCs w:val="20"/>
                <w:lang w:eastAsia="en-US"/>
              </w:rPr>
            </w:pPr>
            <w:r w:rsidRPr="0029612F">
              <w:rPr>
                <w:rFonts w:ascii="Arial Narrow" w:hAnsi="Arial Narrow"/>
                <w:snapToGrid w:val="0"/>
                <w:sz w:val="20"/>
                <w:szCs w:val="20"/>
                <w:lang w:eastAsia="en-US"/>
              </w:rPr>
              <w:t>All patients</w:t>
            </w:r>
          </w:p>
        </w:tc>
        <w:tc>
          <w:tcPr>
            <w:tcW w:w="1425"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496/781 (63.5)</w:t>
            </w:r>
          </w:p>
        </w:tc>
        <w:tc>
          <w:tcPr>
            <w:tcW w:w="1426"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415/773 (53.7)</w:t>
            </w:r>
          </w:p>
        </w:tc>
        <w:tc>
          <w:tcPr>
            <w:tcW w:w="1534"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b/>
                <w:bCs/>
                <w:snapToGrid w:val="0"/>
                <w:sz w:val="20"/>
                <w:szCs w:val="20"/>
                <w:lang w:eastAsia="en-US"/>
              </w:rPr>
            </w:pPr>
            <w:r w:rsidRPr="0029612F">
              <w:rPr>
                <w:rFonts w:ascii="Arial Narrow" w:hAnsi="Arial Narrow"/>
                <w:b/>
                <w:bCs/>
                <w:snapToGrid w:val="0"/>
                <w:sz w:val="20"/>
                <w:szCs w:val="20"/>
                <w:lang w:eastAsia="en-US"/>
              </w:rPr>
              <w:t>9.7 (4.8, 14.5)^</w:t>
            </w:r>
          </w:p>
        </w:tc>
        <w:tc>
          <w:tcPr>
            <w:tcW w:w="1534" w:type="dxa"/>
            <w:tcBorders>
              <w:top w:val="nil"/>
              <w:bottom w:val="single" w:sz="4" w:space="0" w:color="auto"/>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b/>
                <w:bCs/>
                <w:snapToGrid w:val="0"/>
                <w:sz w:val="20"/>
                <w:szCs w:val="20"/>
                <w:lang w:eastAsia="en-US"/>
              </w:rPr>
            </w:pPr>
            <w:r w:rsidRPr="00142AA9">
              <w:rPr>
                <w:rFonts w:ascii="Arial Narrow" w:hAnsi="Arial Narrow"/>
                <w:b/>
                <w:bCs/>
                <w:snapToGrid w:val="0"/>
                <w:sz w:val="20"/>
                <w:szCs w:val="20"/>
                <w:lang w:eastAsia="en-US"/>
              </w:rPr>
              <w:t>1.18 (1.09, 1.29)</w:t>
            </w:r>
          </w:p>
        </w:tc>
      </w:tr>
      <w:tr w:rsidR="007E403F" w:rsidRPr="007E403F" w:rsidTr="00DD33B9">
        <w:tc>
          <w:tcPr>
            <w:tcW w:w="3098" w:type="dxa"/>
            <w:tcBorders>
              <w:bottom w:val="nil"/>
            </w:tcBorders>
            <w:shd w:val="clear" w:color="auto" w:fill="B8CCE4" w:themeFill="accent1" w:themeFillTint="66"/>
          </w:tcPr>
          <w:p w:rsidR="007E403F" w:rsidRPr="0029612F" w:rsidRDefault="007E403F" w:rsidP="00F84C93">
            <w:pPr>
              <w:keepNext/>
              <w:widowControl w:val="0"/>
              <w:rPr>
                <w:rFonts w:ascii="Arial Narrow" w:hAnsi="Arial Narrow"/>
                <w:snapToGrid w:val="0"/>
                <w:sz w:val="20"/>
                <w:szCs w:val="20"/>
                <w:lang w:eastAsia="en-US"/>
              </w:rPr>
            </w:pPr>
            <w:r w:rsidRPr="0029612F">
              <w:rPr>
                <w:rFonts w:ascii="Arial Narrow" w:hAnsi="Arial Narrow"/>
                <w:b/>
                <w:snapToGrid w:val="0"/>
                <w:sz w:val="20"/>
                <w:szCs w:val="20"/>
                <w:lang w:eastAsia="en-US"/>
              </w:rPr>
              <w:t xml:space="preserve">July 2018 resubmission: </w:t>
            </w:r>
          </w:p>
        </w:tc>
        <w:tc>
          <w:tcPr>
            <w:tcW w:w="1425" w:type="dxa"/>
            <w:tcBorders>
              <w:bottom w:val="nil"/>
            </w:tcBorders>
            <w:shd w:val="clear" w:color="auto" w:fill="B8CCE4" w:themeFill="accent1" w:themeFillTint="66"/>
          </w:tcPr>
          <w:p w:rsidR="007E403F" w:rsidRPr="0029612F" w:rsidRDefault="007E403F" w:rsidP="00F84C93">
            <w:pPr>
              <w:keepNext/>
              <w:widowControl w:val="0"/>
              <w:jc w:val="center"/>
              <w:rPr>
                <w:rFonts w:ascii="Arial Narrow" w:hAnsi="Arial Narrow"/>
                <w:snapToGrid w:val="0"/>
                <w:sz w:val="20"/>
                <w:szCs w:val="20"/>
                <w:lang w:eastAsia="en-US"/>
              </w:rPr>
            </w:pPr>
          </w:p>
        </w:tc>
        <w:tc>
          <w:tcPr>
            <w:tcW w:w="1426" w:type="dxa"/>
            <w:tcBorders>
              <w:bottom w:val="nil"/>
            </w:tcBorders>
            <w:shd w:val="clear" w:color="auto" w:fill="B8CCE4" w:themeFill="accent1" w:themeFillTint="66"/>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vAlign w:val="bottom"/>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tcPr>
          <w:p w:rsidR="007E403F" w:rsidRPr="00142AA9" w:rsidRDefault="007E403F" w:rsidP="00F84C93">
            <w:pPr>
              <w:keepNext/>
              <w:widowControl w:val="0"/>
              <w:jc w:val="center"/>
              <w:rPr>
                <w:rFonts w:ascii="Arial Narrow" w:hAnsi="Arial Narrow"/>
                <w:snapToGrid w:val="0"/>
                <w:sz w:val="20"/>
                <w:szCs w:val="20"/>
                <w:lang w:eastAsia="en-US"/>
              </w:rPr>
            </w:pPr>
          </w:p>
        </w:tc>
      </w:tr>
      <w:tr w:rsidR="007E403F" w:rsidRPr="007E403F" w:rsidTr="00DD33B9">
        <w:tc>
          <w:tcPr>
            <w:tcW w:w="3098" w:type="dxa"/>
            <w:tcBorders>
              <w:top w:val="nil"/>
              <w:bottom w:val="nil"/>
            </w:tcBorders>
            <w:shd w:val="clear" w:color="auto" w:fill="B8CCE4" w:themeFill="accent1" w:themeFillTint="66"/>
          </w:tcPr>
          <w:p w:rsidR="007E403F" w:rsidRPr="0029612F" w:rsidRDefault="007E403F" w:rsidP="000735EA">
            <w:pPr>
              <w:keepNext/>
              <w:widowControl w:val="0"/>
              <w:numPr>
                <w:ilvl w:val="0"/>
                <w:numId w:val="8"/>
              </w:numPr>
              <w:ind w:left="255" w:hanging="181"/>
              <w:rPr>
                <w:rFonts w:ascii="Arial Narrow" w:hAnsi="Arial Narrow"/>
                <w:b/>
                <w:snapToGrid w:val="0"/>
                <w:sz w:val="20"/>
                <w:szCs w:val="20"/>
                <w:lang w:eastAsia="en-US"/>
              </w:rPr>
            </w:pPr>
            <w:r w:rsidRPr="0029612F">
              <w:rPr>
                <w:rFonts w:ascii="Arial Narrow" w:hAnsi="Arial Narrow"/>
                <w:snapToGrid w:val="0"/>
                <w:sz w:val="20"/>
                <w:szCs w:val="20"/>
                <w:lang w:eastAsia="en-US"/>
              </w:rPr>
              <w:t>≥1 of 5 risk factors</w:t>
            </w:r>
            <w:r w:rsidRPr="0029612F">
              <w:rPr>
                <w:rFonts w:ascii="Arial Narrow" w:hAnsi="Arial Narrow"/>
                <w:snapToGrid w:val="0"/>
                <w:sz w:val="20"/>
                <w:szCs w:val="20"/>
                <w:vertAlign w:val="superscript"/>
                <w:lang w:eastAsia="en-US"/>
              </w:rPr>
              <w:t>b</w:t>
            </w:r>
          </w:p>
        </w:tc>
        <w:tc>
          <w:tcPr>
            <w:tcW w:w="1425" w:type="dxa"/>
            <w:tcBorders>
              <w:top w:val="nil"/>
              <w:bottom w:val="nil"/>
            </w:tcBorders>
            <w:shd w:val="clear" w:color="auto" w:fill="B8CCE4" w:themeFill="accent1" w:themeFillTint="66"/>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371/592 (62.7)</w:t>
            </w:r>
          </w:p>
        </w:tc>
        <w:tc>
          <w:tcPr>
            <w:tcW w:w="1426" w:type="dxa"/>
            <w:tcBorders>
              <w:top w:val="nil"/>
              <w:bottom w:val="nil"/>
            </w:tcBorders>
            <w:shd w:val="clear" w:color="auto" w:fill="B8CCE4" w:themeFill="accent1" w:themeFillTint="66"/>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294/583 (50.4)</w:t>
            </w:r>
          </w:p>
        </w:tc>
        <w:tc>
          <w:tcPr>
            <w:tcW w:w="1534" w:type="dxa"/>
            <w:tcBorders>
              <w:top w:val="nil"/>
              <w:bottom w:val="nil"/>
            </w:tcBorders>
            <w:shd w:val="clear" w:color="auto" w:fill="B8CCE4" w:themeFill="accent1" w:themeFillTint="66"/>
            <w:vAlign w:val="bottom"/>
          </w:tcPr>
          <w:p w:rsidR="007E403F" w:rsidRPr="0029612F" w:rsidRDefault="007E403F" w:rsidP="00F84C93">
            <w:pPr>
              <w:keepNext/>
              <w:widowControl w:val="0"/>
              <w:jc w:val="center"/>
              <w:rPr>
                <w:rFonts w:ascii="Arial Narrow" w:hAnsi="Arial Narrow"/>
                <w:b/>
                <w:bCs/>
                <w:snapToGrid w:val="0"/>
                <w:sz w:val="20"/>
                <w:szCs w:val="20"/>
                <w:lang w:eastAsia="en-US"/>
              </w:rPr>
            </w:pPr>
            <w:r w:rsidRPr="0029612F">
              <w:rPr>
                <w:rFonts w:ascii="Arial Narrow" w:hAnsi="Arial Narrow"/>
                <w:b/>
                <w:bCs/>
                <w:snapToGrid w:val="0"/>
                <w:sz w:val="20"/>
                <w:szCs w:val="20"/>
                <w:lang w:eastAsia="en-US"/>
              </w:rPr>
              <w:t>12.1 (6.4, 17.7)</w:t>
            </w:r>
          </w:p>
        </w:tc>
        <w:tc>
          <w:tcPr>
            <w:tcW w:w="1534" w:type="dxa"/>
            <w:tcBorders>
              <w:top w:val="nil"/>
              <w:bottom w:val="nil"/>
            </w:tcBorders>
            <w:shd w:val="clear" w:color="auto" w:fill="B8CCE4" w:themeFill="accent1" w:themeFillTint="66"/>
          </w:tcPr>
          <w:p w:rsidR="007E403F" w:rsidRPr="00142AA9" w:rsidRDefault="007E403F" w:rsidP="00F84C93">
            <w:pPr>
              <w:keepNext/>
              <w:widowControl w:val="0"/>
              <w:jc w:val="center"/>
              <w:rPr>
                <w:rFonts w:ascii="Arial Narrow" w:hAnsi="Arial Narrow"/>
                <w:b/>
                <w:bCs/>
                <w:snapToGrid w:val="0"/>
                <w:sz w:val="20"/>
                <w:szCs w:val="20"/>
                <w:lang w:eastAsia="en-US"/>
              </w:rPr>
            </w:pPr>
            <w:r w:rsidRPr="00142AA9">
              <w:rPr>
                <w:rFonts w:ascii="Arial Narrow" w:hAnsi="Arial Narrow"/>
                <w:b/>
                <w:bCs/>
                <w:snapToGrid w:val="0"/>
                <w:sz w:val="20"/>
                <w:szCs w:val="20"/>
                <w:lang w:eastAsia="en-US"/>
              </w:rPr>
              <w:t>1.24 (1.12, 1.37)</w:t>
            </w:r>
          </w:p>
        </w:tc>
      </w:tr>
      <w:tr w:rsidR="007E403F" w:rsidRPr="007E403F" w:rsidTr="00DD33B9">
        <w:tc>
          <w:tcPr>
            <w:tcW w:w="3098" w:type="dxa"/>
            <w:tcBorders>
              <w:top w:val="nil"/>
              <w:bottom w:val="single" w:sz="4" w:space="0" w:color="auto"/>
            </w:tcBorders>
            <w:shd w:val="clear" w:color="auto" w:fill="B8CCE4" w:themeFill="accent1" w:themeFillTint="66"/>
          </w:tcPr>
          <w:p w:rsidR="007E403F" w:rsidRPr="0029612F" w:rsidRDefault="007E403F" w:rsidP="000735EA">
            <w:pPr>
              <w:keepNext/>
              <w:widowControl w:val="0"/>
              <w:numPr>
                <w:ilvl w:val="0"/>
                <w:numId w:val="8"/>
              </w:numPr>
              <w:ind w:left="255" w:hanging="181"/>
              <w:rPr>
                <w:rFonts w:ascii="Arial Narrow" w:hAnsi="Arial Narrow"/>
                <w:snapToGrid w:val="0"/>
                <w:sz w:val="20"/>
                <w:szCs w:val="20"/>
                <w:lang w:eastAsia="en-US"/>
              </w:rPr>
            </w:pPr>
            <w:r w:rsidRPr="0029612F">
              <w:rPr>
                <w:rFonts w:ascii="Arial Narrow" w:hAnsi="Arial Narrow"/>
                <w:snapToGrid w:val="0"/>
                <w:sz w:val="20"/>
                <w:szCs w:val="20"/>
                <w:lang w:eastAsia="en-US"/>
              </w:rPr>
              <w:t>Complement</w:t>
            </w:r>
          </w:p>
        </w:tc>
        <w:tc>
          <w:tcPr>
            <w:tcW w:w="1425" w:type="dxa"/>
            <w:tcBorders>
              <w:top w:val="nil"/>
              <w:bottom w:val="single" w:sz="4" w:space="0" w:color="auto"/>
            </w:tcBorders>
            <w:shd w:val="clear" w:color="auto" w:fill="B8CCE4" w:themeFill="accent1" w:themeFillTint="66"/>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125/189 (66.1)</w:t>
            </w:r>
          </w:p>
        </w:tc>
        <w:tc>
          <w:tcPr>
            <w:tcW w:w="1426" w:type="dxa"/>
            <w:tcBorders>
              <w:top w:val="nil"/>
              <w:bottom w:val="single" w:sz="4" w:space="0" w:color="auto"/>
            </w:tcBorders>
            <w:shd w:val="clear" w:color="auto" w:fill="B8CCE4" w:themeFill="accent1" w:themeFillTint="66"/>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121/190 (63.7)</w:t>
            </w:r>
          </w:p>
        </w:tc>
        <w:tc>
          <w:tcPr>
            <w:tcW w:w="1534" w:type="dxa"/>
            <w:tcBorders>
              <w:top w:val="nil"/>
              <w:bottom w:val="single" w:sz="4" w:space="0" w:color="auto"/>
            </w:tcBorders>
            <w:shd w:val="clear" w:color="auto" w:fill="B8CCE4" w:themeFill="accent1" w:themeFillTint="66"/>
            <w:vAlign w:val="bottom"/>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2.8(-6.9, 17.7)</w:t>
            </w:r>
          </w:p>
        </w:tc>
        <w:tc>
          <w:tcPr>
            <w:tcW w:w="1534" w:type="dxa"/>
            <w:tcBorders>
              <w:top w:val="nil"/>
              <w:bottom w:val="single" w:sz="4" w:space="0" w:color="auto"/>
            </w:tcBorders>
            <w:shd w:val="clear" w:color="auto" w:fill="B8CCE4" w:themeFill="accent1" w:themeFillTint="66"/>
          </w:tcPr>
          <w:p w:rsidR="007E403F" w:rsidRPr="00142AA9" w:rsidRDefault="007E403F" w:rsidP="00F84C93">
            <w:pPr>
              <w:keepNext/>
              <w:widowControl w:val="0"/>
              <w:jc w:val="center"/>
              <w:rPr>
                <w:rFonts w:ascii="Arial Narrow" w:hAnsi="Arial Narrow"/>
                <w:snapToGrid w:val="0"/>
                <w:sz w:val="20"/>
                <w:szCs w:val="20"/>
                <w:lang w:eastAsia="en-US"/>
              </w:rPr>
            </w:pPr>
            <w:r w:rsidRPr="00142AA9">
              <w:rPr>
                <w:rFonts w:ascii="Arial Narrow" w:hAnsi="Arial Narrow"/>
                <w:snapToGrid w:val="0"/>
                <w:sz w:val="20"/>
                <w:szCs w:val="20"/>
                <w:lang w:eastAsia="en-US"/>
              </w:rPr>
              <w:t>1.04 (0.9, 1.21)</w:t>
            </w:r>
          </w:p>
        </w:tc>
      </w:tr>
      <w:tr w:rsidR="007E403F" w:rsidRPr="007E403F" w:rsidTr="00DD33B9">
        <w:tc>
          <w:tcPr>
            <w:tcW w:w="3098" w:type="dxa"/>
            <w:tcBorders>
              <w:bottom w:val="nil"/>
            </w:tcBorders>
            <w:shd w:val="clear" w:color="auto" w:fill="B8CCE4" w:themeFill="accent1" w:themeFillTint="66"/>
          </w:tcPr>
          <w:p w:rsidR="007E403F" w:rsidRPr="0029612F" w:rsidRDefault="007E403F" w:rsidP="00F84C93">
            <w:pPr>
              <w:keepNext/>
              <w:widowControl w:val="0"/>
              <w:rPr>
                <w:rFonts w:ascii="Arial Narrow" w:hAnsi="Arial Narrow"/>
                <w:snapToGrid w:val="0"/>
                <w:sz w:val="20"/>
                <w:szCs w:val="20"/>
                <w:lang w:eastAsia="en-US"/>
              </w:rPr>
            </w:pPr>
            <w:r w:rsidRPr="0029612F">
              <w:rPr>
                <w:rFonts w:ascii="Arial Narrow" w:hAnsi="Arial Narrow"/>
                <w:b/>
                <w:snapToGrid w:val="0"/>
                <w:sz w:val="20"/>
                <w:szCs w:val="20"/>
                <w:lang w:eastAsia="en-US"/>
              </w:rPr>
              <w:t>July 2019 resubmission:</w:t>
            </w:r>
          </w:p>
        </w:tc>
        <w:tc>
          <w:tcPr>
            <w:tcW w:w="1425"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426"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p>
        </w:tc>
        <w:tc>
          <w:tcPr>
            <w:tcW w:w="1534" w:type="dxa"/>
            <w:tcBorders>
              <w:bottom w:val="nil"/>
            </w:tcBorders>
            <w:shd w:val="clear" w:color="auto" w:fill="B8CCE4" w:themeFill="accent1" w:themeFillTint="66"/>
          </w:tcPr>
          <w:p w:rsidR="007E403F" w:rsidRPr="00142AA9" w:rsidRDefault="007E403F" w:rsidP="00F84C93">
            <w:pPr>
              <w:keepNext/>
              <w:widowControl w:val="0"/>
              <w:jc w:val="center"/>
              <w:rPr>
                <w:rFonts w:ascii="Arial Narrow" w:hAnsi="Arial Narrow"/>
                <w:snapToGrid w:val="0"/>
                <w:sz w:val="20"/>
                <w:szCs w:val="20"/>
                <w:lang w:eastAsia="en-US"/>
              </w:rPr>
            </w:pPr>
          </w:p>
        </w:tc>
      </w:tr>
      <w:tr w:rsidR="007E403F" w:rsidRPr="007E403F" w:rsidTr="00DD33B9">
        <w:tc>
          <w:tcPr>
            <w:tcW w:w="3098" w:type="dxa"/>
            <w:tcBorders>
              <w:top w:val="nil"/>
              <w:bottom w:val="nil"/>
            </w:tcBorders>
            <w:shd w:val="clear" w:color="auto" w:fill="B8CCE4" w:themeFill="accent1" w:themeFillTint="66"/>
          </w:tcPr>
          <w:p w:rsidR="007E403F" w:rsidRPr="0029612F" w:rsidRDefault="007E403F" w:rsidP="000735EA">
            <w:pPr>
              <w:keepNext/>
              <w:widowControl w:val="0"/>
              <w:numPr>
                <w:ilvl w:val="0"/>
                <w:numId w:val="8"/>
              </w:numPr>
              <w:ind w:left="255" w:hanging="181"/>
              <w:rPr>
                <w:rFonts w:ascii="Arial Narrow" w:hAnsi="Arial Narrow"/>
                <w:snapToGrid w:val="0"/>
                <w:sz w:val="20"/>
                <w:szCs w:val="20"/>
                <w:lang w:eastAsia="en-US"/>
              </w:rPr>
            </w:pPr>
            <w:r w:rsidRPr="0029612F">
              <w:rPr>
                <w:rFonts w:ascii="Arial Narrow" w:hAnsi="Arial Narrow"/>
                <w:snapToGrid w:val="0"/>
                <w:sz w:val="20"/>
                <w:szCs w:val="20"/>
                <w:lang w:eastAsia="en-US"/>
              </w:rPr>
              <w:t>≥2 of 4 risk factors</w:t>
            </w:r>
            <w:r w:rsidRPr="0029612F">
              <w:rPr>
                <w:rFonts w:ascii="Arial Narrow" w:hAnsi="Arial Narrow"/>
                <w:snapToGrid w:val="0"/>
                <w:sz w:val="20"/>
                <w:szCs w:val="20"/>
                <w:vertAlign w:val="superscript"/>
                <w:lang w:eastAsia="en-US"/>
              </w:rPr>
              <w:t>c</w:t>
            </w:r>
            <w:r w:rsidRPr="0029612F">
              <w:rPr>
                <w:rFonts w:ascii="Arial Narrow" w:hAnsi="Arial Narrow"/>
                <w:snapToGrid w:val="0"/>
                <w:sz w:val="20"/>
                <w:szCs w:val="20"/>
                <w:lang w:eastAsia="en-US"/>
              </w:rPr>
              <w:t xml:space="preserve"> (&amp; toxin B pos.)</w:t>
            </w:r>
          </w:p>
        </w:tc>
        <w:tc>
          <w:tcPr>
            <w:tcW w:w="1425"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89/146 (61.0)</w:t>
            </w:r>
          </w:p>
        </w:tc>
        <w:tc>
          <w:tcPr>
            <w:tcW w:w="1426"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71/150 (47.3)</w:t>
            </w:r>
          </w:p>
        </w:tc>
        <w:tc>
          <w:tcPr>
            <w:tcW w:w="1534" w:type="dxa"/>
            <w:tcBorders>
              <w:top w:val="nil"/>
              <w:bottom w:val="nil"/>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b/>
                <w:bCs/>
                <w:snapToGrid w:val="0"/>
                <w:sz w:val="20"/>
                <w:szCs w:val="20"/>
                <w:lang w:eastAsia="en-US"/>
              </w:rPr>
            </w:pPr>
            <w:r w:rsidRPr="0029612F">
              <w:rPr>
                <w:rFonts w:ascii="Arial Narrow" w:hAnsi="Arial Narrow"/>
                <w:b/>
                <w:bCs/>
                <w:snapToGrid w:val="0"/>
                <w:sz w:val="20"/>
                <w:szCs w:val="20"/>
                <w:lang w:eastAsia="en-US"/>
              </w:rPr>
              <w:t>12.6 (1.1, 23.9)</w:t>
            </w:r>
            <w:r w:rsidRPr="0029612F">
              <w:rPr>
                <w:rFonts w:ascii="Arial Narrow" w:hAnsi="Arial Narrow"/>
                <w:b/>
                <w:bCs/>
                <w:snapToGrid w:val="0"/>
                <w:sz w:val="20"/>
                <w:szCs w:val="20"/>
                <w:vertAlign w:val="superscript"/>
                <w:lang w:eastAsia="en-US"/>
              </w:rPr>
              <w:t>d</w:t>
            </w:r>
          </w:p>
        </w:tc>
        <w:tc>
          <w:tcPr>
            <w:tcW w:w="1534" w:type="dxa"/>
            <w:tcBorders>
              <w:top w:val="nil"/>
              <w:bottom w:val="nil"/>
            </w:tcBorders>
            <w:shd w:val="clear" w:color="auto" w:fill="B8CCE4" w:themeFill="accent1" w:themeFillTint="66"/>
          </w:tcPr>
          <w:p w:rsidR="007E403F" w:rsidRPr="00142AA9" w:rsidRDefault="007E403F" w:rsidP="00F84C93">
            <w:pPr>
              <w:keepNext/>
              <w:widowControl w:val="0"/>
              <w:jc w:val="center"/>
              <w:rPr>
                <w:rFonts w:ascii="Arial Narrow" w:hAnsi="Arial Narrow"/>
                <w:b/>
                <w:bCs/>
                <w:snapToGrid w:val="0"/>
                <w:sz w:val="20"/>
                <w:szCs w:val="20"/>
                <w:lang w:eastAsia="en-US"/>
              </w:rPr>
            </w:pPr>
            <w:r w:rsidRPr="00142AA9">
              <w:rPr>
                <w:rFonts w:ascii="Arial Narrow" w:hAnsi="Arial Narrow"/>
                <w:b/>
                <w:bCs/>
                <w:iCs/>
                <w:snapToGrid w:val="0"/>
                <w:sz w:val="20"/>
                <w:szCs w:val="20"/>
                <w:lang w:eastAsia="en-US"/>
              </w:rPr>
              <w:t>1.29 (1.04, 1.59</w:t>
            </w:r>
            <w:r w:rsidRPr="00142AA9">
              <w:rPr>
                <w:rFonts w:ascii="Arial Narrow" w:hAnsi="Arial Narrow"/>
                <w:b/>
                <w:bCs/>
                <w:snapToGrid w:val="0"/>
                <w:sz w:val="20"/>
                <w:szCs w:val="20"/>
                <w:lang w:eastAsia="en-US"/>
              </w:rPr>
              <w:t>)</w:t>
            </w:r>
            <w:r w:rsidR="00142AA9" w:rsidRPr="00142AA9">
              <w:rPr>
                <w:rFonts w:ascii="Arial Narrow" w:hAnsi="Arial Narrow"/>
                <w:b/>
                <w:bCs/>
                <w:snapToGrid w:val="0"/>
                <w:sz w:val="20"/>
                <w:szCs w:val="20"/>
                <w:lang w:eastAsia="en-US"/>
              </w:rPr>
              <w:t>**</w:t>
            </w:r>
          </w:p>
        </w:tc>
      </w:tr>
      <w:tr w:rsidR="007E403F" w:rsidRPr="007E403F" w:rsidTr="00DD33B9">
        <w:tc>
          <w:tcPr>
            <w:tcW w:w="3098" w:type="dxa"/>
            <w:tcBorders>
              <w:top w:val="nil"/>
              <w:bottom w:val="single" w:sz="4" w:space="0" w:color="auto"/>
            </w:tcBorders>
            <w:shd w:val="clear" w:color="auto" w:fill="B8CCE4" w:themeFill="accent1" w:themeFillTint="66"/>
          </w:tcPr>
          <w:p w:rsidR="007E403F" w:rsidRPr="0029612F" w:rsidRDefault="007E403F" w:rsidP="000735EA">
            <w:pPr>
              <w:keepNext/>
              <w:widowControl w:val="0"/>
              <w:numPr>
                <w:ilvl w:val="0"/>
                <w:numId w:val="8"/>
              </w:numPr>
              <w:ind w:left="255" w:hanging="181"/>
              <w:rPr>
                <w:rFonts w:ascii="Arial Narrow" w:hAnsi="Arial Narrow"/>
                <w:snapToGrid w:val="0"/>
                <w:sz w:val="20"/>
                <w:szCs w:val="20"/>
                <w:lang w:eastAsia="en-US"/>
              </w:rPr>
            </w:pPr>
            <w:r w:rsidRPr="0029612F">
              <w:rPr>
                <w:rFonts w:ascii="Arial Narrow" w:hAnsi="Arial Narrow"/>
                <w:snapToGrid w:val="0"/>
                <w:sz w:val="20"/>
                <w:szCs w:val="20"/>
                <w:lang w:eastAsia="en-US"/>
              </w:rPr>
              <w:t>Complement (&amp; toxin B pos.)</w:t>
            </w:r>
          </w:p>
        </w:tc>
        <w:tc>
          <w:tcPr>
            <w:tcW w:w="1425"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168/236 (71.2)</w:t>
            </w:r>
          </w:p>
        </w:tc>
        <w:tc>
          <w:tcPr>
            <w:tcW w:w="1426"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snapToGrid w:val="0"/>
                <w:sz w:val="20"/>
                <w:szCs w:val="20"/>
                <w:lang w:eastAsia="en-US"/>
              </w:rPr>
            </w:pPr>
            <w:r w:rsidRPr="0029612F">
              <w:rPr>
                <w:rFonts w:ascii="Arial Narrow" w:hAnsi="Arial Narrow"/>
                <w:snapToGrid w:val="0"/>
                <w:sz w:val="20"/>
                <w:szCs w:val="20"/>
                <w:lang w:eastAsia="en-US"/>
              </w:rPr>
              <w:t>146/241 (60.6)</w:t>
            </w:r>
          </w:p>
        </w:tc>
        <w:tc>
          <w:tcPr>
            <w:tcW w:w="1534" w:type="dxa"/>
            <w:tcBorders>
              <w:top w:val="nil"/>
              <w:bottom w:val="single" w:sz="4" w:space="0" w:color="auto"/>
            </w:tcBorders>
            <w:shd w:val="clear" w:color="auto" w:fill="B8CCE4" w:themeFill="accent1" w:themeFillTint="66"/>
            <w:vAlign w:val="center"/>
          </w:tcPr>
          <w:p w:rsidR="007E403F" w:rsidRPr="0029612F" w:rsidRDefault="007E403F" w:rsidP="00F84C93">
            <w:pPr>
              <w:keepNext/>
              <w:widowControl w:val="0"/>
              <w:jc w:val="center"/>
              <w:rPr>
                <w:rFonts w:ascii="Arial Narrow" w:hAnsi="Arial Narrow"/>
                <w:b/>
                <w:bCs/>
                <w:snapToGrid w:val="0"/>
                <w:sz w:val="20"/>
                <w:szCs w:val="20"/>
                <w:lang w:eastAsia="en-US"/>
              </w:rPr>
            </w:pPr>
            <w:r w:rsidRPr="0029612F">
              <w:rPr>
                <w:rFonts w:ascii="Arial Narrow" w:hAnsi="Arial Narrow"/>
                <w:b/>
                <w:bCs/>
                <w:snapToGrid w:val="0"/>
                <w:sz w:val="20"/>
                <w:szCs w:val="20"/>
                <w:lang w:eastAsia="en-US"/>
              </w:rPr>
              <w:t>10.5 (1.9, 18.8)</w:t>
            </w:r>
          </w:p>
        </w:tc>
        <w:tc>
          <w:tcPr>
            <w:tcW w:w="1534" w:type="dxa"/>
            <w:tcBorders>
              <w:top w:val="nil"/>
              <w:bottom w:val="single" w:sz="4" w:space="0" w:color="auto"/>
            </w:tcBorders>
            <w:shd w:val="clear" w:color="auto" w:fill="B8CCE4" w:themeFill="accent1" w:themeFillTint="66"/>
            <w:vAlign w:val="center"/>
          </w:tcPr>
          <w:p w:rsidR="007E403F" w:rsidRPr="00142AA9" w:rsidRDefault="007E403F" w:rsidP="00F84C93">
            <w:pPr>
              <w:keepNext/>
              <w:widowControl w:val="0"/>
              <w:jc w:val="center"/>
              <w:rPr>
                <w:rFonts w:ascii="Arial Narrow" w:hAnsi="Arial Narrow"/>
                <w:b/>
                <w:bCs/>
                <w:snapToGrid w:val="0"/>
                <w:sz w:val="20"/>
                <w:szCs w:val="20"/>
                <w:lang w:eastAsia="en-US"/>
              </w:rPr>
            </w:pPr>
            <w:r w:rsidRPr="00142AA9">
              <w:rPr>
                <w:rFonts w:ascii="Arial Narrow" w:hAnsi="Arial Narrow"/>
                <w:b/>
                <w:bCs/>
                <w:snapToGrid w:val="0"/>
                <w:sz w:val="20"/>
                <w:szCs w:val="20"/>
                <w:lang w:eastAsia="en-US"/>
              </w:rPr>
              <w:t>1.18 (1.03, 1.34)</w:t>
            </w:r>
          </w:p>
        </w:tc>
      </w:tr>
      <w:tr w:rsidR="007E403F" w:rsidRPr="007E403F" w:rsidTr="00DD33B9">
        <w:tc>
          <w:tcPr>
            <w:tcW w:w="3098" w:type="dxa"/>
            <w:tcBorders>
              <w:top w:val="single" w:sz="4" w:space="0" w:color="auto"/>
              <w:bottom w:val="nil"/>
            </w:tcBorders>
            <w:shd w:val="clear" w:color="auto" w:fill="auto"/>
          </w:tcPr>
          <w:p w:rsidR="007E403F" w:rsidRPr="007E403F" w:rsidRDefault="007E403F" w:rsidP="00F84C93">
            <w:pPr>
              <w:keepNext/>
              <w:widowControl w:val="0"/>
              <w:rPr>
                <w:rFonts w:ascii="Arial Narrow" w:hAnsi="Arial Narrow"/>
                <w:snapToGrid w:val="0"/>
                <w:sz w:val="20"/>
                <w:szCs w:val="20"/>
                <w:lang w:eastAsia="en-US"/>
              </w:rPr>
            </w:pPr>
            <w:r w:rsidRPr="007E403F">
              <w:rPr>
                <w:rFonts w:ascii="Arial Narrow" w:hAnsi="Arial Narrow"/>
                <w:b/>
                <w:bCs/>
                <w:snapToGrid w:val="0"/>
                <w:sz w:val="20"/>
                <w:szCs w:val="20"/>
                <w:lang w:eastAsia="en-US"/>
              </w:rPr>
              <w:t>March 2020 resubmission:</w:t>
            </w:r>
          </w:p>
        </w:tc>
        <w:tc>
          <w:tcPr>
            <w:tcW w:w="1425" w:type="dxa"/>
            <w:tcBorders>
              <w:top w:val="single" w:sz="4" w:space="0" w:color="auto"/>
              <w:bottom w:val="nil"/>
            </w:tcBorders>
            <w:shd w:val="clear" w:color="auto" w:fill="auto"/>
            <w:vAlign w:val="center"/>
          </w:tcPr>
          <w:p w:rsidR="007E403F" w:rsidRPr="007E403F" w:rsidRDefault="007E403F" w:rsidP="00F84C93">
            <w:pPr>
              <w:keepNext/>
              <w:widowControl w:val="0"/>
              <w:jc w:val="center"/>
              <w:rPr>
                <w:rFonts w:ascii="Arial Narrow" w:hAnsi="Arial Narrow"/>
                <w:snapToGrid w:val="0"/>
                <w:sz w:val="20"/>
                <w:szCs w:val="20"/>
                <w:lang w:eastAsia="en-US"/>
              </w:rPr>
            </w:pPr>
          </w:p>
        </w:tc>
        <w:tc>
          <w:tcPr>
            <w:tcW w:w="1426" w:type="dxa"/>
            <w:tcBorders>
              <w:top w:val="single" w:sz="4" w:space="0" w:color="auto"/>
              <w:bottom w:val="nil"/>
            </w:tcBorders>
            <w:shd w:val="clear" w:color="auto" w:fill="auto"/>
            <w:vAlign w:val="center"/>
          </w:tcPr>
          <w:p w:rsidR="007E403F" w:rsidRPr="007E403F" w:rsidRDefault="007E403F" w:rsidP="00F84C93">
            <w:pPr>
              <w:keepNext/>
              <w:widowControl w:val="0"/>
              <w:jc w:val="center"/>
              <w:rPr>
                <w:rFonts w:ascii="Arial Narrow" w:hAnsi="Arial Narrow"/>
                <w:snapToGrid w:val="0"/>
                <w:sz w:val="20"/>
                <w:szCs w:val="20"/>
                <w:lang w:eastAsia="en-US"/>
              </w:rPr>
            </w:pPr>
          </w:p>
        </w:tc>
        <w:tc>
          <w:tcPr>
            <w:tcW w:w="1534" w:type="dxa"/>
            <w:tcBorders>
              <w:top w:val="single" w:sz="4" w:space="0" w:color="auto"/>
              <w:bottom w:val="nil"/>
            </w:tcBorders>
            <w:shd w:val="clear" w:color="auto" w:fill="auto"/>
            <w:vAlign w:val="center"/>
          </w:tcPr>
          <w:p w:rsidR="007E403F" w:rsidRPr="007E403F" w:rsidRDefault="007E403F" w:rsidP="00F84C93">
            <w:pPr>
              <w:keepNext/>
              <w:widowControl w:val="0"/>
              <w:jc w:val="center"/>
              <w:rPr>
                <w:rFonts w:ascii="Arial Narrow" w:hAnsi="Arial Narrow"/>
                <w:bCs/>
                <w:snapToGrid w:val="0"/>
                <w:color w:val="000000"/>
                <w:sz w:val="20"/>
                <w:szCs w:val="20"/>
                <w:lang w:eastAsia="en-US"/>
              </w:rPr>
            </w:pPr>
          </w:p>
        </w:tc>
        <w:tc>
          <w:tcPr>
            <w:tcW w:w="1534" w:type="dxa"/>
            <w:tcBorders>
              <w:top w:val="single" w:sz="4" w:space="0" w:color="auto"/>
              <w:bottom w:val="nil"/>
            </w:tcBorders>
            <w:shd w:val="clear" w:color="auto" w:fill="auto"/>
            <w:vAlign w:val="center"/>
          </w:tcPr>
          <w:p w:rsidR="007E403F" w:rsidRPr="00142AA9" w:rsidRDefault="007E403F" w:rsidP="00F84C93">
            <w:pPr>
              <w:keepNext/>
              <w:widowControl w:val="0"/>
              <w:jc w:val="center"/>
              <w:rPr>
                <w:rFonts w:ascii="Arial Narrow" w:hAnsi="Arial Narrow"/>
                <w:bCs/>
                <w:snapToGrid w:val="0"/>
                <w:sz w:val="20"/>
                <w:szCs w:val="20"/>
                <w:lang w:eastAsia="en-US"/>
              </w:rPr>
            </w:pPr>
          </w:p>
        </w:tc>
      </w:tr>
      <w:tr w:rsidR="007E403F" w:rsidRPr="007E403F" w:rsidTr="00DD33B9">
        <w:tc>
          <w:tcPr>
            <w:tcW w:w="3098" w:type="dxa"/>
            <w:tcBorders>
              <w:top w:val="nil"/>
              <w:left w:val="single" w:sz="4" w:space="0" w:color="auto"/>
              <w:bottom w:val="nil"/>
              <w:right w:val="single" w:sz="4" w:space="0" w:color="auto"/>
            </w:tcBorders>
            <w:shd w:val="clear" w:color="auto" w:fill="auto"/>
          </w:tcPr>
          <w:p w:rsidR="007E403F" w:rsidRPr="007E403F" w:rsidRDefault="007E403F" w:rsidP="000735EA">
            <w:pPr>
              <w:widowControl w:val="0"/>
              <w:numPr>
                <w:ilvl w:val="0"/>
                <w:numId w:val="8"/>
              </w:numPr>
              <w:ind w:left="255" w:hanging="181"/>
              <w:rPr>
                <w:rFonts w:ascii="Arial Narrow" w:hAnsi="Arial Narrow"/>
                <w:snapToGrid w:val="0"/>
                <w:sz w:val="20"/>
                <w:szCs w:val="20"/>
                <w:lang w:eastAsia="en-US"/>
              </w:rPr>
            </w:pPr>
            <w:r w:rsidRPr="007E403F">
              <w:rPr>
                <w:rFonts w:ascii="Arial Narrow" w:hAnsi="Arial Narrow"/>
                <w:snapToGrid w:val="0"/>
                <w:sz w:val="20"/>
                <w:szCs w:val="20"/>
                <w:lang w:eastAsia="en-US"/>
              </w:rPr>
              <w:t>≥1 of 2 risk factors</w:t>
            </w:r>
            <w:r w:rsidRPr="007E403F">
              <w:rPr>
                <w:rFonts w:ascii="Arial Narrow" w:hAnsi="Arial Narrow"/>
                <w:snapToGrid w:val="0"/>
                <w:sz w:val="20"/>
                <w:szCs w:val="20"/>
                <w:vertAlign w:val="superscript"/>
                <w:lang w:eastAsia="en-US"/>
              </w:rPr>
              <w:t>f</w:t>
            </w:r>
            <w:r w:rsidRPr="007E403F">
              <w:rPr>
                <w:rFonts w:ascii="Arial Narrow" w:hAnsi="Arial Narrow"/>
                <w:snapToGrid w:val="0"/>
                <w:sz w:val="20"/>
                <w:szCs w:val="20"/>
                <w:lang w:eastAsia="en-US"/>
              </w:rPr>
              <w:t xml:space="preserve"> (&amp; toxin B pos.)</w:t>
            </w:r>
          </w:p>
        </w:tc>
        <w:tc>
          <w:tcPr>
            <w:tcW w:w="1425" w:type="dxa"/>
            <w:tcBorders>
              <w:top w:val="nil"/>
              <w:left w:val="single" w:sz="4" w:space="0" w:color="auto"/>
              <w:bottom w:val="nil"/>
              <w:right w:val="single" w:sz="4" w:space="0" w:color="auto"/>
            </w:tcBorders>
            <w:shd w:val="clear" w:color="auto" w:fill="auto"/>
            <w:vAlign w:val="center"/>
          </w:tcPr>
          <w:p w:rsidR="007E403F" w:rsidRPr="007E403F" w:rsidRDefault="007E403F" w:rsidP="007E403F">
            <w:pPr>
              <w:widowControl w:val="0"/>
              <w:jc w:val="center"/>
              <w:rPr>
                <w:rFonts w:ascii="Arial Narrow" w:hAnsi="Arial Narrow"/>
                <w:snapToGrid w:val="0"/>
                <w:sz w:val="20"/>
                <w:szCs w:val="20"/>
                <w:lang w:eastAsia="en-US"/>
              </w:rPr>
            </w:pPr>
            <w:r w:rsidRPr="007E403F">
              <w:rPr>
                <w:rFonts w:ascii="Arial Narrow" w:hAnsi="Arial Narrow"/>
                <w:snapToGrid w:val="0"/>
                <w:sz w:val="20"/>
                <w:szCs w:val="20"/>
                <w:lang w:eastAsia="en-US"/>
              </w:rPr>
              <w:t>166/254 (65.4)</w:t>
            </w:r>
          </w:p>
        </w:tc>
        <w:tc>
          <w:tcPr>
            <w:tcW w:w="1426" w:type="dxa"/>
            <w:tcBorders>
              <w:top w:val="nil"/>
              <w:left w:val="single" w:sz="4" w:space="0" w:color="auto"/>
              <w:bottom w:val="nil"/>
              <w:right w:val="single" w:sz="4" w:space="0" w:color="auto"/>
            </w:tcBorders>
            <w:shd w:val="clear" w:color="auto" w:fill="auto"/>
            <w:vAlign w:val="center"/>
          </w:tcPr>
          <w:p w:rsidR="007E403F" w:rsidRPr="007E403F" w:rsidRDefault="007E403F" w:rsidP="007E403F">
            <w:pPr>
              <w:widowControl w:val="0"/>
              <w:jc w:val="center"/>
              <w:rPr>
                <w:rFonts w:ascii="Arial Narrow" w:hAnsi="Arial Narrow"/>
                <w:snapToGrid w:val="0"/>
                <w:sz w:val="20"/>
                <w:szCs w:val="20"/>
                <w:lang w:eastAsia="en-US"/>
              </w:rPr>
            </w:pPr>
            <w:r w:rsidRPr="007E403F">
              <w:rPr>
                <w:rFonts w:ascii="Arial Narrow" w:hAnsi="Arial Narrow"/>
                <w:snapToGrid w:val="0"/>
                <w:sz w:val="20"/>
                <w:szCs w:val="20"/>
                <w:lang w:eastAsia="en-US"/>
              </w:rPr>
              <w:t>135/266 (50.8)</w:t>
            </w:r>
          </w:p>
        </w:tc>
        <w:tc>
          <w:tcPr>
            <w:tcW w:w="1534" w:type="dxa"/>
            <w:tcBorders>
              <w:top w:val="nil"/>
              <w:bottom w:val="nil"/>
            </w:tcBorders>
            <w:shd w:val="clear" w:color="auto" w:fill="auto"/>
            <w:vAlign w:val="center"/>
          </w:tcPr>
          <w:p w:rsidR="007E403F" w:rsidRPr="007E403F" w:rsidRDefault="007E403F" w:rsidP="007E403F">
            <w:pPr>
              <w:widowControl w:val="0"/>
              <w:jc w:val="center"/>
              <w:rPr>
                <w:rFonts w:ascii="Arial Narrow" w:hAnsi="Arial Narrow"/>
                <w:bCs/>
                <w:snapToGrid w:val="0"/>
                <w:color w:val="000000"/>
                <w:sz w:val="20"/>
                <w:szCs w:val="20"/>
                <w:lang w:eastAsia="en-US"/>
              </w:rPr>
            </w:pPr>
            <w:r w:rsidRPr="007E403F">
              <w:rPr>
                <w:rFonts w:ascii="Arial Narrow" w:hAnsi="Arial Narrow"/>
                <w:b/>
                <w:bCs/>
                <w:snapToGrid w:val="0"/>
                <w:color w:val="000000"/>
                <w:sz w:val="20"/>
                <w:szCs w:val="20"/>
                <w:lang w:eastAsia="en-US"/>
              </w:rPr>
              <w:t>13.7 (5.2, 22.1)</w:t>
            </w:r>
            <w:r w:rsidRPr="007E403F">
              <w:rPr>
                <w:rFonts w:ascii="Arial Narrow" w:hAnsi="Arial Narrow"/>
                <w:b/>
                <w:bCs/>
                <w:snapToGrid w:val="0"/>
                <w:color w:val="000000"/>
                <w:sz w:val="20"/>
                <w:szCs w:val="20"/>
                <w:vertAlign w:val="superscript"/>
                <w:lang w:eastAsia="en-US"/>
              </w:rPr>
              <w:t>d</w:t>
            </w:r>
          </w:p>
        </w:tc>
        <w:tc>
          <w:tcPr>
            <w:tcW w:w="1534" w:type="dxa"/>
            <w:tcBorders>
              <w:top w:val="nil"/>
              <w:bottom w:val="nil"/>
            </w:tcBorders>
            <w:shd w:val="clear" w:color="auto" w:fill="auto"/>
            <w:vAlign w:val="center"/>
          </w:tcPr>
          <w:p w:rsidR="007E403F" w:rsidRPr="00142AA9" w:rsidRDefault="007E403F" w:rsidP="007E403F">
            <w:pPr>
              <w:widowControl w:val="0"/>
              <w:jc w:val="center"/>
              <w:rPr>
                <w:rFonts w:ascii="Arial Narrow" w:hAnsi="Arial Narrow"/>
                <w:bCs/>
                <w:snapToGrid w:val="0"/>
                <w:sz w:val="20"/>
                <w:szCs w:val="20"/>
                <w:lang w:eastAsia="en-US"/>
              </w:rPr>
            </w:pPr>
            <w:r w:rsidRPr="00142AA9">
              <w:rPr>
                <w:rFonts w:ascii="Arial Narrow" w:hAnsi="Arial Narrow"/>
                <w:b/>
                <w:iCs/>
                <w:snapToGrid w:val="0"/>
                <w:sz w:val="20"/>
                <w:szCs w:val="20"/>
                <w:lang w:eastAsia="en-US"/>
              </w:rPr>
              <w:t>1.29 (1.11, 1.49</w:t>
            </w:r>
            <w:r w:rsidRPr="00142AA9">
              <w:rPr>
                <w:rFonts w:ascii="Arial Narrow" w:hAnsi="Arial Narrow"/>
                <w:b/>
                <w:snapToGrid w:val="0"/>
                <w:sz w:val="20"/>
                <w:szCs w:val="20"/>
                <w:lang w:eastAsia="en-US"/>
              </w:rPr>
              <w:t>)</w:t>
            </w:r>
            <w:r w:rsidR="00142AA9" w:rsidRPr="00142AA9">
              <w:rPr>
                <w:rFonts w:ascii="Arial Narrow" w:hAnsi="Arial Narrow"/>
                <w:b/>
                <w:snapToGrid w:val="0"/>
                <w:sz w:val="20"/>
                <w:szCs w:val="20"/>
                <w:lang w:eastAsia="en-US"/>
              </w:rPr>
              <w:t>**</w:t>
            </w:r>
          </w:p>
        </w:tc>
      </w:tr>
      <w:tr w:rsidR="007E403F" w:rsidRPr="007E403F" w:rsidTr="00DD33B9">
        <w:tc>
          <w:tcPr>
            <w:tcW w:w="3098" w:type="dxa"/>
            <w:tcBorders>
              <w:top w:val="nil"/>
              <w:bottom w:val="single" w:sz="4" w:space="0" w:color="auto"/>
            </w:tcBorders>
            <w:shd w:val="clear" w:color="auto" w:fill="auto"/>
          </w:tcPr>
          <w:p w:rsidR="007E403F" w:rsidRPr="007E403F" w:rsidRDefault="007E403F" w:rsidP="000735EA">
            <w:pPr>
              <w:widowControl w:val="0"/>
              <w:numPr>
                <w:ilvl w:val="0"/>
                <w:numId w:val="8"/>
              </w:numPr>
              <w:ind w:left="255" w:hanging="181"/>
              <w:rPr>
                <w:rFonts w:ascii="Arial Narrow" w:hAnsi="Arial Narrow"/>
                <w:snapToGrid w:val="0"/>
                <w:sz w:val="20"/>
                <w:szCs w:val="20"/>
                <w:lang w:eastAsia="en-US"/>
              </w:rPr>
            </w:pPr>
            <w:r w:rsidRPr="007E403F">
              <w:rPr>
                <w:rFonts w:ascii="Arial Narrow" w:hAnsi="Arial Narrow"/>
                <w:snapToGrid w:val="0"/>
                <w:sz w:val="20"/>
                <w:szCs w:val="20"/>
                <w:lang w:eastAsia="en-US"/>
              </w:rPr>
              <w:t>Complement (&amp; toxin B pos.)</w:t>
            </w:r>
          </w:p>
        </w:tc>
        <w:tc>
          <w:tcPr>
            <w:tcW w:w="1425" w:type="dxa"/>
            <w:tcBorders>
              <w:top w:val="nil"/>
              <w:bottom w:val="single" w:sz="4" w:space="0" w:color="auto"/>
            </w:tcBorders>
            <w:shd w:val="clear" w:color="auto" w:fill="auto"/>
            <w:vAlign w:val="center"/>
          </w:tcPr>
          <w:p w:rsidR="007E403F" w:rsidRPr="007E403F" w:rsidRDefault="007E403F" w:rsidP="007E403F">
            <w:pPr>
              <w:widowControl w:val="0"/>
              <w:jc w:val="center"/>
              <w:rPr>
                <w:rFonts w:ascii="Arial Narrow" w:hAnsi="Arial Narrow"/>
                <w:snapToGrid w:val="0"/>
                <w:sz w:val="20"/>
                <w:szCs w:val="20"/>
                <w:lang w:eastAsia="en-US"/>
              </w:rPr>
            </w:pPr>
            <w:r w:rsidRPr="007E403F">
              <w:rPr>
                <w:rFonts w:ascii="Arial Narrow" w:hAnsi="Arial Narrow"/>
                <w:snapToGrid w:val="0"/>
                <w:sz w:val="20"/>
                <w:szCs w:val="20"/>
                <w:lang w:eastAsia="en-US"/>
              </w:rPr>
              <w:t>91/128 (71.1)</w:t>
            </w:r>
          </w:p>
        </w:tc>
        <w:tc>
          <w:tcPr>
            <w:tcW w:w="1426" w:type="dxa"/>
            <w:tcBorders>
              <w:top w:val="nil"/>
              <w:bottom w:val="single" w:sz="4" w:space="0" w:color="auto"/>
            </w:tcBorders>
            <w:shd w:val="clear" w:color="auto" w:fill="auto"/>
            <w:vAlign w:val="center"/>
          </w:tcPr>
          <w:p w:rsidR="007E403F" w:rsidRPr="007E403F" w:rsidRDefault="007E403F" w:rsidP="007E403F">
            <w:pPr>
              <w:widowControl w:val="0"/>
              <w:jc w:val="center"/>
              <w:rPr>
                <w:rFonts w:ascii="Arial Narrow" w:hAnsi="Arial Narrow"/>
                <w:snapToGrid w:val="0"/>
                <w:sz w:val="20"/>
                <w:szCs w:val="20"/>
                <w:lang w:eastAsia="en-US"/>
              </w:rPr>
            </w:pPr>
            <w:r w:rsidRPr="007E403F">
              <w:rPr>
                <w:rFonts w:ascii="Arial Narrow" w:hAnsi="Arial Narrow"/>
                <w:snapToGrid w:val="0"/>
                <w:sz w:val="20"/>
                <w:szCs w:val="20"/>
                <w:lang w:eastAsia="en-US"/>
              </w:rPr>
              <w:t>82/125 (65.6)</w:t>
            </w:r>
          </w:p>
        </w:tc>
        <w:tc>
          <w:tcPr>
            <w:tcW w:w="1534" w:type="dxa"/>
            <w:tcBorders>
              <w:top w:val="nil"/>
              <w:bottom w:val="single" w:sz="4" w:space="0" w:color="auto"/>
            </w:tcBorders>
            <w:shd w:val="clear" w:color="auto" w:fill="auto"/>
            <w:vAlign w:val="center"/>
          </w:tcPr>
          <w:p w:rsidR="007E403F" w:rsidRPr="007E403F" w:rsidRDefault="007E403F" w:rsidP="007E403F">
            <w:pPr>
              <w:widowControl w:val="0"/>
              <w:jc w:val="center"/>
              <w:rPr>
                <w:rFonts w:ascii="Arial Narrow" w:hAnsi="Arial Narrow"/>
                <w:snapToGrid w:val="0"/>
                <w:color w:val="000000"/>
                <w:sz w:val="20"/>
                <w:szCs w:val="20"/>
                <w:lang w:eastAsia="en-US"/>
              </w:rPr>
            </w:pPr>
            <w:r w:rsidRPr="007E403F">
              <w:rPr>
                <w:rFonts w:ascii="Arial Narrow" w:hAnsi="Arial Narrow"/>
                <w:snapToGrid w:val="0"/>
                <w:color w:val="000000"/>
                <w:sz w:val="20"/>
                <w:szCs w:val="20"/>
                <w:lang w:eastAsia="en-US"/>
              </w:rPr>
              <w:t>4.8 (-7.12, 16.5)</w:t>
            </w:r>
            <w:r w:rsidRPr="007E403F">
              <w:rPr>
                <w:rFonts w:ascii="Arial Narrow" w:hAnsi="Arial Narrow"/>
                <w:snapToGrid w:val="0"/>
                <w:color w:val="000000"/>
                <w:sz w:val="20"/>
                <w:szCs w:val="20"/>
                <w:vertAlign w:val="superscript"/>
                <w:lang w:eastAsia="en-US"/>
              </w:rPr>
              <w:t>d</w:t>
            </w:r>
          </w:p>
        </w:tc>
        <w:tc>
          <w:tcPr>
            <w:tcW w:w="1534" w:type="dxa"/>
            <w:tcBorders>
              <w:top w:val="nil"/>
              <w:bottom w:val="single" w:sz="4" w:space="0" w:color="auto"/>
            </w:tcBorders>
            <w:shd w:val="clear" w:color="auto" w:fill="auto"/>
            <w:vAlign w:val="center"/>
          </w:tcPr>
          <w:p w:rsidR="007E403F" w:rsidRPr="00142AA9" w:rsidRDefault="007E403F" w:rsidP="007E403F">
            <w:pPr>
              <w:widowControl w:val="0"/>
              <w:jc w:val="center"/>
              <w:rPr>
                <w:rFonts w:ascii="Arial Narrow" w:hAnsi="Arial Narrow"/>
                <w:bCs/>
                <w:snapToGrid w:val="0"/>
                <w:sz w:val="20"/>
                <w:szCs w:val="20"/>
                <w:lang w:eastAsia="en-US"/>
              </w:rPr>
            </w:pPr>
            <w:r w:rsidRPr="00142AA9">
              <w:rPr>
                <w:rFonts w:ascii="Arial Narrow" w:hAnsi="Arial Narrow"/>
                <w:bCs/>
                <w:iCs/>
                <w:snapToGrid w:val="0"/>
                <w:sz w:val="20"/>
                <w:szCs w:val="20"/>
                <w:lang w:eastAsia="en-US"/>
              </w:rPr>
              <w:t>1.08 (0.92, 1.28</w:t>
            </w:r>
            <w:r w:rsidRPr="00142AA9">
              <w:rPr>
                <w:rFonts w:ascii="Arial Narrow" w:hAnsi="Arial Narrow"/>
                <w:bCs/>
                <w:snapToGrid w:val="0"/>
                <w:sz w:val="20"/>
                <w:szCs w:val="20"/>
                <w:lang w:eastAsia="en-US"/>
              </w:rPr>
              <w:t>)</w:t>
            </w:r>
            <w:r w:rsidR="00142AA9" w:rsidRPr="00142AA9">
              <w:rPr>
                <w:rFonts w:ascii="Arial Narrow" w:hAnsi="Arial Narrow"/>
                <w:bCs/>
                <w:snapToGrid w:val="0"/>
                <w:sz w:val="20"/>
                <w:szCs w:val="20"/>
                <w:lang w:eastAsia="en-US"/>
              </w:rPr>
              <w:t>**</w:t>
            </w:r>
          </w:p>
        </w:tc>
      </w:tr>
    </w:tbl>
    <w:p w:rsidR="007E403F" w:rsidRPr="007E403F" w:rsidRDefault="007E403F" w:rsidP="007E403F">
      <w:pPr>
        <w:widowControl w:val="0"/>
        <w:rPr>
          <w:rFonts w:ascii="Arial Narrow" w:hAnsi="Arial Narrow"/>
          <w:i/>
          <w:snapToGrid w:val="0"/>
          <w:sz w:val="18"/>
          <w:szCs w:val="22"/>
          <w:lang w:eastAsia="en-US"/>
        </w:rPr>
      </w:pPr>
      <w:r w:rsidRPr="007E403F">
        <w:rPr>
          <w:rFonts w:ascii="Arial Narrow" w:hAnsi="Arial Narrow"/>
          <w:snapToGrid w:val="0"/>
          <w:sz w:val="18"/>
          <w:szCs w:val="22"/>
          <w:shd w:val="clear" w:color="auto" w:fill="B8CCE4" w:themeFill="accent1" w:themeFillTint="66"/>
          <w:lang w:eastAsia="en-US"/>
        </w:rPr>
        <w:t>Shaded</w:t>
      </w:r>
      <w:r w:rsidRPr="007E403F">
        <w:rPr>
          <w:rFonts w:ascii="Arial Narrow" w:hAnsi="Arial Narrow"/>
          <w:snapToGrid w:val="0"/>
          <w:sz w:val="18"/>
          <w:szCs w:val="22"/>
          <w:lang w:eastAsia="en-US"/>
        </w:rPr>
        <w:t xml:space="preserve"> areas indicate data previously seen by the PBAC.  </w:t>
      </w:r>
      <w:r w:rsidRPr="007E403F">
        <w:rPr>
          <w:rFonts w:ascii="Arial Narrow" w:hAnsi="Arial Narrow"/>
          <w:b/>
          <w:bCs/>
          <w:snapToGrid w:val="0"/>
          <w:sz w:val="18"/>
          <w:szCs w:val="22"/>
          <w:lang w:eastAsia="en-US"/>
        </w:rPr>
        <w:t>Bold</w:t>
      </w:r>
      <w:r w:rsidRPr="007E403F">
        <w:rPr>
          <w:rFonts w:ascii="Arial Narrow" w:hAnsi="Arial Narrow"/>
          <w:snapToGrid w:val="0"/>
          <w:sz w:val="18"/>
          <w:szCs w:val="22"/>
          <w:lang w:eastAsia="en-US"/>
        </w:rPr>
        <w:t xml:space="preserve"> indicates statistical significant results. </w:t>
      </w:r>
    </w:p>
    <w:p w:rsidR="007E403F" w:rsidRPr="007E403F" w:rsidRDefault="007E403F" w:rsidP="007E403F">
      <w:pPr>
        <w:widowControl w:val="0"/>
        <w:ind w:left="170" w:hanging="170"/>
        <w:rPr>
          <w:rFonts w:ascii="Arial Narrow" w:hAnsi="Arial Narrow"/>
          <w:snapToGrid w:val="0"/>
          <w:sz w:val="18"/>
          <w:szCs w:val="20"/>
          <w:lang w:eastAsia="en-US"/>
        </w:rPr>
      </w:pPr>
      <w:r w:rsidRPr="007E403F">
        <w:rPr>
          <w:rFonts w:ascii="Arial Narrow" w:hAnsi="Arial Narrow"/>
          <w:snapToGrid w:val="0"/>
          <w:sz w:val="18"/>
          <w:szCs w:val="20"/>
          <w:lang w:eastAsia="en-US"/>
        </w:rPr>
        <w:t>^</w:t>
      </w:r>
      <w:r w:rsidRPr="007E403F">
        <w:rPr>
          <w:rFonts w:ascii="Arial Narrow" w:hAnsi="Arial Narrow"/>
          <w:snapToGrid w:val="0"/>
          <w:sz w:val="18"/>
          <w:szCs w:val="20"/>
          <w:lang w:eastAsia="en-US"/>
        </w:rPr>
        <w:tab/>
        <w:t>Adjusted for stratification factors of hospitalisation status and SoC therapy.</w:t>
      </w:r>
    </w:p>
    <w:p w:rsidR="007E403F" w:rsidRPr="007E403F" w:rsidRDefault="007E403F" w:rsidP="007E403F">
      <w:pPr>
        <w:widowControl w:val="0"/>
        <w:ind w:left="170" w:hanging="170"/>
        <w:rPr>
          <w:rFonts w:ascii="Arial Narrow" w:hAnsi="Arial Narrow"/>
          <w:i/>
          <w:iCs/>
          <w:snapToGrid w:val="0"/>
          <w:sz w:val="18"/>
          <w:szCs w:val="20"/>
          <w:lang w:eastAsia="en-US"/>
        </w:rPr>
      </w:pPr>
      <w:r w:rsidRPr="007E403F">
        <w:rPr>
          <w:rFonts w:ascii="Arial Narrow" w:hAnsi="Arial Narrow"/>
          <w:i/>
          <w:iCs/>
          <w:snapToGrid w:val="0"/>
          <w:sz w:val="18"/>
          <w:szCs w:val="20"/>
          <w:vertAlign w:val="superscript"/>
          <w:lang w:eastAsia="en-US"/>
        </w:rPr>
        <w:t>#</w:t>
      </w:r>
      <w:r w:rsidRPr="007E403F">
        <w:rPr>
          <w:rFonts w:ascii="Arial Narrow" w:hAnsi="Arial Narrow"/>
          <w:i/>
          <w:iCs/>
          <w:snapToGrid w:val="0"/>
          <w:sz w:val="18"/>
          <w:szCs w:val="20"/>
          <w:lang w:eastAsia="en-US"/>
        </w:rPr>
        <w:tab/>
      </w:r>
      <w:r w:rsidRPr="009A5502">
        <w:rPr>
          <w:rFonts w:ascii="Arial Narrow" w:hAnsi="Arial Narrow"/>
          <w:iCs/>
          <w:snapToGrid w:val="0"/>
          <w:sz w:val="18"/>
          <w:szCs w:val="20"/>
          <w:lang w:eastAsia="en-US"/>
        </w:rPr>
        <w:t>Not adjusted for stratification factors</w:t>
      </w:r>
    </w:p>
    <w:p w:rsidR="007E403F" w:rsidRDefault="000C500F" w:rsidP="007E403F">
      <w:pPr>
        <w:widowControl w:val="0"/>
        <w:ind w:left="170" w:hanging="170"/>
        <w:rPr>
          <w:rFonts w:ascii="Arial Narrow" w:hAnsi="Arial Narrow"/>
          <w:snapToGrid w:val="0"/>
          <w:sz w:val="18"/>
          <w:szCs w:val="20"/>
          <w:lang w:eastAsia="en-US"/>
        </w:rPr>
      </w:pPr>
      <w:r>
        <w:rPr>
          <w:rFonts w:ascii="Arial Narrow" w:hAnsi="Arial Narrow"/>
          <w:snapToGrid w:val="0"/>
          <w:sz w:val="18"/>
          <w:szCs w:val="20"/>
          <w:lang w:eastAsia="en-US"/>
        </w:rPr>
        <w:t>*</w:t>
      </w:r>
      <w:r>
        <w:rPr>
          <w:rFonts w:ascii="Arial Narrow" w:hAnsi="Arial Narrow"/>
          <w:snapToGrid w:val="0"/>
          <w:sz w:val="18"/>
          <w:szCs w:val="20"/>
          <w:lang w:eastAsia="en-US"/>
        </w:rPr>
        <w:tab/>
        <w:t>F</w:t>
      </w:r>
      <w:r w:rsidR="007E403F" w:rsidRPr="007E403F">
        <w:rPr>
          <w:rFonts w:ascii="Arial Narrow" w:hAnsi="Arial Narrow"/>
          <w:snapToGrid w:val="0"/>
          <w:sz w:val="18"/>
          <w:szCs w:val="20"/>
          <w:lang w:eastAsia="en-US"/>
        </w:rPr>
        <w:t>rom Gerding et al 2018.</w:t>
      </w:r>
    </w:p>
    <w:p w:rsidR="00142AA9" w:rsidRPr="007E403F" w:rsidRDefault="00142AA9" w:rsidP="007E403F">
      <w:pPr>
        <w:widowControl w:val="0"/>
        <w:ind w:left="170" w:hanging="170"/>
        <w:rPr>
          <w:rFonts w:ascii="Arial Narrow" w:hAnsi="Arial Narrow"/>
          <w:snapToGrid w:val="0"/>
          <w:sz w:val="18"/>
          <w:szCs w:val="20"/>
          <w:lang w:eastAsia="en-US"/>
        </w:rPr>
      </w:pPr>
      <w:r>
        <w:rPr>
          <w:rFonts w:ascii="Arial Narrow" w:hAnsi="Arial Narrow"/>
          <w:snapToGrid w:val="0"/>
          <w:sz w:val="18"/>
          <w:szCs w:val="20"/>
          <w:lang w:eastAsia="en-US"/>
        </w:rPr>
        <w:t xml:space="preserve">** </w:t>
      </w:r>
      <w:r w:rsidRPr="00142AA9">
        <w:rPr>
          <w:rFonts w:ascii="Arial Narrow" w:hAnsi="Arial Narrow"/>
          <w:snapToGrid w:val="0"/>
          <w:sz w:val="18"/>
          <w:szCs w:val="22"/>
          <w:lang w:eastAsia="en-US"/>
        </w:rPr>
        <w:t>Indicates values calculated during evaluation using StatsDirect</w:t>
      </w:r>
    </w:p>
    <w:p w:rsidR="007E403F" w:rsidRPr="007E403F" w:rsidRDefault="007E403F" w:rsidP="007E403F">
      <w:pPr>
        <w:widowControl w:val="0"/>
        <w:ind w:left="170" w:hanging="170"/>
        <w:rPr>
          <w:rFonts w:ascii="Arial Narrow" w:hAnsi="Arial Narrow"/>
          <w:snapToGrid w:val="0"/>
          <w:sz w:val="18"/>
          <w:szCs w:val="20"/>
          <w:lang w:eastAsia="en-US"/>
        </w:rPr>
      </w:pPr>
      <w:r w:rsidRPr="007E403F">
        <w:rPr>
          <w:rFonts w:ascii="Arial Narrow" w:hAnsi="Arial Narrow"/>
          <w:snapToGrid w:val="0"/>
          <w:sz w:val="18"/>
          <w:szCs w:val="20"/>
          <w:vertAlign w:val="superscript"/>
          <w:lang w:eastAsia="en-US"/>
        </w:rPr>
        <w:t>a</w:t>
      </w:r>
      <w:r w:rsidRPr="007E403F">
        <w:rPr>
          <w:rFonts w:ascii="Arial Narrow" w:hAnsi="Arial Narrow"/>
          <w:snapToGrid w:val="0"/>
          <w:sz w:val="18"/>
          <w:szCs w:val="20"/>
          <w:lang w:eastAsia="en-US"/>
        </w:rPr>
        <w:tab/>
        <w:t>Based on the Miettinen and Nurminen method without stratification unless otherwise stated</w:t>
      </w:r>
    </w:p>
    <w:p w:rsidR="007E403F" w:rsidRPr="007E403F" w:rsidRDefault="007E403F" w:rsidP="007E403F">
      <w:pPr>
        <w:widowControl w:val="0"/>
        <w:ind w:left="170" w:hanging="170"/>
        <w:rPr>
          <w:rFonts w:ascii="Arial Narrow" w:hAnsi="Arial Narrow"/>
          <w:snapToGrid w:val="0"/>
          <w:sz w:val="18"/>
          <w:szCs w:val="20"/>
          <w:lang w:eastAsia="en-US"/>
        </w:rPr>
      </w:pPr>
      <w:r w:rsidRPr="007E403F">
        <w:rPr>
          <w:rFonts w:ascii="Arial Narrow" w:hAnsi="Arial Narrow"/>
          <w:snapToGrid w:val="0"/>
          <w:sz w:val="18"/>
          <w:szCs w:val="20"/>
          <w:vertAlign w:val="superscript"/>
          <w:lang w:eastAsia="en-US"/>
        </w:rPr>
        <w:t>b</w:t>
      </w:r>
      <w:r w:rsidRPr="007E403F">
        <w:rPr>
          <w:rFonts w:ascii="Arial Narrow" w:hAnsi="Arial Narrow"/>
          <w:snapToGrid w:val="0"/>
          <w:sz w:val="18"/>
          <w:szCs w:val="20"/>
          <w:vertAlign w:val="superscript"/>
          <w:lang w:eastAsia="en-US"/>
        </w:rPr>
        <w:tab/>
      </w:r>
      <w:r w:rsidRPr="007E403F">
        <w:rPr>
          <w:rFonts w:ascii="Arial Narrow" w:hAnsi="Arial Narrow"/>
          <w:snapToGrid w:val="0"/>
          <w:sz w:val="18"/>
          <w:szCs w:val="20"/>
          <w:lang w:eastAsia="en-US"/>
        </w:rPr>
        <w:t>Including: Age ≥65 years, ≥1 CDI episode in past 6 months, Immunocompromised, Severe CDI; Zar score ≥2, 027, 078 or 244 strain</w:t>
      </w:r>
    </w:p>
    <w:p w:rsidR="007E403F" w:rsidRPr="007E403F" w:rsidRDefault="007E403F" w:rsidP="007E403F">
      <w:pPr>
        <w:widowControl w:val="0"/>
        <w:ind w:left="170" w:hanging="170"/>
        <w:rPr>
          <w:rFonts w:ascii="Arial Narrow" w:hAnsi="Arial Narrow"/>
          <w:snapToGrid w:val="0"/>
          <w:sz w:val="18"/>
          <w:szCs w:val="20"/>
          <w:lang w:eastAsia="en-US"/>
        </w:rPr>
      </w:pPr>
      <w:r w:rsidRPr="007E403F">
        <w:rPr>
          <w:rFonts w:ascii="Arial Narrow" w:hAnsi="Arial Narrow"/>
          <w:snapToGrid w:val="0"/>
          <w:sz w:val="18"/>
          <w:szCs w:val="20"/>
          <w:vertAlign w:val="superscript"/>
          <w:lang w:eastAsia="en-US"/>
        </w:rPr>
        <w:t>c</w:t>
      </w:r>
      <w:r w:rsidRPr="007E403F">
        <w:rPr>
          <w:rFonts w:ascii="Arial Narrow" w:hAnsi="Arial Narrow"/>
          <w:snapToGrid w:val="0"/>
          <w:sz w:val="18"/>
          <w:szCs w:val="20"/>
          <w:lang w:eastAsia="en-US"/>
        </w:rPr>
        <w:tab/>
        <w:t xml:space="preserve">Including: Age ≥65 years, ≥1 CDI episode in past 6 months, Immunocompromised, Severe CDI; Zar score ≥2. </w:t>
      </w:r>
    </w:p>
    <w:p w:rsidR="007E403F" w:rsidRPr="007E403F" w:rsidRDefault="007E403F" w:rsidP="007E403F">
      <w:pPr>
        <w:widowControl w:val="0"/>
        <w:ind w:left="170" w:hanging="170"/>
        <w:rPr>
          <w:rFonts w:ascii="Arial Narrow" w:hAnsi="Arial Narrow"/>
          <w:snapToGrid w:val="0"/>
          <w:sz w:val="18"/>
          <w:szCs w:val="20"/>
          <w:lang w:eastAsia="en-US"/>
        </w:rPr>
      </w:pPr>
      <w:r w:rsidRPr="007E403F">
        <w:rPr>
          <w:rFonts w:ascii="Arial Narrow" w:hAnsi="Arial Narrow"/>
          <w:snapToGrid w:val="0"/>
          <w:sz w:val="18"/>
          <w:szCs w:val="20"/>
          <w:vertAlign w:val="superscript"/>
          <w:lang w:eastAsia="en-US"/>
        </w:rPr>
        <w:t>d</w:t>
      </w:r>
      <w:r w:rsidRPr="007E403F">
        <w:rPr>
          <w:rFonts w:ascii="Arial Narrow" w:hAnsi="Arial Narrow"/>
          <w:snapToGrid w:val="0"/>
          <w:sz w:val="18"/>
          <w:szCs w:val="20"/>
          <w:vertAlign w:val="superscript"/>
          <w:lang w:eastAsia="en-US"/>
        </w:rPr>
        <w:tab/>
      </w:r>
      <w:r w:rsidRPr="007E403F">
        <w:rPr>
          <w:rFonts w:ascii="Arial Narrow" w:hAnsi="Arial Narrow"/>
          <w:snapToGrid w:val="0"/>
          <w:sz w:val="18"/>
          <w:szCs w:val="20"/>
          <w:lang w:eastAsia="en-US"/>
        </w:rPr>
        <w:t>Based on the Miettinen and Nurminen method stratified by protocol (MODIFY I vs MODIFY II) and SoC therapy.</w:t>
      </w:r>
    </w:p>
    <w:p w:rsidR="007E403F" w:rsidRPr="007E403F" w:rsidRDefault="007E403F" w:rsidP="007E403F">
      <w:pPr>
        <w:widowControl w:val="0"/>
        <w:ind w:left="170" w:hanging="170"/>
        <w:rPr>
          <w:rFonts w:ascii="Arial Narrow" w:hAnsi="Arial Narrow"/>
          <w:snapToGrid w:val="0"/>
          <w:sz w:val="18"/>
          <w:szCs w:val="20"/>
          <w:lang w:eastAsia="en-US"/>
        </w:rPr>
      </w:pPr>
      <w:r w:rsidRPr="007E403F">
        <w:rPr>
          <w:rFonts w:ascii="Arial Narrow" w:hAnsi="Arial Narrow"/>
          <w:snapToGrid w:val="0"/>
          <w:sz w:val="18"/>
          <w:szCs w:val="20"/>
          <w:lang w:eastAsia="en-US"/>
        </w:rPr>
        <w:t>f</w:t>
      </w:r>
      <w:r w:rsidRPr="007E403F">
        <w:rPr>
          <w:rFonts w:ascii="Arial Narrow" w:hAnsi="Arial Narrow"/>
          <w:snapToGrid w:val="0"/>
          <w:sz w:val="18"/>
          <w:szCs w:val="20"/>
          <w:lang w:eastAsia="en-US"/>
        </w:rPr>
        <w:tab/>
        <w:t xml:space="preserve">Including: Age ≥65 years, ≥1 CDI episode in past 6 months. </w:t>
      </w:r>
    </w:p>
    <w:p w:rsidR="007E403F" w:rsidRPr="007E403F" w:rsidRDefault="007E403F" w:rsidP="007E403F">
      <w:pPr>
        <w:widowControl w:val="0"/>
        <w:rPr>
          <w:rFonts w:ascii="Arial Narrow" w:hAnsi="Arial Narrow"/>
          <w:i/>
          <w:iCs/>
          <w:snapToGrid w:val="0"/>
          <w:sz w:val="18"/>
          <w:szCs w:val="20"/>
          <w:lang w:eastAsia="en-US"/>
        </w:rPr>
      </w:pPr>
      <w:r w:rsidRPr="007E403F">
        <w:rPr>
          <w:rFonts w:ascii="Arial Narrow" w:hAnsi="Arial Narrow"/>
          <w:snapToGrid w:val="0"/>
          <w:sz w:val="18"/>
          <w:szCs w:val="20"/>
          <w:lang w:eastAsia="en-US"/>
        </w:rPr>
        <w:t xml:space="preserve">Source:  Tables 2-42 to 2-46, pp96-98- of the resubmission; </w:t>
      </w:r>
      <w:r w:rsidRPr="007E403F">
        <w:rPr>
          <w:rFonts w:ascii="Arial Narrow" w:hAnsi="Arial Narrow"/>
          <w:i/>
          <w:iCs/>
          <w:snapToGrid w:val="0"/>
          <w:sz w:val="18"/>
          <w:szCs w:val="20"/>
          <w:lang w:eastAsia="en-US"/>
        </w:rPr>
        <w:t>and constructed during the evaluation.</w:t>
      </w:r>
    </w:p>
    <w:p w:rsidR="007E403F" w:rsidRPr="007E403F" w:rsidRDefault="007E403F" w:rsidP="007E403F">
      <w:pPr>
        <w:rPr>
          <w:rFonts w:ascii="Arial Narrow" w:eastAsiaTheme="minorHAnsi" w:hAnsi="Arial Narrow" w:cstheme="minorBidi"/>
          <w:b/>
          <w:bCs/>
          <w:sz w:val="20"/>
          <w:szCs w:val="20"/>
          <w:lang w:eastAsia="en-US"/>
        </w:rPr>
      </w:pPr>
    </w:p>
    <w:p w:rsidR="003E4C84" w:rsidRDefault="00AA02CC" w:rsidP="00162A87">
      <w:pPr>
        <w:pStyle w:val="3-BodyText"/>
        <w:rPr>
          <w:szCs w:val="22"/>
          <w:lang w:eastAsia="en-US"/>
        </w:rPr>
      </w:pPr>
      <w:r w:rsidRPr="00875F43">
        <w:rPr>
          <w:szCs w:val="22"/>
          <w:lang w:eastAsia="en-US"/>
        </w:rPr>
        <w:lastRenderedPageBreak/>
        <w:t>Consistent with the previous submissions, t</w:t>
      </w:r>
      <w:r w:rsidR="007E403F" w:rsidRPr="00875F43">
        <w:rPr>
          <w:szCs w:val="22"/>
          <w:lang w:eastAsia="en-US"/>
        </w:rPr>
        <w:t xml:space="preserve">here were fewer CDI recurrences at Week 12 in patients treated with bezlotoxumab versus placebo for </w:t>
      </w:r>
      <w:r w:rsidRPr="00875F43">
        <w:rPr>
          <w:szCs w:val="22"/>
          <w:lang w:eastAsia="en-US"/>
        </w:rPr>
        <w:t>the requested population</w:t>
      </w:r>
      <w:r w:rsidR="00875F43" w:rsidRPr="00875F43">
        <w:rPr>
          <w:szCs w:val="22"/>
          <w:lang w:eastAsia="en-US"/>
        </w:rPr>
        <w:t xml:space="preserve">, </w:t>
      </w:r>
      <w:r w:rsidR="007E403F" w:rsidRPr="00875F43">
        <w:rPr>
          <w:szCs w:val="22"/>
          <w:lang w:eastAsia="en-US"/>
        </w:rPr>
        <w:t xml:space="preserve">toxin B positive patients with </w:t>
      </w:r>
      <w:r w:rsidR="007E403F" w:rsidRPr="00875F43">
        <w:rPr>
          <w:rFonts w:cs="Calibri"/>
          <w:szCs w:val="22"/>
          <w:lang w:eastAsia="en-US"/>
        </w:rPr>
        <w:t>≥</w:t>
      </w:r>
      <w:r w:rsidR="007E403F" w:rsidRPr="00875F43">
        <w:rPr>
          <w:szCs w:val="22"/>
          <w:lang w:eastAsia="en-US"/>
        </w:rPr>
        <w:t xml:space="preserve"> 1 of 2 risk factors.</w:t>
      </w:r>
      <w:r w:rsidR="00875F43" w:rsidRPr="00875F43">
        <w:rPr>
          <w:szCs w:val="22"/>
          <w:lang w:eastAsia="en-US"/>
        </w:rPr>
        <w:t xml:space="preserve"> </w:t>
      </w:r>
      <w:r w:rsidR="00277DBE">
        <w:rPr>
          <w:szCs w:val="22"/>
          <w:lang w:eastAsia="en-US"/>
        </w:rPr>
        <w:t xml:space="preserve"> </w:t>
      </w:r>
      <w:r w:rsidR="003E4C84">
        <w:rPr>
          <w:szCs w:val="22"/>
          <w:lang w:eastAsia="en-US"/>
        </w:rPr>
        <w:t xml:space="preserve">Similar results were reported for the other outcomes (CDI </w:t>
      </w:r>
      <w:r w:rsidR="003E4C84" w:rsidRPr="003E4C84">
        <w:rPr>
          <w:szCs w:val="22"/>
          <w:lang w:eastAsia="en-US"/>
        </w:rPr>
        <w:t xml:space="preserve">in patients who attained </w:t>
      </w:r>
      <w:r w:rsidR="003E4C84" w:rsidRPr="005D3E93">
        <w:t>clinical cure of the initial episode, and proportion of patients who achieved global</w:t>
      </w:r>
      <w:r w:rsidR="003E4C84" w:rsidRPr="003E4C84">
        <w:rPr>
          <w:szCs w:val="22"/>
          <w:lang w:eastAsia="en-US"/>
        </w:rPr>
        <w:t xml:space="preserve"> cure</w:t>
      </w:r>
      <w:r w:rsidR="003E4C84">
        <w:rPr>
          <w:szCs w:val="22"/>
          <w:lang w:eastAsia="en-US"/>
        </w:rPr>
        <w:t>) in favour of bezlotoxumab</w:t>
      </w:r>
      <w:r w:rsidR="003E4C84" w:rsidRPr="003E4C84">
        <w:rPr>
          <w:szCs w:val="22"/>
          <w:lang w:eastAsia="en-US"/>
        </w:rPr>
        <w:t>.</w:t>
      </w:r>
      <w:r w:rsidR="008F7169">
        <w:rPr>
          <w:szCs w:val="22"/>
          <w:lang w:eastAsia="en-US"/>
        </w:rPr>
        <w:t xml:space="preserve"> </w:t>
      </w:r>
      <w:r w:rsidR="008F7169" w:rsidRPr="00A873A2">
        <w:rPr>
          <w:rFonts w:cstheme="minorHAnsi"/>
          <w:lang w:eastAsia="en-US"/>
        </w:rPr>
        <w:t>The ESC noted the</w:t>
      </w:r>
      <w:r w:rsidR="00593419" w:rsidRPr="00A873A2">
        <w:rPr>
          <w:rFonts w:cstheme="minorHAnsi"/>
          <w:lang w:eastAsia="en-US"/>
        </w:rPr>
        <w:t xml:space="preserve"> relative treatment effect was greater for the proposed </w:t>
      </w:r>
      <w:r w:rsidR="00162A87" w:rsidRPr="00A873A2">
        <w:rPr>
          <w:rFonts w:cstheme="minorHAnsi"/>
          <w:lang w:eastAsia="en-US"/>
        </w:rPr>
        <w:t xml:space="preserve">high risk </w:t>
      </w:r>
      <w:r w:rsidR="00593419" w:rsidRPr="00A873A2">
        <w:rPr>
          <w:rFonts w:cstheme="minorHAnsi"/>
          <w:lang w:eastAsia="en-US"/>
        </w:rPr>
        <w:t>subgroup (RR=0.</w:t>
      </w:r>
      <w:r w:rsidR="00DB497D" w:rsidRPr="00A873A2">
        <w:rPr>
          <w:rFonts w:cstheme="minorHAnsi"/>
          <w:lang w:eastAsia="en-US"/>
        </w:rPr>
        <w:t>50</w:t>
      </w:r>
      <w:r w:rsidR="00593419" w:rsidRPr="00A873A2">
        <w:rPr>
          <w:rFonts w:cstheme="minorHAnsi"/>
          <w:lang w:eastAsia="en-US"/>
        </w:rPr>
        <w:t xml:space="preserve">) compared with the complement group (RR=0.65) however, a </w:t>
      </w:r>
      <w:r w:rsidR="00162A87" w:rsidRPr="00A873A2">
        <w:rPr>
          <w:rFonts w:cstheme="minorHAnsi"/>
          <w:lang w:eastAsia="en-US"/>
        </w:rPr>
        <w:t xml:space="preserve">statistical interaction </w:t>
      </w:r>
      <w:r w:rsidR="00593419" w:rsidRPr="00A873A2">
        <w:rPr>
          <w:rFonts w:cstheme="minorHAnsi"/>
          <w:lang w:eastAsia="en-US"/>
        </w:rPr>
        <w:t>test for</w:t>
      </w:r>
      <w:r w:rsidR="00275EF3" w:rsidRPr="00A873A2">
        <w:rPr>
          <w:rFonts w:cstheme="minorHAnsi"/>
          <w:lang w:eastAsia="en-US"/>
        </w:rPr>
        <w:t xml:space="preserve"> treatment effect variation by</w:t>
      </w:r>
      <w:r w:rsidR="00162A87" w:rsidRPr="00A873A2">
        <w:rPr>
          <w:rFonts w:cstheme="minorHAnsi"/>
          <w:lang w:eastAsia="en-US"/>
        </w:rPr>
        <w:t xml:space="preserve"> risk status was not undertaken and thus it is unclear if the relative efficacy of bezlotoxumab is greater in the high risk population.</w:t>
      </w:r>
      <w:r w:rsidR="00162A87" w:rsidRPr="00A873A2">
        <w:rPr>
          <w:szCs w:val="22"/>
          <w:lang w:eastAsia="en-US"/>
        </w:rPr>
        <w:t xml:space="preserve"> The ESC further noted the relative efficacy from the subgroup (RR=0.5</w:t>
      </w:r>
      <w:r w:rsidR="00DB497D" w:rsidRPr="00A873A2">
        <w:rPr>
          <w:szCs w:val="22"/>
          <w:lang w:eastAsia="en-US"/>
        </w:rPr>
        <w:t>0</w:t>
      </w:r>
      <w:r w:rsidR="00162A87" w:rsidRPr="00A873A2">
        <w:rPr>
          <w:szCs w:val="22"/>
          <w:lang w:eastAsia="en-US"/>
        </w:rPr>
        <w:t>) was utilised in the economic model.</w:t>
      </w:r>
    </w:p>
    <w:p w:rsidR="00277DBE" w:rsidRPr="006A6BFB" w:rsidRDefault="00C900D7" w:rsidP="00006346">
      <w:pPr>
        <w:pStyle w:val="3-BodyText"/>
        <w:rPr>
          <w:szCs w:val="22"/>
          <w:lang w:eastAsia="en-US"/>
        </w:rPr>
      </w:pPr>
      <w:r w:rsidRPr="00C900D7">
        <w:rPr>
          <w:szCs w:val="22"/>
          <w:lang w:eastAsia="en-US"/>
        </w:rPr>
        <w:t>Unlike the July 2019 resubmission, t</w:t>
      </w:r>
      <w:r w:rsidRPr="007E403F">
        <w:t xml:space="preserve">he estimated treatment effect for CDI recurrence at Week 12 in toxin B positive patients with </w:t>
      </w:r>
      <w:r w:rsidRPr="00C900D7">
        <w:rPr>
          <w:rFonts w:cs="Calibri"/>
        </w:rPr>
        <w:t>≥</w:t>
      </w:r>
      <w:r w:rsidRPr="007E403F">
        <w:t xml:space="preserve">1 of 2 risk factors met the nominated MCID (i.e. the upper 95%CI was larger than -8%).  </w:t>
      </w:r>
      <w:r w:rsidR="005C528A" w:rsidRPr="00A873A2">
        <w:t>The ESC noted the unmatched baselined characteristics (including gender, treatment setting, weight an</w:t>
      </w:r>
      <w:r w:rsidR="006A5568" w:rsidRPr="00A873A2">
        <w:t xml:space="preserve">d history of CDI) in the post-hoc subgroup and considered that this introduced uncertainty in the estimated treatment effect reported. </w:t>
      </w:r>
      <w:r>
        <w:t>R</w:t>
      </w:r>
      <w:r w:rsidR="00277DBE" w:rsidRPr="00C900D7">
        <w:rPr>
          <w:lang w:eastAsia="en-US"/>
        </w:rPr>
        <w:t>esults for the complement population (i.e. toxin B positive patients with 0 of 2 risk factors) showed no significant differences for any of the key outcomes for patients treated with bezlotoxumab compared to placebo.</w:t>
      </w:r>
    </w:p>
    <w:p w:rsidR="006A6BFB" w:rsidRPr="00C900D7" w:rsidRDefault="006A6BFB" w:rsidP="00006346">
      <w:pPr>
        <w:pStyle w:val="3-BodyText"/>
        <w:rPr>
          <w:szCs w:val="22"/>
          <w:lang w:eastAsia="en-US"/>
        </w:rPr>
      </w:pPr>
      <w:r>
        <w:rPr>
          <w:szCs w:val="22"/>
          <w:lang w:eastAsia="en-US"/>
        </w:rPr>
        <w:t>The PBAC recalled that there was no evidence of a reduction in mortality associated with bezlotoxumab based on the results of the MODIFY trials (paragraph 6.16</w:t>
      </w:r>
      <w:r w:rsidR="005C7B8C">
        <w:rPr>
          <w:szCs w:val="22"/>
          <w:lang w:eastAsia="en-US"/>
        </w:rPr>
        <w:t>,</w:t>
      </w:r>
      <w:r>
        <w:rPr>
          <w:szCs w:val="22"/>
          <w:lang w:eastAsia="en-US"/>
        </w:rPr>
        <w:t xml:space="preserve"> bezlotoxumab Public Summary Document, July 2019 PBAC meeting, paragraph 7.4</w:t>
      </w:r>
      <w:r w:rsidR="005C7B8C">
        <w:rPr>
          <w:szCs w:val="22"/>
          <w:lang w:eastAsia="en-US"/>
        </w:rPr>
        <w:t>,</w:t>
      </w:r>
      <w:r>
        <w:rPr>
          <w:szCs w:val="22"/>
          <w:lang w:eastAsia="en-US"/>
        </w:rPr>
        <w:t xml:space="preserve"> bezlotoxumab Public Summary Document, July 2018 PBAC meeting).</w:t>
      </w:r>
    </w:p>
    <w:p w:rsidR="003273CB" w:rsidRPr="003273CB" w:rsidRDefault="007E403F" w:rsidP="00006346">
      <w:pPr>
        <w:pStyle w:val="3-BodyText"/>
        <w:rPr>
          <w:szCs w:val="22"/>
          <w:lang w:eastAsia="en-US"/>
        </w:rPr>
      </w:pPr>
      <w:r w:rsidRPr="00AD5967">
        <w:t>The</w:t>
      </w:r>
      <w:r w:rsidRPr="007E403F">
        <w:t xml:space="preserve"> resubmission</w:t>
      </w:r>
      <w:r w:rsidR="00811B31">
        <w:t xml:space="preserve"> </w:t>
      </w:r>
      <w:r w:rsidRPr="007E403F">
        <w:t xml:space="preserve">identified two </w:t>
      </w:r>
      <w:r w:rsidR="005D3E93">
        <w:t xml:space="preserve">small </w:t>
      </w:r>
      <w:r w:rsidR="003273CB">
        <w:t xml:space="preserve">real world </w:t>
      </w:r>
      <w:r w:rsidRPr="007E403F">
        <w:t xml:space="preserve">studies </w:t>
      </w:r>
      <w:r w:rsidR="003273CB">
        <w:t>of bezlotoxumab:</w:t>
      </w:r>
    </w:p>
    <w:p w:rsidR="005D3E93" w:rsidRPr="005D3E93" w:rsidRDefault="007E403F" w:rsidP="000735EA">
      <w:pPr>
        <w:pStyle w:val="3-BodyText"/>
        <w:numPr>
          <w:ilvl w:val="1"/>
          <w:numId w:val="13"/>
        </w:numPr>
        <w:ind w:left="1134" w:hanging="425"/>
        <w:rPr>
          <w:szCs w:val="22"/>
          <w:lang w:eastAsia="en-US"/>
        </w:rPr>
      </w:pPr>
      <w:r w:rsidRPr="007E403F">
        <w:t>Kerr et al 2019</w:t>
      </w:r>
      <w:r w:rsidR="005D3E93">
        <w:t xml:space="preserve"> conducted a retrospective study of 21 patient</w:t>
      </w:r>
      <w:r w:rsidR="00EF00ED">
        <w:t xml:space="preserve">s </w:t>
      </w:r>
      <w:r w:rsidR="005D3E93">
        <w:t xml:space="preserve">with </w:t>
      </w:r>
      <w:r w:rsidR="00EF00ED">
        <w:t xml:space="preserve">a </w:t>
      </w:r>
      <w:r w:rsidR="005D3E93">
        <w:t>SOT</w:t>
      </w:r>
      <w:r w:rsidR="00EF00ED">
        <w:t xml:space="preserve"> and treated for CDI at a medical centre in the U</w:t>
      </w:r>
      <w:r w:rsidR="00BA36F9">
        <w:t xml:space="preserve">nited </w:t>
      </w:r>
      <w:r w:rsidR="00EF00ED">
        <w:t>S</w:t>
      </w:r>
      <w:r w:rsidR="00BA36F9">
        <w:t>tates</w:t>
      </w:r>
      <w:r w:rsidR="00EF00ED">
        <w:t>.  Patients received antibiotics with bezlotoxumab (N=</w:t>
      </w:r>
      <w:r w:rsidR="00C37EFD">
        <w:t>9</w:t>
      </w:r>
      <w:r w:rsidR="00EF00ED">
        <w:t>) or without bezlotoxumab (N=1</w:t>
      </w:r>
      <w:r w:rsidR="00C37EFD">
        <w:t>2</w:t>
      </w:r>
      <w:r w:rsidR="00EF00ED">
        <w:t xml:space="preserve">) </w:t>
      </w:r>
      <w:r w:rsidR="00C37EFD">
        <w:t xml:space="preserve">at physician discretion.  The 90-day recurrence rates were 9% (n=1) and 33% (n=3) with and without bezlotoxumab, respectively.  </w:t>
      </w:r>
      <w:r w:rsidR="00C37EFD" w:rsidRPr="006A5568">
        <w:rPr>
          <w:iCs/>
        </w:rPr>
        <w:t>The study results were not informative given treatment was not random or random-like</w:t>
      </w:r>
      <w:r w:rsidR="00C3210C" w:rsidRPr="006A5568">
        <w:rPr>
          <w:iCs/>
        </w:rPr>
        <w:t xml:space="preserve"> </w:t>
      </w:r>
      <w:r w:rsidR="00C37EFD" w:rsidRPr="006A5568">
        <w:rPr>
          <w:iCs/>
        </w:rPr>
        <w:t>and baseline characteristics (including risk factors for CDI recurrence) were not balanced across the comparison groups.</w:t>
      </w:r>
    </w:p>
    <w:p w:rsidR="00934988" w:rsidRPr="00A64859" w:rsidRDefault="005D3E93" w:rsidP="000735EA">
      <w:pPr>
        <w:pStyle w:val="3-BodyText"/>
        <w:numPr>
          <w:ilvl w:val="1"/>
          <w:numId w:val="13"/>
        </w:numPr>
        <w:ind w:left="1134" w:hanging="425"/>
        <w:rPr>
          <w:szCs w:val="22"/>
          <w:lang w:eastAsia="en-US"/>
        </w:rPr>
      </w:pPr>
      <w:r>
        <w:t>Oksi et al 2019 conducted a retrospective study of 46 patients treated with bezlotoxumab for CDI in Finland.</w:t>
      </w:r>
      <w:r w:rsidR="003F0C7C">
        <w:t xml:space="preserve">  Approximately 27% of patients had CDI recurrence after 3 months.  </w:t>
      </w:r>
      <w:r w:rsidR="003F0C7C" w:rsidRPr="00A64859">
        <w:rPr>
          <w:iCs/>
        </w:rPr>
        <w:t>The proportion of patients with recurrent CDI was higher in this study compared to the treatment arm in the MODIFY trials (16.5% for ITT population</w:t>
      </w:r>
      <w:r w:rsidR="003104DD" w:rsidRPr="00A64859">
        <w:rPr>
          <w:iCs/>
        </w:rPr>
        <w:t>)</w:t>
      </w:r>
      <w:r w:rsidR="00E833F1">
        <w:rPr>
          <w:iCs/>
        </w:rPr>
        <w:t>.  T</w:t>
      </w:r>
      <w:r w:rsidR="003104DD" w:rsidRPr="00A64859">
        <w:rPr>
          <w:iCs/>
        </w:rPr>
        <w:t>he population</w:t>
      </w:r>
      <w:r w:rsidR="00E833F1">
        <w:rPr>
          <w:iCs/>
        </w:rPr>
        <w:t xml:space="preserve"> in Oksi et al., 2019</w:t>
      </w:r>
      <w:r w:rsidR="003104DD" w:rsidRPr="00A64859">
        <w:rPr>
          <w:iCs/>
        </w:rPr>
        <w:t xml:space="preserve"> </w:t>
      </w:r>
      <w:r w:rsidR="003F0C7C" w:rsidRPr="00A64859">
        <w:rPr>
          <w:iCs/>
        </w:rPr>
        <w:t xml:space="preserve">appeared to have more risk factors </w:t>
      </w:r>
      <w:r w:rsidR="00E833F1">
        <w:rPr>
          <w:iCs/>
        </w:rPr>
        <w:t xml:space="preserve">than those in MODIFY </w:t>
      </w:r>
      <w:r w:rsidR="003F0C7C" w:rsidRPr="00A64859">
        <w:rPr>
          <w:iCs/>
        </w:rPr>
        <w:t>(average age ~65 years compared to ~63 years, 61% immunocompromised compared to 20%, 37% severe CDI compared to 16%)</w:t>
      </w:r>
      <w:r w:rsidR="002016F1" w:rsidRPr="00A64859">
        <w:rPr>
          <w:iCs/>
        </w:rPr>
        <w:t>.</w:t>
      </w:r>
    </w:p>
    <w:p w:rsidR="00B60939" w:rsidRPr="00C9624D" w:rsidRDefault="00B60939" w:rsidP="00D86231">
      <w:pPr>
        <w:pStyle w:val="4-SubsectionHeading"/>
      </w:pPr>
      <w:bookmarkStart w:id="14" w:name="_Toc22897642"/>
      <w:bookmarkStart w:id="15" w:name="_Toc30493364"/>
      <w:r w:rsidRPr="00C9624D">
        <w:lastRenderedPageBreak/>
        <w:t>Comparative harms</w:t>
      </w:r>
      <w:bookmarkEnd w:id="14"/>
      <w:bookmarkEnd w:id="15"/>
    </w:p>
    <w:p w:rsidR="00A719AF" w:rsidRPr="00C15F7B" w:rsidRDefault="00F4241B" w:rsidP="00006346">
      <w:pPr>
        <w:pStyle w:val="3-BodyText"/>
        <w:numPr>
          <w:ilvl w:val="1"/>
          <w:numId w:val="5"/>
        </w:numPr>
        <w:rPr>
          <w:rFonts w:ascii="Arial Narrow" w:hAnsi="Arial Narrow"/>
          <w:b/>
          <w:sz w:val="20"/>
        </w:rPr>
      </w:pPr>
      <w:r>
        <w:t xml:space="preserve">The resubmission presented a </w:t>
      </w:r>
      <w:r w:rsidRPr="00D64B8F">
        <w:t xml:space="preserve">summary of </w:t>
      </w:r>
      <w:r w:rsidR="00D85896">
        <w:t>adverse events (</w:t>
      </w:r>
      <w:r>
        <w:t>AEs</w:t>
      </w:r>
      <w:r w:rsidR="00D85896">
        <w:t>)</w:t>
      </w:r>
      <w:r>
        <w:t xml:space="preserve"> for the subgroup of patients with ≥1 of 2 risk factors (age </w:t>
      </w:r>
      <w:r w:rsidRPr="00650831">
        <w:rPr>
          <w:rFonts w:cs="Calibri"/>
        </w:rPr>
        <w:t>≥</w:t>
      </w:r>
      <w:r>
        <w:t xml:space="preserve"> 65 years; history of CDI in past 6 months) in </w:t>
      </w:r>
      <w:r w:rsidR="00E10095">
        <w:t>the MODIFY trials (</w:t>
      </w:r>
      <w:r w:rsidR="00D5587A" w:rsidRPr="00D5587A">
        <w:t xml:space="preserve">Table </w:t>
      </w:r>
      <w:r w:rsidR="00D5587A">
        <w:t>7</w:t>
      </w:r>
      <w:r w:rsidR="00E10095">
        <w:t>)</w:t>
      </w:r>
      <w:r w:rsidRPr="005256F7">
        <w:t xml:space="preserve"> </w:t>
      </w:r>
      <w:r>
        <w:t xml:space="preserve">and </w:t>
      </w:r>
      <w:r w:rsidRPr="00AD3AA0">
        <w:rPr>
          <w:iCs/>
        </w:rPr>
        <w:t>reasonably</w:t>
      </w:r>
      <w:r w:rsidRPr="00AD3AA0">
        <w:t xml:space="preserve"> </w:t>
      </w:r>
      <w:r>
        <w:t>concluded that the overall AEs and SAEs were similar between treatment arms.</w:t>
      </w:r>
      <w:r w:rsidRPr="00650831">
        <w:rPr>
          <w:i/>
          <w:iCs/>
        </w:rPr>
        <w:t xml:space="preserve">  </w:t>
      </w:r>
      <w:r w:rsidRPr="005256F7">
        <w:t xml:space="preserve">The </w:t>
      </w:r>
      <w:r>
        <w:t>results were consistent with the overall population.</w:t>
      </w:r>
    </w:p>
    <w:p w:rsidR="00C15F7B" w:rsidRPr="00A719AF" w:rsidRDefault="00C15F7B" w:rsidP="00006346">
      <w:pPr>
        <w:pStyle w:val="3-BodyText"/>
        <w:numPr>
          <w:ilvl w:val="1"/>
          <w:numId w:val="5"/>
        </w:numPr>
        <w:rPr>
          <w:rFonts w:ascii="Arial Narrow" w:hAnsi="Arial Narrow"/>
          <w:b/>
          <w:sz w:val="20"/>
        </w:rPr>
      </w:pPr>
      <w:r w:rsidRPr="004143B5">
        <w:rPr>
          <w:szCs w:val="22"/>
          <w:lang w:eastAsia="en-US"/>
        </w:rPr>
        <w:t>Approximately 10% of bezlotoxumab patients reported infusion specific AEs, including nausea (3%), headache (2%), dizziness (1%), fatigue (1%) and pyrexia (1%).</w:t>
      </w:r>
    </w:p>
    <w:p w:rsidR="00A719AF" w:rsidRDefault="00D5587A" w:rsidP="00F84C93">
      <w:pPr>
        <w:keepNext/>
        <w:keepLines/>
        <w:jc w:val="left"/>
        <w:rPr>
          <w:rFonts w:ascii="Arial Narrow" w:eastAsiaTheme="majorEastAsia" w:hAnsi="Arial Narrow" w:cstheme="majorBidi"/>
          <w:b/>
          <w:bCs/>
          <w:sz w:val="20"/>
        </w:rPr>
      </w:pPr>
      <w:r w:rsidRPr="00D5587A">
        <w:rPr>
          <w:rFonts w:ascii="Arial Narrow" w:eastAsiaTheme="majorEastAsia" w:hAnsi="Arial Narrow" w:cstheme="majorBidi"/>
          <w:b/>
          <w:bCs/>
          <w:sz w:val="20"/>
        </w:rPr>
        <w:t>Table 7</w:t>
      </w:r>
      <w:r w:rsidR="00A719AF" w:rsidRPr="00D5587A">
        <w:rPr>
          <w:rFonts w:ascii="Arial Narrow" w:eastAsiaTheme="majorEastAsia" w:hAnsi="Arial Narrow" w:cstheme="majorBidi"/>
          <w:b/>
          <w:bCs/>
          <w:sz w:val="20"/>
        </w:rPr>
        <w:t>:</w:t>
      </w:r>
      <w:r w:rsidR="00A719AF" w:rsidRPr="00AE6AE0">
        <w:rPr>
          <w:rFonts w:ascii="Arial Narrow" w:eastAsiaTheme="majorEastAsia" w:hAnsi="Arial Narrow" w:cstheme="majorBidi"/>
          <w:b/>
          <w:bCs/>
          <w:sz w:val="20"/>
        </w:rPr>
        <w:t xml:space="preserve"> Summary o</w:t>
      </w:r>
      <w:r w:rsidR="00A719AF">
        <w:rPr>
          <w:rFonts w:ascii="Arial Narrow" w:eastAsiaTheme="majorEastAsia" w:hAnsi="Arial Narrow" w:cstheme="majorBidi"/>
          <w:b/>
          <w:bCs/>
          <w:sz w:val="20"/>
        </w:rPr>
        <w:t>f Treatment Related adverse events in the subpopulation with ≥1 of 2 risk factors (age ≥</w:t>
      </w:r>
      <w:r w:rsidR="00A719AF" w:rsidRPr="00AE6AE0">
        <w:rPr>
          <w:rFonts w:ascii="Arial Narrow" w:eastAsiaTheme="majorEastAsia" w:hAnsi="Arial Narrow" w:cstheme="majorBidi"/>
          <w:b/>
          <w:bCs/>
          <w:sz w:val="20"/>
        </w:rPr>
        <w:t xml:space="preserve"> </w:t>
      </w:r>
      <w:r w:rsidR="00A719AF">
        <w:rPr>
          <w:rFonts w:ascii="Arial Narrow" w:eastAsiaTheme="majorEastAsia" w:hAnsi="Arial Narrow" w:cstheme="majorBidi"/>
          <w:b/>
          <w:bCs/>
          <w:sz w:val="20"/>
        </w:rPr>
        <w:t xml:space="preserve">65 years; history of CDI in the past 6 month) in </w:t>
      </w:r>
      <w:r w:rsidR="00A719AF" w:rsidRPr="00AE6AE0">
        <w:rPr>
          <w:rFonts w:ascii="Arial Narrow" w:eastAsiaTheme="majorEastAsia" w:hAnsi="Arial Narrow" w:cstheme="majorBidi"/>
          <w:b/>
          <w:bCs/>
          <w:sz w:val="20"/>
        </w:rPr>
        <w:t>MODIFY-I and MODIFY II trials</w:t>
      </w:r>
      <w:r w:rsidR="007534BC">
        <w:rPr>
          <w:rFonts w:ascii="Arial Narrow" w:eastAsiaTheme="majorEastAsia" w:hAnsi="Arial Narrow" w:cstheme="majorBidi"/>
          <w:b/>
          <w:bCs/>
          <w:sz w:val="20"/>
        </w:rPr>
        <w:t xml:space="preserve"> at Week 12 post infusion</w:t>
      </w:r>
    </w:p>
    <w:tbl>
      <w:tblPr>
        <w:tblStyle w:val="TableGrid"/>
        <w:tblW w:w="8926" w:type="dxa"/>
        <w:tblCellMar>
          <w:left w:w="28" w:type="dxa"/>
          <w:right w:w="28" w:type="dxa"/>
        </w:tblCellMar>
        <w:tblLook w:val="04A0" w:firstRow="1" w:lastRow="0" w:firstColumn="1" w:lastColumn="0" w:noHBand="0" w:noVBand="1"/>
        <w:tblCaption w:val="Table 7: Summary of Treatment Related adverse events in the subpopulation with ≥1 of 2 risk factors (age ≥ 65 years; history of CDI in the past 6 month) in MODIFY-I and MODIFY II trials at Week 12 post infusion"/>
      </w:tblPr>
      <w:tblGrid>
        <w:gridCol w:w="2689"/>
        <w:gridCol w:w="1508"/>
        <w:gridCol w:w="1468"/>
        <w:gridCol w:w="1560"/>
        <w:gridCol w:w="1701"/>
      </w:tblGrid>
      <w:tr w:rsidR="007534BC" w:rsidRPr="00AD16D4" w:rsidTr="003B205F">
        <w:trPr>
          <w:tblHeader/>
        </w:trPr>
        <w:tc>
          <w:tcPr>
            <w:tcW w:w="2689" w:type="dxa"/>
            <w:shd w:val="clear" w:color="auto" w:fill="auto"/>
          </w:tcPr>
          <w:p w:rsidR="007534BC" w:rsidRPr="00AD16D4" w:rsidRDefault="007534BC" w:rsidP="00F84C93">
            <w:pPr>
              <w:keepNext/>
              <w:keepLines/>
              <w:widowControl w:val="0"/>
              <w:rPr>
                <w:rFonts w:ascii="Arial Narrow" w:hAnsi="Arial Narrow"/>
                <w:b/>
                <w:bCs/>
                <w:snapToGrid w:val="0"/>
                <w:sz w:val="20"/>
                <w:szCs w:val="20"/>
                <w:lang w:eastAsia="en-US"/>
              </w:rPr>
            </w:pPr>
            <w:r w:rsidRPr="00AD16D4">
              <w:rPr>
                <w:rFonts w:ascii="Arial Narrow" w:hAnsi="Arial Narrow"/>
                <w:b/>
                <w:bCs/>
                <w:snapToGrid w:val="0"/>
                <w:sz w:val="20"/>
                <w:szCs w:val="20"/>
                <w:lang w:eastAsia="en-US"/>
              </w:rPr>
              <w:t>Adverse events (AE)</w:t>
            </w:r>
          </w:p>
        </w:tc>
        <w:tc>
          <w:tcPr>
            <w:tcW w:w="1508" w:type="dxa"/>
            <w:shd w:val="clear" w:color="auto" w:fill="auto"/>
            <w:vAlign w:val="center"/>
          </w:tcPr>
          <w:p w:rsidR="007534BC" w:rsidRPr="00AD16D4" w:rsidRDefault="007534BC" w:rsidP="00F84C93">
            <w:pPr>
              <w:keepNext/>
              <w:keepLines/>
              <w:widowControl w:val="0"/>
              <w:jc w:val="center"/>
              <w:rPr>
                <w:rFonts w:ascii="Arial Narrow" w:hAnsi="Arial Narrow"/>
                <w:b/>
                <w:bCs/>
                <w:snapToGrid w:val="0"/>
                <w:sz w:val="20"/>
                <w:szCs w:val="20"/>
                <w:lang w:eastAsia="en-US"/>
              </w:rPr>
            </w:pPr>
            <w:r>
              <w:rPr>
                <w:rFonts w:ascii="Arial Narrow" w:hAnsi="Arial Narrow"/>
                <w:b/>
                <w:bCs/>
                <w:snapToGrid w:val="0"/>
                <w:sz w:val="20"/>
                <w:szCs w:val="20"/>
                <w:lang w:eastAsia="en-US"/>
              </w:rPr>
              <w:t>Bezlotoxumab N=253</w:t>
            </w:r>
            <w:r w:rsidRPr="00AD16D4">
              <w:rPr>
                <w:rFonts w:ascii="Arial Narrow" w:hAnsi="Arial Narrow"/>
                <w:b/>
                <w:bCs/>
                <w:snapToGrid w:val="0"/>
                <w:sz w:val="20"/>
                <w:szCs w:val="20"/>
                <w:lang w:eastAsia="en-US"/>
              </w:rPr>
              <w:t>, n</w:t>
            </w:r>
            <w:r w:rsidR="000C500F">
              <w:rPr>
                <w:rFonts w:ascii="Arial Narrow" w:hAnsi="Arial Narrow"/>
                <w:b/>
                <w:bCs/>
                <w:snapToGrid w:val="0"/>
                <w:sz w:val="20"/>
                <w:szCs w:val="20"/>
                <w:lang w:eastAsia="en-US"/>
              </w:rPr>
              <w:t xml:space="preserve"> </w:t>
            </w:r>
            <w:r w:rsidRPr="00AD16D4">
              <w:rPr>
                <w:rFonts w:ascii="Arial Narrow" w:hAnsi="Arial Narrow"/>
                <w:b/>
                <w:bCs/>
                <w:snapToGrid w:val="0"/>
                <w:sz w:val="20"/>
                <w:szCs w:val="20"/>
                <w:lang w:eastAsia="en-US"/>
              </w:rPr>
              <w:t>(%)</w:t>
            </w:r>
          </w:p>
        </w:tc>
        <w:tc>
          <w:tcPr>
            <w:tcW w:w="1468" w:type="dxa"/>
            <w:shd w:val="clear" w:color="auto" w:fill="auto"/>
            <w:vAlign w:val="center"/>
          </w:tcPr>
          <w:p w:rsidR="007534BC" w:rsidRDefault="007534BC" w:rsidP="00F84C93">
            <w:pPr>
              <w:keepNext/>
              <w:keepLines/>
              <w:widowControl w:val="0"/>
              <w:jc w:val="center"/>
              <w:rPr>
                <w:rFonts w:ascii="Arial Narrow" w:hAnsi="Arial Narrow"/>
                <w:b/>
                <w:bCs/>
                <w:snapToGrid w:val="0"/>
                <w:sz w:val="20"/>
                <w:szCs w:val="20"/>
                <w:lang w:eastAsia="en-US"/>
              </w:rPr>
            </w:pPr>
            <w:r>
              <w:rPr>
                <w:rFonts w:ascii="Arial Narrow" w:hAnsi="Arial Narrow"/>
                <w:b/>
                <w:bCs/>
                <w:snapToGrid w:val="0"/>
                <w:sz w:val="20"/>
                <w:szCs w:val="20"/>
                <w:lang w:eastAsia="en-US"/>
              </w:rPr>
              <w:t xml:space="preserve">Placebo </w:t>
            </w:r>
          </w:p>
          <w:p w:rsidR="007534BC" w:rsidRPr="00AD16D4" w:rsidRDefault="007534BC" w:rsidP="00F84C93">
            <w:pPr>
              <w:keepNext/>
              <w:keepLines/>
              <w:widowControl w:val="0"/>
              <w:jc w:val="center"/>
              <w:rPr>
                <w:rFonts w:ascii="Arial Narrow" w:hAnsi="Arial Narrow"/>
                <w:b/>
                <w:bCs/>
                <w:snapToGrid w:val="0"/>
                <w:sz w:val="20"/>
                <w:szCs w:val="20"/>
                <w:lang w:eastAsia="en-US"/>
              </w:rPr>
            </w:pPr>
            <w:r>
              <w:rPr>
                <w:rFonts w:ascii="Arial Narrow" w:hAnsi="Arial Narrow"/>
                <w:b/>
                <w:bCs/>
                <w:snapToGrid w:val="0"/>
                <w:sz w:val="20"/>
                <w:szCs w:val="20"/>
                <w:lang w:eastAsia="en-US"/>
              </w:rPr>
              <w:t>N=268</w:t>
            </w:r>
            <w:r w:rsidRPr="00AD16D4">
              <w:rPr>
                <w:rFonts w:ascii="Arial Narrow" w:hAnsi="Arial Narrow"/>
                <w:b/>
                <w:bCs/>
                <w:snapToGrid w:val="0"/>
                <w:sz w:val="20"/>
                <w:szCs w:val="20"/>
                <w:lang w:eastAsia="en-US"/>
              </w:rPr>
              <w:t>, n</w:t>
            </w:r>
            <w:r w:rsidR="000C500F">
              <w:rPr>
                <w:rFonts w:ascii="Arial Narrow" w:hAnsi="Arial Narrow"/>
                <w:b/>
                <w:bCs/>
                <w:snapToGrid w:val="0"/>
                <w:sz w:val="20"/>
                <w:szCs w:val="20"/>
                <w:lang w:eastAsia="en-US"/>
              </w:rPr>
              <w:t xml:space="preserve"> </w:t>
            </w:r>
            <w:r w:rsidRPr="00AD16D4">
              <w:rPr>
                <w:rFonts w:ascii="Arial Narrow" w:hAnsi="Arial Narrow"/>
                <w:b/>
                <w:bCs/>
                <w:snapToGrid w:val="0"/>
                <w:sz w:val="20"/>
                <w:szCs w:val="20"/>
                <w:lang w:eastAsia="en-US"/>
              </w:rPr>
              <w:t>(%)</w:t>
            </w:r>
          </w:p>
        </w:tc>
        <w:tc>
          <w:tcPr>
            <w:tcW w:w="1560" w:type="dxa"/>
            <w:shd w:val="clear" w:color="auto" w:fill="auto"/>
            <w:vAlign w:val="center"/>
          </w:tcPr>
          <w:p w:rsidR="007534BC" w:rsidRDefault="007534BC" w:rsidP="00F84C93">
            <w:pPr>
              <w:keepNext/>
              <w:keepLines/>
              <w:widowControl w:val="0"/>
              <w:jc w:val="center"/>
              <w:rPr>
                <w:rFonts w:ascii="Arial Narrow" w:hAnsi="Arial Narrow"/>
                <w:b/>
                <w:bCs/>
                <w:snapToGrid w:val="0"/>
                <w:sz w:val="20"/>
                <w:szCs w:val="20"/>
                <w:lang w:eastAsia="en-US"/>
              </w:rPr>
            </w:pPr>
            <w:r w:rsidRPr="00AD16D4">
              <w:rPr>
                <w:rFonts w:ascii="Arial Narrow" w:hAnsi="Arial Narrow"/>
                <w:b/>
                <w:bCs/>
                <w:snapToGrid w:val="0"/>
                <w:sz w:val="20"/>
                <w:szCs w:val="20"/>
                <w:lang w:eastAsia="en-US"/>
              </w:rPr>
              <w:t xml:space="preserve">Risk Difference </w:t>
            </w:r>
          </w:p>
          <w:p w:rsidR="007534BC" w:rsidRPr="00AD16D4" w:rsidRDefault="007534BC" w:rsidP="00F84C93">
            <w:pPr>
              <w:keepNext/>
              <w:keepLines/>
              <w:widowControl w:val="0"/>
              <w:jc w:val="center"/>
              <w:rPr>
                <w:rFonts w:ascii="Arial Narrow" w:hAnsi="Arial Narrow"/>
                <w:b/>
                <w:bCs/>
                <w:snapToGrid w:val="0"/>
                <w:sz w:val="20"/>
                <w:szCs w:val="20"/>
                <w:lang w:eastAsia="en-US"/>
              </w:rPr>
            </w:pPr>
            <w:r w:rsidRPr="00AD16D4">
              <w:rPr>
                <w:rFonts w:ascii="Arial Narrow" w:hAnsi="Arial Narrow"/>
                <w:b/>
                <w:bCs/>
                <w:snapToGrid w:val="0"/>
                <w:sz w:val="20"/>
                <w:szCs w:val="20"/>
                <w:lang w:eastAsia="en-US"/>
              </w:rPr>
              <w:t>(95% CI)</w:t>
            </w:r>
            <w:r w:rsidR="00492FB6">
              <w:rPr>
                <w:rFonts w:ascii="Arial Narrow" w:hAnsi="Arial Narrow"/>
                <w:b/>
                <w:bCs/>
                <w:snapToGrid w:val="0"/>
                <w:sz w:val="20"/>
                <w:szCs w:val="20"/>
                <w:lang w:eastAsia="en-US"/>
              </w:rPr>
              <w:t>*</w:t>
            </w:r>
          </w:p>
        </w:tc>
        <w:tc>
          <w:tcPr>
            <w:tcW w:w="1701" w:type="dxa"/>
            <w:shd w:val="clear" w:color="auto" w:fill="auto"/>
            <w:vAlign w:val="center"/>
          </w:tcPr>
          <w:p w:rsidR="007534BC" w:rsidRPr="00AD16D4" w:rsidRDefault="007534BC" w:rsidP="00F84C93">
            <w:pPr>
              <w:keepNext/>
              <w:keepLines/>
              <w:widowControl w:val="0"/>
              <w:jc w:val="center"/>
              <w:rPr>
                <w:rFonts w:ascii="Arial Narrow" w:hAnsi="Arial Narrow"/>
                <w:b/>
                <w:bCs/>
                <w:snapToGrid w:val="0"/>
                <w:sz w:val="20"/>
                <w:szCs w:val="20"/>
                <w:lang w:eastAsia="en-US"/>
              </w:rPr>
            </w:pPr>
            <w:r w:rsidRPr="00AD16D4">
              <w:rPr>
                <w:rFonts w:ascii="Arial Narrow" w:hAnsi="Arial Narrow"/>
                <w:b/>
                <w:bCs/>
                <w:snapToGrid w:val="0"/>
                <w:sz w:val="20"/>
                <w:szCs w:val="20"/>
                <w:lang w:eastAsia="en-US"/>
              </w:rPr>
              <w:t>Relative risk</w:t>
            </w:r>
          </w:p>
          <w:p w:rsidR="007534BC" w:rsidRPr="00AD16D4" w:rsidRDefault="007534BC" w:rsidP="00F84C93">
            <w:pPr>
              <w:keepNext/>
              <w:keepLines/>
              <w:widowControl w:val="0"/>
              <w:jc w:val="center"/>
              <w:rPr>
                <w:rFonts w:ascii="Arial Narrow" w:hAnsi="Arial Narrow"/>
                <w:b/>
                <w:bCs/>
                <w:snapToGrid w:val="0"/>
                <w:sz w:val="20"/>
                <w:szCs w:val="20"/>
                <w:lang w:eastAsia="en-US"/>
              </w:rPr>
            </w:pPr>
            <w:r w:rsidRPr="00AD16D4">
              <w:rPr>
                <w:rFonts w:ascii="Arial Narrow" w:hAnsi="Arial Narrow"/>
                <w:b/>
                <w:bCs/>
                <w:snapToGrid w:val="0"/>
                <w:sz w:val="20"/>
                <w:szCs w:val="20"/>
                <w:lang w:eastAsia="en-US"/>
              </w:rPr>
              <w:t>(95% CI)</w:t>
            </w:r>
            <w:r w:rsidR="00492FB6">
              <w:rPr>
                <w:rFonts w:ascii="Arial Narrow" w:hAnsi="Arial Narrow"/>
                <w:b/>
                <w:bCs/>
                <w:snapToGrid w:val="0"/>
                <w:sz w:val="20"/>
                <w:szCs w:val="20"/>
                <w:lang w:eastAsia="en-US"/>
              </w:rPr>
              <w:t>*</w:t>
            </w:r>
          </w:p>
        </w:tc>
      </w:tr>
      <w:tr w:rsidR="007534BC" w:rsidRPr="00AD16D4" w:rsidTr="007534BC">
        <w:tc>
          <w:tcPr>
            <w:tcW w:w="2689" w:type="dxa"/>
            <w:shd w:val="clear" w:color="auto" w:fill="auto"/>
          </w:tcPr>
          <w:p w:rsidR="007534BC" w:rsidRPr="00AD16D4" w:rsidRDefault="007534BC" w:rsidP="00F84C93">
            <w:pPr>
              <w:keepNext/>
              <w:keepLines/>
              <w:widowControl w:val="0"/>
              <w:rPr>
                <w:rFonts w:ascii="Arial Narrow" w:hAnsi="Arial Narrow"/>
                <w:snapToGrid w:val="0"/>
                <w:sz w:val="20"/>
                <w:szCs w:val="20"/>
                <w:lang w:eastAsia="en-US"/>
              </w:rPr>
            </w:pPr>
            <w:r w:rsidRPr="00AD16D4">
              <w:rPr>
                <w:rFonts w:ascii="Arial Narrow" w:hAnsi="Arial Narrow"/>
                <w:snapToGrid w:val="0"/>
                <w:sz w:val="20"/>
                <w:szCs w:val="20"/>
                <w:lang w:eastAsia="en-US"/>
              </w:rPr>
              <w:t>one or more AE</w:t>
            </w:r>
          </w:p>
        </w:tc>
        <w:tc>
          <w:tcPr>
            <w:tcW w:w="1508" w:type="dxa"/>
            <w:shd w:val="clear" w:color="auto" w:fill="auto"/>
            <w:vAlign w:val="center"/>
          </w:tcPr>
          <w:p w:rsidR="007534BC" w:rsidRPr="00AD16D4" w:rsidRDefault="007534BC" w:rsidP="00F84C93">
            <w:pPr>
              <w:keepNext/>
              <w:keepLines/>
              <w:widowControl w:val="0"/>
              <w:jc w:val="center"/>
              <w:rPr>
                <w:rFonts w:ascii="Arial Narrow" w:hAnsi="Arial Narrow"/>
                <w:snapToGrid w:val="0"/>
                <w:sz w:val="20"/>
                <w:szCs w:val="20"/>
                <w:lang w:eastAsia="en-US"/>
              </w:rPr>
            </w:pPr>
            <w:r>
              <w:rPr>
                <w:rFonts w:ascii="Arial Narrow" w:hAnsi="Arial Narrow"/>
                <w:snapToGrid w:val="0"/>
                <w:sz w:val="20"/>
                <w:szCs w:val="20"/>
                <w:lang w:eastAsia="en-US"/>
              </w:rPr>
              <w:t>172 (68.0</w:t>
            </w:r>
            <w:r w:rsidRPr="00AD16D4">
              <w:rPr>
                <w:rFonts w:ascii="Arial Narrow" w:hAnsi="Arial Narrow"/>
                <w:snapToGrid w:val="0"/>
                <w:sz w:val="20"/>
                <w:szCs w:val="20"/>
                <w:lang w:eastAsia="en-US"/>
              </w:rPr>
              <w:t>)</w:t>
            </w:r>
          </w:p>
        </w:tc>
        <w:tc>
          <w:tcPr>
            <w:tcW w:w="1468" w:type="dxa"/>
            <w:shd w:val="clear" w:color="auto" w:fill="auto"/>
            <w:vAlign w:val="center"/>
          </w:tcPr>
          <w:p w:rsidR="007534BC" w:rsidRPr="00AD16D4" w:rsidRDefault="007534BC" w:rsidP="00F84C93">
            <w:pPr>
              <w:keepNext/>
              <w:keepLines/>
              <w:widowControl w:val="0"/>
              <w:jc w:val="center"/>
              <w:rPr>
                <w:rFonts w:ascii="Arial Narrow" w:hAnsi="Arial Narrow"/>
                <w:snapToGrid w:val="0"/>
                <w:sz w:val="20"/>
                <w:szCs w:val="20"/>
                <w:lang w:eastAsia="en-US"/>
              </w:rPr>
            </w:pPr>
            <w:r>
              <w:rPr>
                <w:rFonts w:ascii="Arial Narrow" w:hAnsi="Arial Narrow"/>
                <w:snapToGrid w:val="0"/>
                <w:sz w:val="20"/>
                <w:szCs w:val="20"/>
                <w:lang w:eastAsia="en-US"/>
              </w:rPr>
              <w:t>188 (70.1</w:t>
            </w:r>
            <w:r w:rsidRPr="00AD16D4">
              <w:rPr>
                <w:rFonts w:ascii="Arial Narrow" w:hAnsi="Arial Narrow"/>
                <w:snapToGrid w:val="0"/>
                <w:sz w:val="20"/>
                <w:szCs w:val="20"/>
                <w:lang w:eastAsia="en-US"/>
              </w:rPr>
              <w:t>)</w:t>
            </w:r>
          </w:p>
        </w:tc>
        <w:tc>
          <w:tcPr>
            <w:tcW w:w="1560" w:type="dxa"/>
            <w:shd w:val="clear" w:color="auto" w:fill="auto"/>
            <w:vAlign w:val="center"/>
          </w:tcPr>
          <w:p w:rsidR="007534BC" w:rsidRPr="00492FB6" w:rsidRDefault="007534BC" w:rsidP="00F84C93">
            <w:pPr>
              <w:keepNext/>
              <w:keepLines/>
              <w:widowControl w:val="0"/>
              <w:jc w:val="center"/>
              <w:rPr>
                <w:rFonts w:ascii="Arial Narrow" w:hAnsi="Arial Narrow"/>
                <w:iCs/>
                <w:snapToGrid w:val="0"/>
                <w:sz w:val="20"/>
                <w:szCs w:val="20"/>
                <w:lang w:eastAsia="en-US"/>
              </w:rPr>
            </w:pPr>
            <w:r w:rsidRPr="00492FB6">
              <w:rPr>
                <w:rFonts w:ascii="Arial Narrow" w:hAnsi="Arial Narrow"/>
                <w:iCs/>
                <w:snapToGrid w:val="0"/>
                <w:sz w:val="20"/>
                <w:szCs w:val="20"/>
                <w:lang w:eastAsia="en-US"/>
              </w:rPr>
              <w:t>-2% (-10%, 6%)</w:t>
            </w:r>
          </w:p>
        </w:tc>
        <w:tc>
          <w:tcPr>
            <w:tcW w:w="1701" w:type="dxa"/>
            <w:shd w:val="clear" w:color="auto" w:fill="auto"/>
            <w:vAlign w:val="center"/>
          </w:tcPr>
          <w:p w:rsidR="007534BC" w:rsidRPr="00492FB6" w:rsidRDefault="007534BC" w:rsidP="00F84C93">
            <w:pPr>
              <w:keepNext/>
              <w:keepLines/>
              <w:widowControl w:val="0"/>
              <w:jc w:val="center"/>
              <w:rPr>
                <w:rFonts w:ascii="Arial Narrow" w:hAnsi="Arial Narrow"/>
                <w:iCs/>
                <w:snapToGrid w:val="0"/>
                <w:sz w:val="20"/>
                <w:szCs w:val="20"/>
                <w:lang w:eastAsia="en-US"/>
              </w:rPr>
            </w:pPr>
            <w:r w:rsidRPr="00492FB6">
              <w:rPr>
                <w:rFonts w:ascii="Arial Narrow" w:hAnsi="Arial Narrow"/>
                <w:iCs/>
                <w:snapToGrid w:val="0"/>
                <w:sz w:val="20"/>
                <w:szCs w:val="20"/>
                <w:lang w:eastAsia="en-US"/>
              </w:rPr>
              <w:t>0.97 (0.86, 1.09)</w:t>
            </w:r>
          </w:p>
        </w:tc>
      </w:tr>
      <w:tr w:rsidR="007534BC" w:rsidRPr="00AD16D4" w:rsidTr="007534BC">
        <w:tc>
          <w:tcPr>
            <w:tcW w:w="2689" w:type="dxa"/>
            <w:shd w:val="clear" w:color="auto" w:fill="auto"/>
          </w:tcPr>
          <w:p w:rsidR="007534BC" w:rsidRPr="00AD16D4" w:rsidRDefault="007534BC" w:rsidP="00F84C93">
            <w:pPr>
              <w:keepNext/>
              <w:keepLines/>
              <w:widowControl w:val="0"/>
              <w:rPr>
                <w:rFonts w:ascii="Arial Narrow" w:hAnsi="Arial Narrow"/>
                <w:snapToGrid w:val="0"/>
                <w:sz w:val="20"/>
                <w:szCs w:val="20"/>
                <w:lang w:eastAsia="en-US"/>
              </w:rPr>
            </w:pPr>
            <w:r w:rsidRPr="00AD16D4">
              <w:rPr>
                <w:rFonts w:ascii="Arial Narrow" w:hAnsi="Arial Narrow"/>
                <w:snapToGrid w:val="0"/>
                <w:sz w:val="20"/>
                <w:szCs w:val="20"/>
                <w:lang w:eastAsia="en-US"/>
              </w:rPr>
              <w:t>drug-related AE</w:t>
            </w:r>
          </w:p>
        </w:tc>
        <w:tc>
          <w:tcPr>
            <w:tcW w:w="1508" w:type="dxa"/>
            <w:shd w:val="clear" w:color="auto" w:fill="auto"/>
            <w:vAlign w:val="center"/>
          </w:tcPr>
          <w:p w:rsidR="007534BC" w:rsidRPr="00AD16D4" w:rsidRDefault="007534BC" w:rsidP="00F84C93">
            <w:pPr>
              <w:keepNext/>
              <w:keepLines/>
              <w:widowControl w:val="0"/>
              <w:jc w:val="center"/>
              <w:rPr>
                <w:rFonts w:ascii="Arial Narrow" w:hAnsi="Arial Narrow"/>
                <w:snapToGrid w:val="0"/>
                <w:sz w:val="20"/>
                <w:szCs w:val="20"/>
                <w:lang w:eastAsia="en-US"/>
              </w:rPr>
            </w:pPr>
            <w:r>
              <w:rPr>
                <w:rFonts w:ascii="Arial Narrow" w:hAnsi="Arial Narrow"/>
                <w:snapToGrid w:val="0"/>
                <w:sz w:val="20"/>
                <w:szCs w:val="20"/>
                <w:lang w:eastAsia="en-US"/>
              </w:rPr>
              <w:t>24 (9.5</w:t>
            </w:r>
            <w:r w:rsidRPr="00AD16D4">
              <w:rPr>
                <w:rFonts w:ascii="Arial Narrow" w:hAnsi="Arial Narrow"/>
                <w:snapToGrid w:val="0"/>
                <w:sz w:val="20"/>
                <w:szCs w:val="20"/>
                <w:lang w:eastAsia="en-US"/>
              </w:rPr>
              <w:t>)</w:t>
            </w:r>
          </w:p>
        </w:tc>
        <w:tc>
          <w:tcPr>
            <w:tcW w:w="1468" w:type="dxa"/>
            <w:shd w:val="clear" w:color="auto" w:fill="auto"/>
            <w:vAlign w:val="center"/>
          </w:tcPr>
          <w:p w:rsidR="007534BC" w:rsidRPr="00AD16D4" w:rsidRDefault="007534BC" w:rsidP="00F84C93">
            <w:pPr>
              <w:keepNext/>
              <w:keepLines/>
              <w:widowControl w:val="0"/>
              <w:jc w:val="center"/>
              <w:rPr>
                <w:rFonts w:ascii="Arial Narrow" w:hAnsi="Arial Narrow"/>
                <w:snapToGrid w:val="0"/>
                <w:sz w:val="20"/>
                <w:szCs w:val="20"/>
                <w:lang w:eastAsia="en-US"/>
              </w:rPr>
            </w:pPr>
            <w:r>
              <w:rPr>
                <w:rFonts w:ascii="Arial Narrow" w:hAnsi="Arial Narrow"/>
                <w:snapToGrid w:val="0"/>
                <w:sz w:val="20"/>
                <w:szCs w:val="20"/>
                <w:lang w:eastAsia="en-US"/>
              </w:rPr>
              <w:t>15 (5.6</w:t>
            </w:r>
            <w:r w:rsidRPr="00AD16D4">
              <w:rPr>
                <w:rFonts w:ascii="Arial Narrow" w:hAnsi="Arial Narrow"/>
                <w:snapToGrid w:val="0"/>
                <w:sz w:val="20"/>
                <w:szCs w:val="20"/>
                <w:lang w:eastAsia="en-US"/>
              </w:rPr>
              <w:t>)</w:t>
            </w:r>
          </w:p>
        </w:tc>
        <w:tc>
          <w:tcPr>
            <w:tcW w:w="1560" w:type="dxa"/>
            <w:shd w:val="clear" w:color="auto" w:fill="auto"/>
            <w:vAlign w:val="center"/>
          </w:tcPr>
          <w:p w:rsidR="007534BC" w:rsidRPr="00492FB6" w:rsidRDefault="007534BC" w:rsidP="00F84C93">
            <w:pPr>
              <w:keepNext/>
              <w:keepLines/>
              <w:widowControl w:val="0"/>
              <w:jc w:val="center"/>
              <w:rPr>
                <w:rFonts w:ascii="Arial Narrow" w:hAnsi="Arial Narrow"/>
                <w:iCs/>
                <w:snapToGrid w:val="0"/>
                <w:sz w:val="20"/>
                <w:szCs w:val="20"/>
                <w:lang w:eastAsia="en-US"/>
              </w:rPr>
            </w:pPr>
            <w:r w:rsidRPr="00492FB6">
              <w:rPr>
                <w:rFonts w:ascii="Arial Narrow" w:hAnsi="Arial Narrow"/>
                <w:iCs/>
                <w:snapToGrid w:val="0"/>
                <w:sz w:val="20"/>
                <w:szCs w:val="20"/>
                <w:lang w:eastAsia="en-US"/>
              </w:rPr>
              <w:t>4% (-1%, 8%)</w:t>
            </w:r>
          </w:p>
        </w:tc>
        <w:tc>
          <w:tcPr>
            <w:tcW w:w="1701" w:type="dxa"/>
            <w:shd w:val="clear" w:color="auto" w:fill="auto"/>
            <w:vAlign w:val="center"/>
          </w:tcPr>
          <w:p w:rsidR="007534BC" w:rsidRPr="00492FB6" w:rsidRDefault="007534BC" w:rsidP="00F84C93">
            <w:pPr>
              <w:keepNext/>
              <w:keepLines/>
              <w:widowControl w:val="0"/>
              <w:jc w:val="center"/>
              <w:rPr>
                <w:rFonts w:ascii="Arial Narrow" w:hAnsi="Arial Narrow"/>
                <w:iCs/>
                <w:snapToGrid w:val="0"/>
                <w:sz w:val="20"/>
                <w:szCs w:val="20"/>
                <w:lang w:eastAsia="en-US"/>
              </w:rPr>
            </w:pPr>
            <w:r w:rsidRPr="00492FB6">
              <w:rPr>
                <w:rFonts w:ascii="Arial Narrow" w:hAnsi="Arial Narrow"/>
                <w:iCs/>
                <w:snapToGrid w:val="0"/>
                <w:sz w:val="20"/>
                <w:szCs w:val="20"/>
                <w:lang w:eastAsia="en-US"/>
              </w:rPr>
              <w:t>1.69 (0.91, 3.16)</w:t>
            </w:r>
          </w:p>
        </w:tc>
      </w:tr>
      <w:tr w:rsidR="007534BC" w:rsidRPr="00AD16D4" w:rsidTr="007534BC">
        <w:tc>
          <w:tcPr>
            <w:tcW w:w="2689" w:type="dxa"/>
            <w:shd w:val="clear" w:color="auto" w:fill="auto"/>
          </w:tcPr>
          <w:p w:rsidR="007534BC" w:rsidRPr="00AD16D4" w:rsidRDefault="007534BC" w:rsidP="00F84C93">
            <w:pPr>
              <w:keepNext/>
              <w:keepLines/>
              <w:widowControl w:val="0"/>
              <w:rPr>
                <w:rFonts w:ascii="Arial Narrow" w:hAnsi="Arial Narrow"/>
                <w:snapToGrid w:val="0"/>
                <w:sz w:val="20"/>
                <w:szCs w:val="20"/>
                <w:lang w:eastAsia="en-US"/>
              </w:rPr>
            </w:pPr>
            <w:r w:rsidRPr="00AD16D4">
              <w:rPr>
                <w:rFonts w:ascii="Arial Narrow" w:hAnsi="Arial Narrow"/>
                <w:snapToGrid w:val="0"/>
                <w:sz w:val="20"/>
                <w:szCs w:val="20"/>
                <w:lang w:eastAsia="en-US"/>
              </w:rPr>
              <w:t>serious AE</w:t>
            </w:r>
          </w:p>
        </w:tc>
        <w:tc>
          <w:tcPr>
            <w:tcW w:w="1508" w:type="dxa"/>
            <w:shd w:val="clear" w:color="auto" w:fill="auto"/>
            <w:vAlign w:val="center"/>
          </w:tcPr>
          <w:p w:rsidR="007534BC" w:rsidRPr="00AD16D4" w:rsidRDefault="007534BC" w:rsidP="00F84C93">
            <w:pPr>
              <w:keepNext/>
              <w:keepLines/>
              <w:widowControl w:val="0"/>
              <w:jc w:val="center"/>
              <w:rPr>
                <w:rFonts w:ascii="Arial Narrow" w:hAnsi="Arial Narrow"/>
                <w:snapToGrid w:val="0"/>
                <w:sz w:val="20"/>
                <w:szCs w:val="20"/>
                <w:lang w:eastAsia="en-US"/>
              </w:rPr>
            </w:pPr>
            <w:r>
              <w:rPr>
                <w:rFonts w:ascii="Arial Narrow" w:hAnsi="Arial Narrow"/>
                <w:snapToGrid w:val="0"/>
                <w:sz w:val="20"/>
                <w:szCs w:val="20"/>
                <w:lang w:eastAsia="en-US"/>
              </w:rPr>
              <w:t>90</w:t>
            </w:r>
            <w:r w:rsidRPr="00AD16D4">
              <w:rPr>
                <w:rFonts w:ascii="Arial Narrow" w:hAnsi="Arial Narrow"/>
                <w:snapToGrid w:val="0"/>
                <w:sz w:val="20"/>
                <w:szCs w:val="20"/>
                <w:lang w:eastAsia="en-US"/>
              </w:rPr>
              <w:t xml:space="preserve"> </w:t>
            </w:r>
            <w:r>
              <w:rPr>
                <w:rFonts w:ascii="Arial Narrow" w:hAnsi="Arial Narrow"/>
                <w:snapToGrid w:val="0"/>
                <w:sz w:val="20"/>
                <w:szCs w:val="20"/>
                <w:lang w:eastAsia="en-US"/>
              </w:rPr>
              <w:t>(35.6</w:t>
            </w:r>
            <w:r w:rsidRPr="00AD16D4">
              <w:rPr>
                <w:rFonts w:ascii="Arial Narrow" w:hAnsi="Arial Narrow"/>
                <w:snapToGrid w:val="0"/>
                <w:sz w:val="20"/>
                <w:szCs w:val="20"/>
                <w:lang w:eastAsia="en-US"/>
              </w:rPr>
              <w:t>)</w:t>
            </w:r>
          </w:p>
        </w:tc>
        <w:tc>
          <w:tcPr>
            <w:tcW w:w="1468" w:type="dxa"/>
            <w:shd w:val="clear" w:color="auto" w:fill="auto"/>
            <w:vAlign w:val="center"/>
          </w:tcPr>
          <w:p w:rsidR="007534BC" w:rsidRPr="00AD16D4" w:rsidRDefault="007534BC" w:rsidP="00F84C93">
            <w:pPr>
              <w:keepNext/>
              <w:keepLines/>
              <w:widowControl w:val="0"/>
              <w:jc w:val="center"/>
              <w:rPr>
                <w:rFonts w:ascii="Arial Narrow" w:hAnsi="Arial Narrow"/>
                <w:snapToGrid w:val="0"/>
                <w:sz w:val="20"/>
                <w:szCs w:val="20"/>
                <w:lang w:eastAsia="en-US"/>
              </w:rPr>
            </w:pPr>
            <w:r>
              <w:rPr>
                <w:rFonts w:ascii="Arial Narrow" w:hAnsi="Arial Narrow"/>
                <w:snapToGrid w:val="0"/>
                <w:sz w:val="20"/>
                <w:szCs w:val="20"/>
                <w:lang w:eastAsia="en-US"/>
              </w:rPr>
              <w:t>103 (38.4</w:t>
            </w:r>
            <w:r w:rsidRPr="00AD16D4">
              <w:rPr>
                <w:rFonts w:ascii="Arial Narrow" w:hAnsi="Arial Narrow"/>
                <w:snapToGrid w:val="0"/>
                <w:sz w:val="20"/>
                <w:szCs w:val="20"/>
                <w:lang w:eastAsia="en-US"/>
              </w:rPr>
              <w:t>)</w:t>
            </w:r>
          </w:p>
        </w:tc>
        <w:tc>
          <w:tcPr>
            <w:tcW w:w="1560" w:type="dxa"/>
            <w:shd w:val="clear" w:color="auto" w:fill="auto"/>
            <w:vAlign w:val="center"/>
          </w:tcPr>
          <w:p w:rsidR="007534BC" w:rsidRPr="00492FB6" w:rsidRDefault="007534BC" w:rsidP="00F84C93">
            <w:pPr>
              <w:keepNext/>
              <w:keepLines/>
              <w:widowControl w:val="0"/>
              <w:jc w:val="center"/>
              <w:rPr>
                <w:rFonts w:ascii="Arial Narrow" w:hAnsi="Arial Narrow"/>
                <w:iCs/>
                <w:snapToGrid w:val="0"/>
                <w:sz w:val="20"/>
                <w:szCs w:val="20"/>
                <w:lang w:eastAsia="en-US"/>
              </w:rPr>
            </w:pPr>
            <w:r w:rsidRPr="00492FB6">
              <w:rPr>
                <w:rFonts w:ascii="Arial Narrow" w:hAnsi="Arial Narrow"/>
                <w:iCs/>
                <w:snapToGrid w:val="0"/>
                <w:sz w:val="20"/>
                <w:szCs w:val="20"/>
                <w:lang w:eastAsia="en-US"/>
              </w:rPr>
              <w:t>-3% (-11%, 5%)</w:t>
            </w:r>
          </w:p>
        </w:tc>
        <w:tc>
          <w:tcPr>
            <w:tcW w:w="1701" w:type="dxa"/>
            <w:shd w:val="clear" w:color="auto" w:fill="auto"/>
            <w:vAlign w:val="center"/>
          </w:tcPr>
          <w:p w:rsidR="007534BC" w:rsidRPr="00492FB6" w:rsidRDefault="007534BC" w:rsidP="00F84C93">
            <w:pPr>
              <w:keepNext/>
              <w:keepLines/>
              <w:widowControl w:val="0"/>
              <w:jc w:val="center"/>
              <w:rPr>
                <w:rFonts w:ascii="Arial Narrow" w:hAnsi="Arial Narrow"/>
                <w:iCs/>
                <w:snapToGrid w:val="0"/>
                <w:sz w:val="20"/>
                <w:szCs w:val="20"/>
                <w:lang w:eastAsia="en-US"/>
              </w:rPr>
            </w:pPr>
            <w:r w:rsidRPr="00492FB6">
              <w:rPr>
                <w:rFonts w:ascii="Arial Narrow" w:hAnsi="Arial Narrow"/>
                <w:iCs/>
                <w:snapToGrid w:val="0"/>
                <w:sz w:val="20"/>
                <w:szCs w:val="20"/>
                <w:lang w:eastAsia="en-US"/>
              </w:rPr>
              <w:t>0.93 (0.74, 1.16)</w:t>
            </w:r>
          </w:p>
        </w:tc>
      </w:tr>
      <w:tr w:rsidR="007534BC" w:rsidRPr="00AD16D4" w:rsidTr="007534BC">
        <w:tc>
          <w:tcPr>
            <w:tcW w:w="2689" w:type="dxa"/>
            <w:shd w:val="clear" w:color="auto" w:fill="auto"/>
          </w:tcPr>
          <w:p w:rsidR="007534BC" w:rsidRPr="00AD16D4" w:rsidRDefault="007534BC" w:rsidP="00F84C93">
            <w:pPr>
              <w:keepNext/>
              <w:keepLines/>
              <w:widowControl w:val="0"/>
              <w:rPr>
                <w:rFonts w:ascii="Arial Narrow" w:hAnsi="Arial Narrow"/>
                <w:snapToGrid w:val="0"/>
                <w:sz w:val="20"/>
                <w:szCs w:val="20"/>
                <w:lang w:eastAsia="en-US"/>
              </w:rPr>
            </w:pPr>
            <w:r w:rsidRPr="00AD16D4">
              <w:rPr>
                <w:rFonts w:ascii="Arial Narrow" w:hAnsi="Arial Narrow"/>
                <w:snapToGrid w:val="0"/>
                <w:sz w:val="20"/>
                <w:szCs w:val="20"/>
                <w:lang w:eastAsia="en-US"/>
              </w:rPr>
              <w:t>serious drug-related AE</w:t>
            </w:r>
          </w:p>
        </w:tc>
        <w:tc>
          <w:tcPr>
            <w:tcW w:w="1508" w:type="dxa"/>
            <w:shd w:val="clear" w:color="auto" w:fill="auto"/>
            <w:vAlign w:val="center"/>
          </w:tcPr>
          <w:p w:rsidR="007534BC" w:rsidRPr="00AD16D4" w:rsidRDefault="007534BC" w:rsidP="00F84C93">
            <w:pPr>
              <w:keepNext/>
              <w:keepLines/>
              <w:widowControl w:val="0"/>
              <w:jc w:val="center"/>
              <w:rPr>
                <w:rFonts w:ascii="Arial Narrow" w:hAnsi="Arial Narrow"/>
                <w:snapToGrid w:val="0"/>
                <w:sz w:val="20"/>
                <w:szCs w:val="20"/>
                <w:lang w:eastAsia="en-US"/>
              </w:rPr>
            </w:pPr>
            <w:r>
              <w:rPr>
                <w:rFonts w:ascii="Arial Narrow" w:hAnsi="Arial Narrow"/>
                <w:snapToGrid w:val="0"/>
                <w:sz w:val="20"/>
                <w:szCs w:val="20"/>
                <w:lang w:eastAsia="en-US"/>
              </w:rPr>
              <w:t>3 (1.2</w:t>
            </w:r>
            <w:r w:rsidRPr="00AD16D4">
              <w:rPr>
                <w:rFonts w:ascii="Arial Narrow" w:hAnsi="Arial Narrow"/>
                <w:snapToGrid w:val="0"/>
                <w:sz w:val="20"/>
                <w:szCs w:val="20"/>
                <w:lang w:eastAsia="en-US"/>
              </w:rPr>
              <w:t>)</w:t>
            </w:r>
          </w:p>
        </w:tc>
        <w:tc>
          <w:tcPr>
            <w:tcW w:w="1468" w:type="dxa"/>
            <w:shd w:val="clear" w:color="auto" w:fill="auto"/>
            <w:vAlign w:val="center"/>
          </w:tcPr>
          <w:p w:rsidR="007534BC" w:rsidRPr="00AD16D4" w:rsidRDefault="007534BC" w:rsidP="00F84C93">
            <w:pPr>
              <w:keepNext/>
              <w:keepLines/>
              <w:widowControl w:val="0"/>
              <w:jc w:val="center"/>
              <w:rPr>
                <w:rFonts w:ascii="Arial Narrow" w:hAnsi="Arial Narrow"/>
                <w:snapToGrid w:val="0"/>
                <w:sz w:val="20"/>
                <w:szCs w:val="20"/>
                <w:lang w:eastAsia="en-US"/>
              </w:rPr>
            </w:pPr>
            <w:r>
              <w:rPr>
                <w:rFonts w:ascii="Arial Narrow" w:hAnsi="Arial Narrow"/>
                <w:snapToGrid w:val="0"/>
                <w:sz w:val="20"/>
                <w:szCs w:val="20"/>
                <w:lang w:eastAsia="en-US"/>
              </w:rPr>
              <w:t>1 (0.4</w:t>
            </w:r>
            <w:r w:rsidRPr="00AD16D4">
              <w:rPr>
                <w:rFonts w:ascii="Arial Narrow" w:hAnsi="Arial Narrow"/>
                <w:snapToGrid w:val="0"/>
                <w:sz w:val="20"/>
                <w:szCs w:val="20"/>
                <w:lang w:eastAsia="en-US"/>
              </w:rPr>
              <w:t>)</w:t>
            </w:r>
          </w:p>
        </w:tc>
        <w:tc>
          <w:tcPr>
            <w:tcW w:w="1560" w:type="dxa"/>
            <w:shd w:val="clear" w:color="auto" w:fill="auto"/>
            <w:vAlign w:val="center"/>
          </w:tcPr>
          <w:p w:rsidR="007534BC" w:rsidRPr="00492FB6" w:rsidRDefault="007534BC" w:rsidP="00F84C93">
            <w:pPr>
              <w:keepNext/>
              <w:keepLines/>
              <w:widowControl w:val="0"/>
              <w:jc w:val="center"/>
              <w:rPr>
                <w:rFonts w:ascii="Arial Narrow" w:hAnsi="Arial Narrow"/>
                <w:iCs/>
                <w:snapToGrid w:val="0"/>
                <w:sz w:val="20"/>
                <w:szCs w:val="20"/>
                <w:lang w:eastAsia="en-US"/>
              </w:rPr>
            </w:pPr>
            <w:r w:rsidRPr="00492FB6">
              <w:rPr>
                <w:rFonts w:ascii="Arial Narrow" w:hAnsi="Arial Narrow"/>
                <w:iCs/>
                <w:snapToGrid w:val="0"/>
                <w:sz w:val="20"/>
                <w:szCs w:val="20"/>
                <w:lang w:eastAsia="en-US"/>
              </w:rPr>
              <w:t>1% (-1%, 2%)</w:t>
            </w:r>
          </w:p>
        </w:tc>
        <w:tc>
          <w:tcPr>
            <w:tcW w:w="1701" w:type="dxa"/>
            <w:shd w:val="clear" w:color="auto" w:fill="auto"/>
            <w:vAlign w:val="center"/>
          </w:tcPr>
          <w:p w:rsidR="007534BC" w:rsidRPr="00492FB6" w:rsidRDefault="007534BC" w:rsidP="00F84C93">
            <w:pPr>
              <w:keepNext/>
              <w:keepLines/>
              <w:widowControl w:val="0"/>
              <w:jc w:val="center"/>
              <w:rPr>
                <w:rFonts w:ascii="Arial Narrow" w:hAnsi="Arial Narrow"/>
                <w:iCs/>
                <w:snapToGrid w:val="0"/>
                <w:sz w:val="20"/>
                <w:szCs w:val="20"/>
                <w:lang w:eastAsia="en-US"/>
              </w:rPr>
            </w:pPr>
            <w:r w:rsidRPr="00492FB6">
              <w:rPr>
                <w:rFonts w:ascii="Arial Narrow" w:hAnsi="Arial Narrow"/>
                <w:iCs/>
                <w:snapToGrid w:val="0"/>
                <w:sz w:val="20"/>
                <w:szCs w:val="20"/>
                <w:lang w:eastAsia="en-US"/>
              </w:rPr>
              <w:t>3.18 (0.33, 30.35)</w:t>
            </w:r>
          </w:p>
        </w:tc>
      </w:tr>
      <w:tr w:rsidR="007534BC" w:rsidRPr="00AD16D4" w:rsidTr="007534BC">
        <w:tc>
          <w:tcPr>
            <w:tcW w:w="2689" w:type="dxa"/>
            <w:shd w:val="clear" w:color="auto" w:fill="auto"/>
          </w:tcPr>
          <w:p w:rsidR="007534BC" w:rsidRPr="00AD16D4" w:rsidRDefault="00BD4629" w:rsidP="00F84C93">
            <w:pPr>
              <w:keepNext/>
              <w:keepLines/>
              <w:widowControl w:val="0"/>
              <w:rPr>
                <w:rFonts w:ascii="Arial Narrow" w:hAnsi="Arial Narrow"/>
                <w:snapToGrid w:val="0"/>
                <w:sz w:val="20"/>
                <w:szCs w:val="20"/>
                <w:lang w:eastAsia="en-US"/>
              </w:rPr>
            </w:pPr>
            <w:r w:rsidRPr="00AD16D4">
              <w:rPr>
                <w:rFonts w:ascii="Arial Narrow" w:hAnsi="Arial Narrow"/>
                <w:snapToGrid w:val="0"/>
                <w:sz w:val="20"/>
                <w:szCs w:val="20"/>
                <w:lang w:eastAsia="en-US"/>
              </w:rPr>
              <w:t>D</w:t>
            </w:r>
            <w:r w:rsidR="007534BC" w:rsidRPr="00AD16D4">
              <w:rPr>
                <w:rFonts w:ascii="Arial Narrow" w:hAnsi="Arial Narrow"/>
                <w:snapToGrid w:val="0"/>
                <w:sz w:val="20"/>
                <w:szCs w:val="20"/>
                <w:lang w:eastAsia="en-US"/>
              </w:rPr>
              <w:t>eath</w:t>
            </w:r>
          </w:p>
        </w:tc>
        <w:tc>
          <w:tcPr>
            <w:tcW w:w="1508" w:type="dxa"/>
            <w:shd w:val="clear" w:color="auto" w:fill="auto"/>
            <w:vAlign w:val="center"/>
          </w:tcPr>
          <w:p w:rsidR="007534BC" w:rsidRPr="00AD16D4" w:rsidRDefault="007534BC" w:rsidP="00F84C93">
            <w:pPr>
              <w:keepNext/>
              <w:keepLines/>
              <w:widowControl w:val="0"/>
              <w:jc w:val="center"/>
              <w:rPr>
                <w:rFonts w:ascii="Arial Narrow" w:hAnsi="Arial Narrow"/>
                <w:snapToGrid w:val="0"/>
                <w:sz w:val="20"/>
                <w:szCs w:val="20"/>
                <w:lang w:eastAsia="en-US"/>
              </w:rPr>
            </w:pPr>
            <w:r>
              <w:rPr>
                <w:rFonts w:ascii="Arial Narrow" w:hAnsi="Arial Narrow"/>
                <w:snapToGrid w:val="0"/>
                <w:sz w:val="20"/>
                <w:szCs w:val="20"/>
                <w:lang w:eastAsia="en-US"/>
              </w:rPr>
              <w:t>28 (11.1</w:t>
            </w:r>
            <w:r w:rsidRPr="00AD16D4">
              <w:rPr>
                <w:rFonts w:ascii="Arial Narrow" w:hAnsi="Arial Narrow"/>
                <w:snapToGrid w:val="0"/>
                <w:sz w:val="20"/>
                <w:szCs w:val="20"/>
                <w:lang w:eastAsia="en-US"/>
              </w:rPr>
              <w:t>)</w:t>
            </w:r>
          </w:p>
        </w:tc>
        <w:tc>
          <w:tcPr>
            <w:tcW w:w="1468" w:type="dxa"/>
            <w:shd w:val="clear" w:color="auto" w:fill="auto"/>
            <w:vAlign w:val="center"/>
          </w:tcPr>
          <w:p w:rsidR="007534BC" w:rsidRPr="00AD16D4" w:rsidRDefault="007534BC" w:rsidP="00F84C93">
            <w:pPr>
              <w:keepNext/>
              <w:keepLines/>
              <w:widowControl w:val="0"/>
              <w:jc w:val="center"/>
              <w:rPr>
                <w:rFonts w:ascii="Arial Narrow" w:hAnsi="Arial Narrow"/>
                <w:snapToGrid w:val="0"/>
                <w:sz w:val="20"/>
                <w:szCs w:val="20"/>
                <w:lang w:eastAsia="en-US"/>
              </w:rPr>
            </w:pPr>
            <w:r>
              <w:rPr>
                <w:rFonts w:ascii="Arial Narrow" w:hAnsi="Arial Narrow"/>
                <w:snapToGrid w:val="0"/>
                <w:sz w:val="20"/>
                <w:szCs w:val="20"/>
                <w:lang w:eastAsia="en-US"/>
              </w:rPr>
              <w:t>24 (9.0</w:t>
            </w:r>
            <w:r w:rsidRPr="00AD16D4">
              <w:rPr>
                <w:rFonts w:ascii="Arial Narrow" w:hAnsi="Arial Narrow"/>
                <w:snapToGrid w:val="0"/>
                <w:sz w:val="20"/>
                <w:szCs w:val="20"/>
                <w:lang w:eastAsia="en-US"/>
              </w:rPr>
              <w:t>)</w:t>
            </w:r>
          </w:p>
        </w:tc>
        <w:tc>
          <w:tcPr>
            <w:tcW w:w="1560" w:type="dxa"/>
            <w:shd w:val="clear" w:color="auto" w:fill="auto"/>
            <w:vAlign w:val="center"/>
          </w:tcPr>
          <w:p w:rsidR="007534BC" w:rsidRPr="00492FB6" w:rsidRDefault="007534BC" w:rsidP="00F84C93">
            <w:pPr>
              <w:keepNext/>
              <w:keepLines/>
              <w:widowControl w:val="0"/>
              <w:jc w:val="center"/>
              <w:rPr>
                <w:rFonts w:ascii="Arial Narrow" w:hAnsi="Arial Narrow"/>
                <w:iCs/>
                <w:snapToGrid w:val="0"/>
                <w:sz w:val="20"/>
                <w:szCs w:val="20"/>
                <w:lang w:eastAsia="en-US"/>
              </w:rPr>
            </w:pPr>
            <w:r w:rsidRPr="00492FB6">
              <w:rPr>
                <w:rFonts w:ascii="Arial Narrow" w:hAnsi="Arial Narrow"/>
                <w:iCs/>
                <w:snapToGrid w:val="0"/>
                <w:sz w:val="20"/>
                <w:szCs w:val="20"/>
                <w:lang w:eastAsia="en-US"/>
              </w:rPr>
              <w:t>2% (-3%, 7%)</w:t>
            </w:r>
          </w:p>
        </w:tc>
        <w:tc>
          <w:tcPr>
            <w:tcW w:w="1701" w:type="dxa"/>
            <w:shd w:val="clear" w:color="auto" w:fill="auto"/>
            <w:vAlign w:val="center"/>
          </w:tcPr>
          <w:p w:rsidR="007534BC" w:rsidRPr="00492FB6" w:rsidRDefault="007534BC" w:rsidP="00F84C93">
            <w:pPr>
              <w:keepNext/>
              <w:keepLines/>
              <w:widowControl w:val="0"/>
              <w:jc w:val="center"/>
              <w:rPr>
                <w:rFonts w:ascii="Arial Narrow" w:hAnsi="Arial Narrow"/>
                <w:iCs/>
                <w:snapToGrid w:val="0"/>
                <w:sz w:val="20"/>
                <w:szCs w:val="20"/>
                <w:lang w:eastAsia="en-US"/>
              </w:rPr>
            </w:pPr>
            <w:r w:rsidRPr="00492FB6">
              <w:rPr>
                <w:rFonts w:ascii="Arial Narrow" w:hAnsi="Arial Narrow"/>
                <w:iCs/>
                <w:snapToGrid w:val="0"/>
                <w:sz w:val="20"/>
                <w:szCs w:val="20"/>
                <w:lang w:eastAsia="en-US"/>
              </w:rPr>
              <w:t>1.24 (0.74, 2.07)</w:t>
            </w:r>
          </w:p>
        </w:tc>
      </w:tr>
      <w:tr w:rsidR="007534BC" w:rsidRPr="00AD16D4" w:rsidTr="007534BC">
        <w:tc>
          <w:tcPr>
            <w:tcW w:w="2689" w:type="dxa"/>
            <w:shd w:val="clear" w:color="auto" w:fill="auto"/>
          </w:tcPr>
          <w:p w:rsidR="007534BC" w:rsidRPr="00AD16D4" w:rsidRDefault="007534BC" w:rsidP="00F84C93">
            <w:pPr>
              <w:keepNext/>
              <w:keepLines/>
              <w:widowControl w:val="0"/>
              <w:rPr>
                <w:rFonts w:ascii="Arial Narrow" w:hAnsi="Arial Narrow"/>
                <w:snapToGrid w:val="0"/>
                <w:sz w:val="20"/>
                <w:szCs w:val="20"/>
                <w:lang w:eastAsia="en-US"/>
              </w:rPr>
            </w:pPr>
            <w:r w:rsidRPr="00AD16D4">
              <w:rPr>
                <w:rFonts w:ascii="Arial Narrow" w:hAnsi="Arial Narrow"/>
                <w:snapToGrid w:val="0"/>
                <w:sz w:val="20"/>
                <w:szCs w:val="20"/>
                <w:lang w:eastAsia="en-US"/>
              </w:rPr>
              <w:t>discontinued due to an AE</w:t>
            </w:r>
          </w:p>
        </w:tc>
        <w:tc>
          <w:tcPr>
            <w:tcW w:w="1508" w:type="dxa"/>
            <w:shd w:val="clear" w:color="auto" w:fill="auto"/>
            <w:vAlign w:val="center"/>
          </w:tcPr>
          <w:p w:rsidR="007534BC" w:rsidRPr="00AD16D4" w:rsidRDefault="007534BC" w:rsidP="00F84C93">
            <w:pPr>
              <w:keepNext/>
              <w:keepLines/>
              <w:widowControl w:val="0"/>
              <w:jc w:val="center"/>
              <w:rPr>
                <w:rFonts w:ascii="Arial Narrow" w:hAnsi="Arial Narrow"/>
                <w:snapToGrid w:val="0"/>
                <w:sz w:val="20"/>
                <w:szCs w:val="20"/>
                <w:lang w:eastAsia="en-US"/>
              </w:rPr>
            </w:pPr>
            <w:r w:rsidRPr="00AD16D4">
              <w:rPr>
                <w:rFonts w:ascii="Arial Narrow" w:hAnsi="Arial Narrow"/>
                <w:snapToGrid w:val="0"/>
                <w:sz w:val="20"/>
                <w:szCs w:val="20"/>
                <w:lang w:eastAsia="en-US"/>
              </w:rPr>
              <w:t>0</w:t>
            </w:r>
          </w:p>
        </w:tc>
        <w:tc>
          <w:tcPr>
            <w:tcW w:w="1468" w:type="dxa"/>
            <w:shd w:val="clear" w:color="auto" w:fill="auto"/>
            <w:vAlign w:val="center"/>
          </w:tcPr>
          <w:p w:rsidR="007534BC" w:rsidRPr="00AD16D4" w:rsidRDefault="007534BC" w:rsidP="00F84C93">
            <w:pPr>
              <w:keepNext/>
              <w:keepLines/>
              <w:widowControl w:val="0"/>
              <w:jc w:val="center"/>
              <w:rPr>
                <w:rFonts w:ascii="Arial Narrow" w:hAnsi="Arial Narrow"/>
                <w:snapToGrid w:val="0"/>
                <w:sz w:val="20"/>
                <w:szCs w:val="20"/>
                <w:lang w:eastAsia="en-US"/>
              </w:rPr>
            </w:pPr>
            <w:r w:rsidRPr="00AD16D4">
              <w:rPr>
                <w:rFonts w:ascii="Arial Narrow" w:hAnsi="Arial Narrow"/>
                <w:snapToGrid w:val="0"/>
                <w:sz w:val="20"/>
                <w:szCs w:val="20"/>
                <w:lang w:eastAsia="en-US"/>
              </w:rPr>
              <w:t>0</w:t>
            </w:r>
          </w:p>
        </w:tc>
        <w:tc>
          <w:tcPr>
            <w:tcW w:w="1560" w:type="dxa"/>
            <w:shd w:val="clear" w:color="auto" w:fill="auto"/>
            <w:vAlign w:val="center"/>
          </w:tcPr>
          <w:p w:rsidR="007534BC" w:rsidRPr="00AD16D4" w:rsidRDefault="007534BC" w:rsidP="00F84C93">
            <w:pPr>
              <w:keepNext/>
              <w:keepLines/>
              <w:widowControl w:val="0"/>
              <w:jc w:val="center"/>
              <w:rPr>
                <w:rFonts w:ascii="Arial Narrow" w:hAnsi="Arial Narrow"/>
                <w:i/>
                <w:iCs/>
                <w:snapToGrid w:val="0"/>
                <w:sz w:val="20"/>
                <w:szCs w:val="20"/>
                <w:lang w:eastAsia="en-US"/>
              </w:rPr>
            </w:pPr>
            <w:r w:rsidRPr="00AD16D4">
              <w:rPr>
                <w:rFonts w:ascii="Arial Narrow" w:hAnsi="Arial Narrow"/>
                <w:i/>
                <w:iCs/>
                <w:snapToGrid w:val="0"/>
                <w:sz w:val="20"/>
                <w:szCs w:val="20"/>
                <w:lang w:eastAsia="en-US"/>
              </w:rPr>
              <w:t>-</w:t>
            </w:r>
          </w:p>
        </w:tc>
        <w:tc>
          <w:tcPr>
            <w:tcW w:w="1701" w:type="dxa"/>
            <w:shd w:val="clear" w:color="auto" w:fill="auto"/>
            <w:vAlign w:val="center"/>
          </w:tcPr>
          <w:p w:rsidR="007534BC" w:rsidRPr="00AD16D4" w:rsidRDefault="007534BC" w:rsidP="00F84C93">
            <w:pPr>
              <w:keepNext/>
              <w:keepLines/>
              <w:widowControl w:val="0"/>
              <w:jc w:val="center"/>
              <w:rPr>
                <w:rFonts w:ascii="Arial Narrow" w:hAnsi="Arial Narrow"/>
                <w:i/>
                <w:iCs/>
                <w:snapToGrid w:val="0"/>
                <w:sz w:val="20"/>
                <w:szCs w:val="20"/>
                <w:lang w:eastAsia="en-US"/>
              </w:rPr>
            </w:pPr>
            <w:r w:rsidRPr="00AD16D4">
              <w:rPr>
                <w:rFonts w:ascii="Arial Narrow" w:hAnsi="Arial Narrow"/>
                <w:i/>
                <w:iCs/>
                <w:snapToGrid w:val="0"/>
                <w:sz w:val="20"/>
                <w:szCs w:val="20"/>
                <w:lang w:eastAsia="en-US"/>
              </w:rPr>
              <w:t>-</w:t>
            </w:r>
          </w:p>
        </w:tc>
      </w:tr>
    </w:tbl>
    <w:p w:rsidR="00A719AF" w:rsidRPr="00492FB6" w:rsidRDefault="00492FB6" w:rsidP="00A719AF">
      <w:pPr>
        <w:keepNext/>
        <w:jc w:val="left"/>
        <w:rPr>
          <w:rFonts w:ascii="Arial Narrow" w:eastAsiaTheme="majorEastAsia" w:hAnsi="Arial Narrow" w:cstheme="majorBidi"/>
          <w:iCs/>
          <w:sz w:val="18"/>
          <w:szCs w:val="18"/>
        </w:rPr>
      </w:pPr>
      <w:r w:rsidRPr="00492FB6">
        <w:rPr>
          <w:rFonts w:ascii="Arial Narrow" w:eastAsiaTheme="majorEastAsia" w:hAnsi="Arial Narrow" w:cstheme="majorBidi"/>
          <w:iCs/>
          <w:sz w:val="18"/>
          <w:szCs w:val="18"/>
        </w:rPr>
        <w:t>*I</w:t>
      </w:r>
      <w:r w:rsidR="00A719AF" w:rsidRPr="00492FB6">
        <w:rPr>
          <w:rFonts w:ascii="Arial Narrow" w:eastAsiaTheme="majorEastAsia" w:hAnsi="Arial Narrow" w:cstheme="majorBidi"/>
          <w:iCs/>
          <w:sz w:val="18"/>
          <w:szCs w:val="18"/>
        </w:rPr>
        <w:t>ndicate</w:t>
      </w:r>
      <w:r w:rsidRPr="00492FB6">
        <w:rPr>
          <w:rFonts w:ascii="Arial Narrow" w:eastAsiaTheme="majorEastAsia" w:hAnsi="Arial Narrow" w:cstheme="majorBidi"/>
          <w:iCs/>
          <w:sz w:val="18"/>
          <w:szCs w:val="18"/>
        </w:rPr>
        <w:t>s</w:t>
      </w:r>
      <w:r w:rsidR="00A719AF" w:rsidRPr="00492FB6">
        <w:rPr>
          <w:rFonts w:ascii="Arial Narrow" w:eastAsiaTheme="majorEastAsia" w:hAnsi="Arial Narrow" w:cstheme="majorBidi"/>
          <w:iCs/>
          <w:sz w:val="18"/>
          <w:szCs w:val="18"/>
        </w:rPr>
        <w:t xml:space="preserve"> values calculated during evaluation using </w:t>
      </w:r>
      <w:r w:rsidR="00A070CD" w:rsidRPr="00492FB6">
        <w:rPr>
          <w:rFonts w:ascii="Arial Narrow" w:eastAsiaTheme="majorEastAsia" w:hAnsi="Arial Narrow" w:cstheme="majorBidi"/>
          <w:iCs/>
          <w:sz w:val="18"/>
          <w:szCs w:val="18"/>
        </w:rPr>
        <w:t>RevManv5.3.</w:t>
      </w:r>
    </w:p>
    <w:p w:rsidR="00A070CD" w:rsidRPr="00AD3AA0" w:rsidRDefault="00A070CD" w:rsidP="00A719AF">
      <w:pPr>
        <w:keepNext/>
        <w:jc w:val="left"/>
        <w:rPr>
          <w:rFonts w:ascii="Arial Narrow" w:eastAsiaTheme="majorEastAsia" w:hAnsi="Arial Narrow" w:cstheme="majorBidi"/>
          <w:iCs/>
          <w:sz w:val="18"/>
          <w:szCs w:val="18"/>
        </w:rPr>
      </w:pPr>
      <w:r w:rsidRPr="00AD3AA0">
        <w:rPr>
          <w:rFonts w:ascii="Arial Narrow" w:eastAsiaTheme="majorEastAsia" w:hAnsi="Arial Narrow" w:cstheme="majorBidi"/>
          <w:iCs/>
          <w:sz w:val="18"/>
          <w:szCs w:val="18"/>
        </w:rPr>
        <w:t>Source: Table 2-48, p100 of the resubmission.</w:t>
      </w:r>
    </w:p>
    <w:p w:rsidR="00A719AF" w:rsidRPr="00650831" w:rsidRDefault="00A719AF" w:rsidP="00A719AF">
      <w:pPr>
        <w:pStyle w:val="3-BodyText"/>
        <w:numPr>
          <w:ilvl w:val="0"/>
          <w:numId w:val="0"/>
        </w:numPr>
        <w:rPr>
          <w:rFonts w:ascii="Arial Narrow" w:hAnsi="Arial Narrow"/>
          <w:b/>
          <w:sz w:val="20"/>
        </w:rPr>
      </w:pPr>
    </w:p>
    <w:p w:rsidR="00395666" w:rsidRPr="00A64859" w:rsidRDefault="002E329D" w:rsidP="00006346">
      <w:pPr>
        <w:pStyle w:val="3-BodyText"/>
        <w:numPr>
          <w:ilvl w:val="1"/>
          <w:numId w:val="5"/>
        </w:numPr>
        <w:rPr>
          <w:rFonts w:ascii="Arial Narrow" w:hAnsi="Arial Narrow"/>
          <w:b/>
          <w:sz w:val="20"/>
        </w:rPr>
      </w:pPr>
      <w:r>
        <w:rPr>
          <w:lang w:eastAsia="en-US"/>
        </w:rPr>
        <w:t>The resubmission did not present any new data on the risk of exacerbation of congestive heart failure (CHF) with bezlotoxumab, and reiterated arguments that there were confounding factors that could explain the higher incidence of heart failure for patients with CHF</w:t>
      </w:r>
      <w:r w:rsidR="00224D17">
        <w:rPr>
          <w:lang w:eastAsia="en-US"/>
        </w:rPr>
        <w:t xml:space="preserve"> (Table 8)</w:t>
      </w:r>
      <w:r>
        <w:rPr>
          <w:lang w:eastAsia="en-US"/>
        </w:rPr>
        <w:t xml:space="preserve">.  </w:t>
      </w:r>
      <w:r w:rsidR="00395666" w:rsidRPr="00A64859">
        <w:rPr>
          <w:iCs/>
        </w:rPr>
        <w:t xml:space="preserve">The PBAC had previously noted that there was a higher incidence of heart failure in bezlotoxumab treated patients compared to placebo, and amongst those with a history of heart failure, there was a higher incidence of acute heart failure and of mortality in participants treated with bezlotoxumab than those treated with placebo (paragraph 7.3, </w:t>
      </w:r>
      <w:r w:rsidR="00020BCF" w:rsidRPr="00A64859">
        <w:rPr>
          <w:iCs/>
        </w:rPr>
        <w:t xml:space="preserve">bezlotoxumab, Public Summary Document, </w:t>
      </w:r>
      <w:r w:rsidR="00395666" w:rsidRPr="00A64859">
        <w:rPr>
          <w:iCs/>
        </w:rPr>
        <w:t xml:space="preserve">July 2018 </w:t>
      </w:r>
      <w:r w:rsidR="00020BCF" w:rsidRPr="00A64859">
        <w:rPr>
          <w:iCs/>
        </w:rPr>
        <w:t>PBAC meeting</w:t>
      </w:r>
      <w:r w:rsidR="00395666" w:rsidRPr="00A64859">
        <w:rPr>
          <w:iCs/>
        </w:rPr>
        <w:t>).</w:t>
      </w:r>
    </w:p>
    <w:p w:rsidR="00CB5638" w:rsidRPr="00F676E4" w:rsidRDefault="00D5587A" w:rsidP="005C7B8C">
      <w:pPr>
        <w:keepNext/>
        <w:keepLines/>
        <w:rPr>
          <w:rFonts w:ascii="Arial Narrow" w:eastAsiaTheme="minorHAnsi" w:hAnsi="Arial Narrow" w:cstheme="minorBidi"/>
          <w:b/>
          <w:bCs/>
          <w:sz w:val="20"/>
          <w:szCs w:val="20"/>
        </w:rPr>
      </w:pPr>
      <w:r w:rsidRPr="00D5587A">
        <w:rPr>
          <w:rFonts w:ascii="Arial Narrow" w:eastAsiaTheme="minorHAnsi" w:hAnsi="Arial Narrow" w:cstheme="minorBidi"/>
          <w:b/>
          <w:bCs/>
          <w:sz w:val="20"/>
          <w:szCs w:val="20"/>
        </w:rPr>
        <w:t>Table 8</w:t>
      </w:r>
      <w:r w:rsidR="00CB5638" w:rsidRPr="00F676E4">
        <w:rPr>
          <w:rFonts w:ascii="Arial Narrow" w:eastAsiaTheme="minorHAnsi" w:hAnsi="Arial Narrow" w:cstheme="minorBidi"/>
          <w:b/>
          <w:bCs/>
          <w:sz w:val="20"/>
          <w:szCs w:val="20"/>
        </w:rPr>
        <w:t>: Summary of adverse events in the subgroup of patients with a history of congestive heart failure (CHF) at baseline in MODIFY I and MODIFY II</w:t>
      </w:r>
      <w:r w:rsidR="002F51CC">
        <w:rPr>
          <w:rFonts w:ascii="Arial Narrow" w:eastAsiaTheme="minorHAnsi" w:hAnsi="Arial Narrow" w:cstheme="minorBidi"/>
          <w:b/>
          <w:bCs/>
          <w:sz w:val="20"/>
          <w:szCs w:val="20"/>
        </w:rPr>
        <w:t xml:space="preserve"> at Week 12</w:t>
      </w:r>
    </w:p>
    <w:tbl>
      <w:tblPr>
        <w:tblStyle w:val="TableGrid"/>
        <w:tblW w:w="8984" w:type="dxa"/>
        <w:tblCellMar>
          <w:left w:w="28" w:type="dxa"/>
          <w:right w:w="28" w:type="dxa"/>
        </w:tblCellMar>
        <w:tblLook w:val="04A0" w:firstRow="1" w:lastRow="0" w:firstColumn="1" w:lastColumn="0" w:noHBand="0" w:noVBand="1"/>
        <w:tblCaption w:val="Table 8: Summary of adverse events in the subgroup of patients with a history of congestive heart failure (CHF) at baseline in MODIFY I and MODIFY II at Week 12"/>
      </w:tblPr>
      <w:tblGrid>
        <w:gridCol w:w="1980"/>
        <w:gridCol w:w="1751"/>
        <w:gridCol w:w="1751"/>
        <w:gridCol w:w="1751"/>
        <w:gridCol w:w="1751"/>
      </w:tblGrid>
      <w:tr w:rsidR="00CB5638" w:rsidRPr="00936AB8" w:rsidTr="003B205F">
        <w:trPr>
          <w:tblHeader/>
        </w:trPr>
        <w:tc>
          <w:tcPr>
            <w:tcW w:w="1980" w:type="dxa"/>
            <w:shd w:val="clear" w:color="auto" w:fill="auto"/>
            <w:vAlign w:val="center"/>
          </w:tcPr>
          <w:p w:rsidR="00CB5638" w:rsidRPr="00BB2EC9" w:rsidRDefault="00CB5638" w:rsidP="005C7B8C">
            <w:pPr>
              <w:keepNext/>
              <w:keepLines/>
              <w:jc w:val="left"/>
              <w:rPr>
                <w:rFonts w:ascii="Arial Narrow" w:hAnsi="Arial Narrow"/>
                <w:b/>
                <w:bCs/>
                <w:sz w:val="20"/>
                <w:szCs w:val="20"/>
              </w:rPr>
            </w:pPr>
            <w:r w:rsidRPr="00BB2EC9">
              <w:rPr>
                <w:rFonts w:ascii="Arial Narrow" w:hAnsi="Arial Narrow"/>
                <w:b/>
                <w:bCs/>
                <w:sz w:val="20"/>
                <w:szCs w:val="20"/>
              </w:rPr>
              <w:t>Adverse events (AE)</w:t>
            </w:r>
          </w:p>
        </w:tc>
        <w:tc>
          <w:tcPr>
            <w:tcW w:w="1751" w:type="dxa"/>
            <w:shd w:val="clear" w:color="auto" w:fill="auto"/>
            <w:vAlign w:val="center"/>
          </w:tcPr>
          <w:p w:rsidR="00CB5638" w:rsidRDefault="00CB5638" w:rsidP="005C7B8C">
            <w:pPr>
              <w:keepNext/>
              <w:keepLines/>
              <w:jc w:val="center"/>
              <w:rPr>
                <w:rFonts w:ascii="Arial Narrow" w:hAnsi="Arial Narrow"/>
                <w:b/>
                <w:bCs/>
                <w:sz w:val="20"/>
                <w:szCs w:val="20"/>
              </w:rPr>
            </w:pPr>
            <w:r w:rsidRPr="00BB2EC9">
              <w:rPr>
                <w:rFonts w:ascii="Arial Narrow" w:hAnsi="Arial Narrow"/>
                <w:b/>
                <w:bCs/>
                <w:sz w:val="20"/>
                <w:szCs w:val="20"/>
              </w:rPr>
              <w:t xml:space="preserve">Bezlotoxumab </w:t>
            </w:r>
          </w:p>
          <w:p w:rsidR="00CB5638" w:rsidRPr="00BB2EC9" w:rsidRDefault="00CB5638" w:rsidP="005C7B8C">
            <w:pPr>
              <w:keepNext/>
              <w:keepLines/>
              <w:jc w:val="center"/>
              <w:rPr>
                <w:rFonts w:ascii="Arial Narrow" w:hAnsi="Arial Narrow"/>
                <w:b/>
                <w:bCs/>
                <w:sz w:val="20"/>
                <w:szCs w:val="20"/>
              </w:rPr>
            </w:pPr>
            <w:r w:rsidRPr="00BB2EC9">
              <w:rPr>
                <w:rFonts w:ascii="Arial Narrow" w:hAnsi="Arial Narrow"/>
                <w:b/>
                <w:bCs/>
                <w:sz w:val="20"/>
                <w:szCs w:val="20"/>
              </w:rPr>
              <w:t xml:space="preserve">N=118, </w:t>
            </w:r>
            <w:r w:rsidR="000C500F" w:rsidRPr="00BB2EC9">
              <w:rPr>
                <w:rFonts w:ascii="Arial Narrow" w:hAnsi="Arial Narrow"/>
                <w:b/>
                <w:bCs/>
                <w:sz w:val="20"/>
                <w:szCs w:val="20"/>
              </w:rPr>
              <w:t>n (</w:t>
            </w:r>
            <w:r w:rsidRPr="00BB2EC9">
              <w:rPr>
                <w:rFonts w:ascii="Arial Narrow" w:hAnsi="Arial Narrow"/>
                <w:b/>
                <w:bCs/>
                <w:sz w:val="20"/>
                <w:szCs w:val="20"/>
              </w:rPr>
              <w:t>%)</w:t>
            </w:r>
          </w:p>
        </w:tc>
        <w:tc>
          <w:tcPr>
            <w:tcW w:w="1751" w:type="dxa"/>
            <w:shd w:val="clear" w:color="auto" w:fill="auto"/>
            <w:vAlign w:val="center"/>
          </w:tcPr>
          <w:p w:rsidR="00CB5638" w:rsidRDefault="00CB5638" w:rsidP="005C7B8C">
            <w:pPr>
              <w:keepNext/>
              <w:keepLines/>
              <w:jc w:val="center"/>
              <w:rPr>
                <w:rFonts w:ascii="Arial Narrow" w:hAnsi="Arial Narrow"/>
                <w:b/>
                <w:bCs/>
                <w:sz w:val="20"/>
                <w:szCs w:val="20"/>
              </w:rPr>
            </w:pPr>
            <w:r w:rsidRPr="00BB2EC9">
              <w:rPr>
                <w:rFonts w:ascii="Arial Narrow" w:hAnsi="Arial Narrow"/>
                <w:b/>
                <w:bCs/>
                <w:sz w:val="20"/>
                <w:szCs w:val="20"/>
              </w:rPr>
              <w:t xml:space="preserve">Placebo </w:t>
            </w:r>
          </w:p>
          <w:p w:rsidR="00CB5638" w:rsidRPr="00BB2EC9" w:rsidRDefault="00CB5638" w:rsidP="005C7B8C">
            <w:pPr>
              <w:keepNext/>
              <w:keepLines/>
              <w:jc w:val="center"/>
              <w:rPr>
                <w:rFonts w:ascii="Arial Narrow" w:hAnsi="Arial Narrow"/>
                <w:b/>
                <w:bCs/>
                <w:sz w:val="20"/>
                <w:szCs w:val="20"/>
              </w:rPr>
            </w:pPr>
            <w:r w:rsidRPr="00BB2EC9">
              <w:rPr>
                <w:rFonts w:ascii="Arial Narrow" w:hAnsi="Arial Narrow"/>
                <w:b/>
                <w:bCs/>
                <w:sz w:val="20"/>
                <w:szCs w:val="20"/>
              </w:rPr>
              <w:t xml:space="preserve">N=104, </w:t>
            </w:r>
            <w:r w:rsidR="000C500F" w:rsidRPr="00BB2EC9">
              <w:rPr>
                <w:rFonts w:ascii="Arial Narrow" w:hAnsi="Arial Narrow"/>
                <w:b/>
                <w:bCs/>
                <w:sz w:val="20"/>
                <w:szCs w:val="20"/>
              </w:rPr>
              <w:t>n (</w:t>
            </w:r>
            <w:r w:rsidRPr="00BB2EC9">
              <w:rPr>
                <w:rFonts w:ascii="Arial Narrow" w:hAnsi="Arial Narrow"/>
                <w:b/>
                <w:bCs/>
                <w:sz w:val="20"/>
                <w:szCs w:val="20"/>
              </w:rPr>
              <w:t>%)</w:t>
            </w:r>
          </w:p>
        </w:tc>
        <w:tc>
          <w:tcPr>
            <w:tcW w:w="1751" w:type="dxa"/>
            <w:shd w:val="clear" w:color="auto" w:fill="auto"/>
            <w:vAlign w:val="center"/>
          </w:tcPr>
          <w:p w:rsidR="00CB5638" w:rsidRDefault="00CB5638" w:rsidP="005C7B8C">
            <w:pPr>
              <w:keepNext/>
              <w:keepLines/>
              <w:jc w:val="center"/>
              <w:rPr>
                <w:rFonts w:ascii="Arial Narrow" w:hAnsi="Arial Narrow"/>
                <w:b/>
                <w:bCs/>
                <w:sz w:val="20"/>
                <w:szCs w:val="20"/>
              </w:rPr>
            </w:pPr>
            <w:r w:rsidRPr="00BB2EC9">
              <w:rPr>
                <w:rFonts w:ascii="Arial Narrow" w:hAnsi="Arial Narrow"/>
                <w:b/>
                <w:bCs/>
                <w:sz w:val="20"/>
                <w:szCs w:val="20"/>
              </w:rPr>
              <w:t xml:space="preserve">Risk Difference </w:t>
            </w:r>
          </w:p>
          <w:p w:rsidR="00CB5638" w:rsidRPr="00BB2EC9" w:rsidRDefault="00CB5638" w:rsidP="005C7B8C">
            <w:pPr>
              <w:keepNext/>
              <w:keepLines/>
              <w:jc w:val="center"/>
              <w:rPr>
                <w:rFonts w:ascii="Arial Narrow" w:hAnsi="Arial Narrow"/>
                <w:b/>
                <w:bCs/>
                <w:sz w:val="20"/>
                <w:szCs w:val="20"/>
              </w:rPr>
            </w:pPr>
            <w:r w:rsidRPr="00BB2EC9">
              <w:rPr>
                <w:rFonts w:ascii="Arial Narrow" w:hAnsi="Arial Narrow"/>
                <w:b/>
                <w:bCs/>
                <w:sz w:val="20"/>
                <w:szCs w:val="20"/>
              </w:rPr>
              <w:t>(95% CI)</w:t>
            </w:r>
            <w:r w:rsidR="00492FB6">
              <w:rPr>
                <w:rFonts w:ascii="Arial Narrow" w:hAnsi="Arial Narrow"/>
                <w:b/>
                <w:bCs/>
                <w:sz w:val="20"/>
                <w:szCs w:val="20"/>
              </w:rPr>
              <w:t>*</w:t>
            </w:r>
          </w:p>
        </w:tc>
        <w:tc>
          <w:tcPr>
            <w:tcW w:w="1751" w:type="dxa"/>
            <w:shd w:val="clear" w:color="auto" w:fill="auto"/>
            <w:vAlign w:val="center"/>
          </w:tcPr>
          <w:p w:rsidR="00CB5638" w:rsidRPr="00BB2EC9" w:rsidRDefault="00CB5638" w:rsidP="005C7B8C">
            <w:pPr>
              <w:keepNext/>
              <w:keepLines/>
              <w:jc w:val="center"/>
              <w:rPr>
                <w:rFonts w:ascii="Arial Narrow" w:hAnsi="Arial Narrow"/>
                <w:b/>
                <w:bCs/>
                <w:sz w:val="20"/>
                <w:szCs w:val="20"/>
              </w:rPr>
            </w:pPr>
            <w:r w:rsidRPr="00BB2EC9">
              <w:rPr>
                <w:rFonts w:ascii="Arial Narrow" w:hAnsi="Arial Narrow"/>
                <w:b/>
                <w:bCs/>
                <w:sz w:val="20"/>
                <w:szCs w:val="20"/>
              </w:rPr>
              <w:t>Relative risk</w:t>
            </w:r>
          </w:p>
          <w:p w:rsidR="00CB5638" w:rsidRPr="00BB2EC9" w:rsidRDefault="00CB5638" w:rsidP="005C7B8C">
            <w:pPr>
              <w:keepNext/>
              <w:keepLines/>
              <w:jc w:val="center"/>
              <w:rPr>
                <w:rFonts w:ascii="Arial Narrow" w:hAnsi="Arial Narrow"/>
                <w:b/>
                <w:bCs/>
                <w:sz w:val="20"/>
                <w:szCs w:val="20"/>
              </w:rPr>
            </w:pPr>
            <w:r w:rsidRPr="00BB2EC9">
              <w:rPr>
                <w:rFonts w:ascii="Arial Narrow" w:hAnsi="Arial Narrow"/>
                <w:b/>
                <w:bCs/>
                <w:sz w:val="20"/>
                <w:szCs w:val="20"/>
              </w:rPr>
              <w:t>(95% CI)</w:t>
            </w:r>
            <w:r w:rsidR="00492FB6">
              <w:rPr>
                <w:rFonts w:ascii="Arial Narrow" w:hAnsi="Arial Narrow"/>
                <w:b/>
                <w:bCs/>
                <w:sz w:val="20"/>
                <w:szCs w:val="20"/>
              </w:rPr>
              <w:t>*</w:t>
            </w:r>
          </w:p>
        </w:tc>
      </w:tr>
      <w:tr w:rsidR="00CB5638" w:rsidRPr="00936AB8" w:rsidTr="00D15511">
        <w:tc>
          <w:tcPr>
            <w:tcW w:w="1980" w:type="dxa"/>
            <w:shd w:val="clear" w:color="auto" w:fill="auto"/>
          </w:tcPr>
          <w:p w:rsidR="00CB5638" w:rsidRPr="00936AB8" w:rsidRDefault="00CB5638" w:rsidP="00D15511">
            <w:pPr>
              <w:pStyle w:val="NoSpacing"/>
              <w:keepNext/>
              <w:keepLines/>
              <w:rPr>
                <w:rFonts w:ascii="Arial Narrow" w:hAnsi="Arial Narrow"/>
                <w:sz w:val="20"/>
              </w:rPr>
            </w:pPr>
            <w:r>
              <w:rPr>
                <w:rFonts w:ascii="Arial Narrow" w:hAnsi="Arial Narrow"/>
                <w:sz w:val="20"/>
              </w:rPr>
              <w:t>O</w:t>
            </w:r>
            <w:r w:rsidRPr="00936AB8">
              <w:rPr>
                <w:rFonts w:ascii="Arial Narrow" w:hAnsi="Arial Narrow"/>
                <w:sz w:val="20"/>
              </w:rPr>
              <w:t>ne or more AE</w:t>
            </w:r>
          </w:p>
        </w:tc>
        <w:tc>
          <w:tcPr>
            <w:tcW w:w="1751" w:type="dxa"/>
            <w:shd w:val="clear" w:color="auto" w:fill="auto"/>
            <w:vAlign w:val="center"/>
          </w:tcPr>
          <w:p w:rsidR="00CB5638" w:rsidRPr="00936AB8" w:rsidRDefault="00CB5638" w:rsidP="00D15511">
            <w:pPr>
              <w:pStyle w:val="NoSpacing"/>
              <w:keepNext/>
              <w:keepLines/>
              <w:jc w:val="center"/>
              <w:rPr>
                <w:rFonts w:ascii="Arial Narrow" w:hAnsi="Arial Narrow"/>
                <w:sz w:val="20"/>
              </w:rPr>
            </w:pPr>
            <w:r>
              <w:rPr>
                <w:rFonts w:ascii="Arial Narrow" w:hAnsi="Arial Narrow"/>
                <w:sz w:val="20"/>
              </w:rPr>
              <w:t>99 (83.9</w:t>
            </w:r>
            <w:r w:rsidRPr="00936AB8">
              <w:rPr>
                <w:rFonts w:ascii="Arial Narrow" w:hAnsi="Arial Narrow"/>
                <w:sz w:val="20"/>
              </w:rPr>
              <w:t>%)</w:t>
            </w:r>
          </w:p>
        </w:tc>
        <w:tc>
          <w:tcPr>
            <w:tcW w:w="1751" w:type="dxa"/>
            <w:shd w:val="clear" w:color="auto" w:fill="auto"/>
            <w:vAlign w:val="center"/>
          </w:tcPr>
          <w:p w:rsidR="00CB5638" w:rsidRPr="00936AB8" w:rsidRDefault="00CB5638" w:rsidP="00D15511">
            <w:pPr>
              <w:pStyle w:val="NoSpacing"/>
              <w:keepNext/>
              <w:keepLines/>
              <w:jc w:val="center"/>
              <w:rPr>
                <w:rFonts w:ascii="Arial Narrow" w:hAnsi="Arial Narrow"/>
                <w:sz w:val="20"/>
              </w:rPr>
            </w:pPr>
            <w:r>
              <w:rPr>
                <w:rFonts w:ascii="Arial Narrow" w:hAnsi="Arial Narrow"/>
                <w:sz w:val="20"/>
              </w:rPr>
              <w:t>73 (70.2</w:t>
            </w:r>
            <w:r w:rsidRPr="00936AB8">
              <w:rPr>
                <w:rFonts w:ascii="Arial Narrow" w:hAnsi="Arial Narrow"/>
                <w:sz w:val="20"/>
              </w:rPr>
              <w:t>%)</w:t>
            </w:r>
          </w:p>
        </w:tc>
        <w:tc>
          <w:tcPr>
            <w:tcW w:w="1751" w:type="dxa"/>
            <w:shd w:val="clear" w:color="auto" w:fill="auto"/>
            <w:vAlign w:val="center"/>
          </w:tcPr>
          <w:p w:rsidR="00CB5638" w:rsidRPr="00492FB6" w:rsidRDefault="00CB5638" w:rsidP="00D15511">
            <w:pPr>
              <w:keepNext/>
              <w:keepLines/>
              <w:jc w:val="center"/>
              <w:rPr>
                <w:rFonts w:ascii="Arial Narrow" w:hAnsi="Arial Narrow"/>
                <w:b/>
                <w:bCs/>
                <w:iCs/>
                <w:sz w:val="20"/>
                <w:szCs w:val="20"/>
              </w:rPr>
            </w:pPr>
            <w:r w:rsidRPr="00492FB6">
              <w:rPr>
                <w:rFonts w:ascii="Arial Narrow" w:hAnsi="Arial Narrow"/>
                <w:b/>
                <w:bCs/>
                <w:iCs/>
                <w:sz w:val="20"/>
                <w:szCs w:val="20"/>
              </w:rPr>
              <w:t>14% (3%, 25%)</w:t>
            </w:r>
          </w:p>
        </w:tc>
        <w:tc>
          <w:tcPr>
            <w:tcW w:w="1751" w:type="dxa"/>
            <w:shd w:val="clear" w:color="auto" w:fill="auto"/>
            <w:vAlign w:val="center"/>
          </w:tcPr>
          <w:p w:rsidR="00CB5638" w:rsidRPr="00492FB6" w:rsidRDefault="00CB5638" w:rsidP="00D15511">
            <w:pPr>
              <w:keepNext/>
              <w:keepLines/>
              <w:jc w:val="center"/>
              <w:rPr>
                <w:rFonts w:ascii="Arial Narrow" w:hAnsi="Arial Narrow"/>
                <w:b/>
                <w:bCs/>
                <w:iCs/>
                <w:sz w:val="20"/>
                <w:szCs w:val="20"/>
              </w:rPr>
            </w:pPr>
            <w:r w:rsidRPr="00492FB6">
              <w:rPr>
                <w:rFonts w:ascii="Arial Narrow" w:hAnsi="Arial Narrow"/>
                <w:b/>
                <w:bCs/>
                <w:iCs/>
                <w:sz w:val="20"/>
                <w:szCs w:val="20"/>
              </w:rPr>
              <w:t>1.20 (1.03, 1.39)</w:t>
            </w:r>
          </w:p>
        </w:tc>
      </w:tr>
      <w:tr w:rsidR="00CB5638" w:rsidRPr="00936AB8" w:rsidTr="00D15511">
        <w:tc>
          <w:tcPr>
            <w:tcW w:w="1980" w:type="dxa"/>
            <w:shd w:val="clear" w:color="auto" w:fill="auto"/>
          </w:tcPr>
          <w:p w:rsidR="00CB5638" w:rsidRPr="00936AB8" w:rsidRDefault="00CB5638" w:rsidP="00D15511">
            <w:pPr>
              <w:pStyle w:val="NoSpacing"/>
              <w:keepNext/>
              <w:keepLines/>
              <w:rPr>
                <w:rFonts w:ascii="Arial Narrow" w:hAnsi="Arial Narrow"/>
                <w:sz w:val="20"/>
              </w:rPr>
            </w:pPr>
            <w:r>
              <w:rPr>
                <w:rFonts w:ascii="Arial Narrow" w:hAnsi="Arial Narrow"/>
                <w:sz w:val="20"/>
              </w:rPr>
              <w:t>D</w:t>
            </w:r>
            <w:r w:rsidRPr="00936AB8">
              <w:rPr>
                <w:rFonts w:ascii="Arial Narrow" w:hAnsi="Arial Narrow"/>
                <w:sz w:val="20"/>
              </w:rPr>
              <w:t>rug-related AE</w:t>
            </w:r>
          </w:p>
        </w:tc>
        <w:tc>
          <w:tcPr>
            <w:tcW w:w="1751" w:type="dxa"/>
            <w:shd w:val="clear" w:color="auto" w:fill="auto"/>
            <w:vAlign w:val="center"/>
          </w:tcPr>
          <w:p w:rsidR="00CB5638" w:rsidRPr="00401690" w:rsidRDefault="00CB5638" w:rsidP="00D15511">
            <w:pPr>
              <w:pStyle w:val="NoSpacing"/>
              <w:keepNext/>
              <w:keepLines/>
              <w:jc w:val="center"/>
              <w:rPr>
                <w:rFonts w:ascii="Arial Narrow" w:hAnsi="Arial Narrow"/>
                <w:sz w:val="20"/>
              </w:rPr>
            </w:pPr>
            <w:r>
              <w:rPr>
                <w:rFonts w:ascii="Arial Narrow" w:hAnsi="Arial Narrow"/>
                <w:sz w:val="20"/>
              </w:rPr>
              <w:t>9 (7.6</w:t>
            </w:r>
            <w:r w:rsidRPr="00401690">
              <w:rPr>
                <w:rFonts w:ascii="Arial Narrow" w:hAnsi="Arial Narrow"/>
                <w:sz w:val="20"/>
              </w:rPr>
              <w:t>%)</w:t>
            </w:r>
          </w:p>
        </w:tc>
        <w:tc>
          <w:tcPr>
            <w:tcW w:w="1751" w:type="dxa"/>
            <w:shd w:val="clear" w:color="auto" w:fill="auto"/>
            <w:vAlign w:val="center"/>
          </w:tcPr>
          <w:p w:rsidR="00CB5638" w:rsidRPr="00401690" w:rsidRDefault="00CB5638" w:rsidP="00D15511">
            <w:pPr>
              <w:pStyle w:val="NoSpacing"/>
              <w:keepNext/>
              <w:keepLines/>
              <w:jc w:val="center"/>
              <w:rPr>
                <w:rFonts w:ascii="Arial Narrow" w:hAnsi="Arial Narrow"/>
                <w:sz w:val="20"/>
              </w:rPr>
            </w:pPr>
            <w:r>
              <w:rPr>
                <w:rFonts w:ascii="Arial Narrow" w:hAnsi="Arial Narrow"/>
                <w:sz w:val="20"/>
              </w:rPr>
              <w:t>5 (4.8</w:t>
            </w:r>
            <w:r w:rsidRPr="00401690">
              <w:rPr>
                <w:rFonts w:ascii="Arial Narrow" w:hAnsi="Arial Narrow"/>
                <w:sz w:val="20"/>
              </w:rPr>
              <w:t>%)</w:t>
            </w:r>
          </w:p>
        </w:tc>
        <w:tc>
          <w:tcPr>
            <w:tcW w:w="1751" w:type="dxa"/>
            <w:shd w:val="clear" w:color="auto" w:fill="auto"/>
            <w:vAlign w:val="center"/>
          </w:tcPr>
          <w:p w:rsidR="00CB5638" w:rsidRPr="00492FB6" w:rsidRDefault="00CB5638" w:rsidP="00D15511">
            <w:pPr>
              <w:keepNext/>
              <w:keepLines/>
              <w:jc w:val="center"/>
              <w:rPr>
                <w:rFonts w:ascii="Arial Narrow" w:hAnsi="Arial Narrow"/>
                <w:iCs/>
                <w:sz w:val="20"/>
                <w:szCs w:val="20"/>
              </w:rPr>
            </w:pPr>
            <w:r w:rsidRPr="00492FB6">
              <w:rPr>
                <w:rFonts w:ascii="Arial Narrow" w:hAnsi="Arial Narrow"/>
                <w:iCs/>
                <w:sz w:val="20"/>
                <w:szCs w:val="20"/>
              </w:rPr>
              <w:t>3% (-3%, 9%)</w:t>
            </w:r>
          </w:p>
        </w:tc>
        <w:tc>
          <w:tcPr>
            <w:tcW w:w="1751" w:type="dxa"/>
            <w:shd w:val="clear" w:color="auto" w:fill="auto"/>
            <w:vAlign w:val="center"/>
          </w:tcPr>
          <w:p w:rsidR="00CB5638" w:rsidRPr="00492FB6" w:rsidRDefault="00CB5638" w:rsidP="00D15511">
            <w:pPr>
              <w:keepNext/>
              <w:keepLines/>
              <w:jc w:val="center"/>
              <w:rPr>
                <w:rFonts w:ascii="Arial Narrow" w:hAnsi="Arial Narrow"/>
                <w:iCs/>
                <w:sz w:val="20"/>
                <w:szCs w:val="20"/>
              </w:rPr>
            </w:pPr>
            <w:r w:rsidRPr="00492FB6">
              <w:rPr>
                <w:rFonts w:ascii="Arial Narrow" w:hAnsi="Arial Narrow"/>
                <w:iCs/>
                <w:sz w:val="20"/>
                <w:szCs w:val="20"/>
              </w:rPr>
              <w:t>1.59 (0.55, 4.58)</w:t>
            </w:r>
          </w:p>
        </w:tc>
      </w:tr>
      <w:tr w:rsidR="00CB5638" w:rsidRPr="00936AB8" w:rsidTr="00D15511">
        <w:tc>
          <w:tcPr>
            <w:tcW w:w="1980" w:type="dxa"/>
            <w:shd w:val="clear" w:color="auto" w:fill="auto"/>
          </w:tcPr>
          <w:p w:rsidR="00CB5638" w:rsidRPr="00936AB8" w:rsidRDefault="00CB5638" w:rsidP="00D15511">
            <w:pPr>
              <w:pStyle w:val="NoSpacing"/>
              <w:keepNext/>
              <w:keepLines/>
              <w:rPr>
                <w:rFonts w:ascii="Arial Narrow" w:hAnsi="Arial Narrow"/>
                <w:sz w:val="20"/>
              </w:rPr>
            </w:pPr>
            <w:r>
              <w:rPr>
                <w:rFonts w:ascii="Arial Narrow" w:hAnsi="Arial Narrow"/>
                <w:sz w:val="20"/>
              </w:rPr>
              <w:t>S</w:t>
            </w:r>
            <w:r w:rsidRPr="00936AB8">
              <w:rPr>
                <w:rFonts w:ascii="Arial Narrow" w:hAnsi="Arial Narrow"/>
                <w:sz w:val="20"/>
              </w:rPr>
              <w:t>erious AE</w:t>
            </w:r>
          </w:p>
        </w:tc>
        <w:tc>
          <w:tcPr>
            <w:tcW w:w="1751" w:type="dxa"/>
            <w:shd w:val="clear" w:color="auto" w:fill="auto"/>
            <w:vAlign w:val="center"/>
          </w:tcPr>
          <w:p w:rsidR="00CB5638" w:rsidRPr="006F4A99" w:rsidRDefault="00CB5638" w:rsidP="00D15511">
            <w:pPr>
              <w:pStyle w:val="NoSpacing"/>
              <w:keepNext/>
              <w:keepLines/>
              <w:jc w:val="center"/>
              <w:rPr>
                <w:rFonts w:ascii="Arial Narrow" w:hAnsi="Arial Narrow"/>
                <w:sz w:val="20"/>
              </w:rPr>
            </w:pPr>
            <w:r>
              <w:rPr>
                <w:rFonts w:ascii="Arial Narrow" w:hAnsi="Arial Narrow"/>
                <w:sz w:val="20"/>
              </w:rPr>
              <w:t>63 (53.4</w:t>
            </w:r>
            <w:r w:rsidRPr="006F4A99">
              <w:rPr>
                <w:rFonts w:ascii="Arial Narrow" w:hAnsi="Arial Narrow"/>
                <w:sz w:val="20"/>
              </w:rPr>
              <w:t>%)</w:t>
            </w:r>
          </w:p>
        </w:tc>
        <w:tc>
          <w:tcPr>
            <w:tcW w:w="1751" w:type="dxa"/>
            <w:shd w:val="clear" w:color="auto" w:fill="auto"/>
            <w:vAlign w:val="center"/>
          </w:tcPr>
          <w:p w:rsidR="00CB5638" w:rsidRPr="006F4A99" w:rsidRDefault="00CB5638" w:rsidP="00D15511">
            <w:pPr>
              <w:pStyle w:val="NoSpacing"/>
              <w:keepNext/>
              <w:keepLines/>
              <w:jc w:val="center"/>
              <w:rPr>
                <w:rFonts w:ascii="Arial Narrow" w:hAnsi="Arial Narrow"/>
                <w:sz w:val="20"/>
              </w:rPr>
            </w:pPr>
            <w:r>
              <w:rPr>
                <w:rFonts w:ascii="Arial Narrow" w:hAnsi="Arial Narrow"/>
                <w:sz w:val="20"/>
              </w:rPr>
              <w:t>50 (48.1</w:t>
            </w:r>
            <w:r w:rsidRPr="006F4A99">
              <w:rPr>
                <w:rFonts w:ascii="Arial Narrow" w:hAnsi="Arial Narrow"/>
                <w:sz w:val="20"/>
              </w:rPr>
              <w:t>%)</w:t>
            </w:r>
          </w:p>
        </w:tc>
        <w:tc>
          <w:tcPr>
            <w:tcW w:w="1751" w:type="dxa"/>
            <w:shd w:val="clear" w:color="auto" w:fill="auto"/>
            <w:vAlign w:val="center"/>
          </w:tcPr>
          <w:p w:rsidR="00CB5638" w:rsidRPr="00492FB6" w:rsidRDefault="00CB5638" w:rsidP="00D15511">
            <w:pPr>
              <w:keepNext/>
              <w:keepLines/>
              <w:jc w:val="center"/>
              <w:rPr>
                <w:rFonts w:ascii="Arial Narrow" w:hAnsi="Arial Narrow"/>
                <w:iCs/>
                <w:sz w:val="20"/>
                <w:szCs w:val="20"/>
              </w:rPr>
            </w:pPr>
            <w:r w:rsidRPr="00492FB6">
              <w:rPr>
                <w:rFonts w:ascii="Arial Narrow" w:hAnsi="Arial Narrow"/>
                <w:iCs/>
                <w:sz w:val="20"/>
                <w:szCs w:val="20"/>
              </w:rPr>
              <w:t>5% (-8%, 18%)</w:t>
            </w:r>
          </w:p>
        </w:tc>
        <w:tc>
          <w:tcPr>
            <w:tcW w:w="1751" w:type="dxa"/>
            <w:shd w:val="clear" w:color="auto" w:fill="auto"/>
            <w:vAlign w:val="center"/>
          </w:tcPr>
          <w:p w:rsidR="00CB5638" w:rsidRPr="00492FB6" w:rsidRDefault="00CB5638" w:rsidP="00D15511">
            <w:pPr>
              <w:keepNext/>
              <w:keepLines/>
              <w:jc w:val="center"/>
              <w:rPr>
                <w:rFonts w:ascii="Arial Narrow" w:hAnsi="Arial Narrow"/>
                <w:iCs/>
                <w:sz w:val="20"/>
                <w:szCs w:val="20"/>
              </w:rPr>
            </w:pPr>
            <w:r w:rsidRPr="00492FB6">
              <w:rPr>
                <w:rFonts w:ascii="Arial Narrow" w:hAnsi="Arial Narrow"/>
                <w:iCs/>
                <w:sz w:val="20"/>
                <w:szCs w:val="20"/>
              </w:rPr>
              <w:t>1.11 (0.86, 1.44)</w:t>
            </w:r>
          </w:p>
        </w:tc>
      </w:tr>
      <w:tr w:rsidR="00CB5638" w:rsidRPr="00936AB8" w:rsidTr="00D15511">
        <w:tc>
          <w:tcPr>
            <w:tcW w:w="1980" w:type="dxa"/>
            <w:shd w:val="clear" w:color="auto" w:fill="auto"/>
          </w:tcPr>
          <w:p w:rsidR="00CB5638" w:rsidRPr="00936AB8" w:rsidRDefault="00CB5638" w:rsidP="00D15511">
            <w:pPr>
              <w:pStyle w:val="NoSpacing"/>
              <w:keepNext/>
              <w:keepLines/>
              <w:rPr>
                <w:rFonts w:ascii="Arial Narrow" w:hAnsi="Arial Narrow"/>
                <w:sz w:val="20"/>
              </w:rPr>
            </w:pPr>
            <w:r>
              <w:rPr>
                <w:rFonts w:ascii="Arial Narrow" w:hAnsi="Arial Narrow"/>
                <w:sz w:val="20"/>
              </w:rPr>
              <w:t>Cardiac SAE</w:t>
            </w:r>
          </w:p>
        </w:tc>
        <w:tc>
          <w:tcPr>
            <w:tcW w:w="1751" w:type="dxa"/>
            <w:shd w:val="clear" w:color="auto" w:fill="auto"/>
            <w:vAlign w:val="center"/>
          </w:tcPr>
          <w:p w:rsidR="00CB5638" w:rsidRDefault="00CB5638" w:rsidP="00D15511">
            <w:pPr>
              <w:pStyle w:val="NoSpacing"/>
              <w:keepNext/>
              <w:keepLines/>
              <w:jc w:val="center"/>
              <w:rPr>
                <w:rFonts w:ascii="Arial Narrow" w:hAnsi="Arial Narrow"/>
                <w:sz w:val="20"/>
              </w:rPr>
            </w:pPr>
            <w:r>
              <w:rPr>
                <w:rFonts w:ascii="Arial Narrow" w:hAnsi="Arial Narrow"/>
                <w:sz w:val="20"/>
              </w:rPr>
              <w:t>21 (17.8%)</w:t>
            </w:r>
          </w:p>
        </w:tc>
        <w:tc>
          <w:tcPr>
            <w:tcW w:w="1751" w:type="dxa"/>
            <w:shd w:val="clear" w:color="auto" w:fill="auto"/>
            <w:vAlign w:val="center"/>
          </w:tcPr>
          <w:p w:rsidR="00CB5638" w:rsidRDefault="00CB5638" w:rsidP="00D15511">
            <w:pPr>
              <w:pStyle w:val="NoSpacing"/>
              <w:keepNext/>
              <w:keepLines/>
              <w:jc w:val="center"/>
              <w:rPr>
                <w:rFonts w:ascii="Arial Narrow" w:hAnsi="Arial Narrow"/>
                <w:sz w:val="20"/>
              </w:rPr>
            </w:pPr>
            <w:r>
              <w:rPr>
                <w:rFonts w:ascii="Arial Narrow" w:hAnsi="Arial Narrow"/>
                <w:sz w:val="20"/>
              </w:rPr>
              <w:t>9 (8.7%)</w:t>
            </w:r>
          </w:p>
        </w:tc>
        <w:tc>
          <w:tcPr>
            <w:tcW w:w="1751" w:type="dxa"/>
            <w:shd w:val="clear" w:color="auto" w:fill="auto"/>
            <w:vAlign w:val="center"/>
          </w:tcPr>
          <w:p w:rsidR="00CB5638" w:rsidRPr="00492FB6" w:rsidRDefault="00CB5638" w:rsidP="00D15511">
            <w:pPr>
              <w:keepNext/>
              <w:keepLines/>
              <w:jc w:val="center"/>
              <w:rPr>
                <w:rFonts w:ascii="Arial Narrow" w:hAnsi="Arial Narrow"/>
                <w:iCs/>
                <w:sz w:val="20"/>
                <w:szCs w:val="20"/>
              </w:rPr>
            </w:pPr>
            <w:r w:rsidRPr="00492FB6">
              <w:rPr>
                <w:rFonts w:ascii="Arial Narrow" w:hAnsi="Arial Narrow"/>
                <w:iCs/>
                <w:sz w:val="20"/>
                <w:szCs w:val="20"/>
              </w:rPr>
              <w:t>9% (0%, 18%)</w:t>
            </w:r>
          </w:p>
        </w:tc>
        <w:tc>
          <w:tcPr>
            <w:tcW w:w="1751" w:type="dxa"/>
            <w:shd w:val="clear" w:color="auto" w:fill="auto"/>
            <w:vAlign w:val="center"/>
          </w:tcPr>
          <w:p w:rsidR="00CB5638" w:rsidRPr="00492FB6" w:rsidRDefault="00CB5638" w:rsidP="00D15511">
            <w:pPr>
              <w:keepNext/>
              <w:keepLines/>
              <w:jc w:val="center"/>
              <w:rPr>
                <w:rFonts w:ascii="Arial Narrow" w:hAnsi="Arial Narrow"/>
                <w:iCs/>
                <w:sz w:val="20"/>
                <w:szCs w:val="20"/>
              </w:rPr>
            </w:pPr>
            <w:r w:rsidRPr="00492FB6">
              <w:rPr>
                <w:rFonts w:ascii="Arial Narrow" w:hAnsi="Arial Narrow"/>
                <w:iCs/>
                <w:sz w:val="20"/>
                <w:szCs w:val="20"/>
              </w:rPr>
              <w:t>2.06 (0.99, 4.29)</w:t>
            </w:r>
          </w:p>
        </w:tc>
      </w:tr>
      <w:tr w:rsidR="00CB5638" w:rsidRPr="009774E2" w:rsidTr="00D15511">
        <w:tc>
          <w:tcPr>
            <w:tcW w:w="1980" w:type="dxa"/>
            <w:shd w:val="clear" w:color="auto" w:fill="auto"/>
          </w:tcPr>
          <w:p w:rsidR="00CB5638" w:rsidRDefault="00CB5638" w:rsidP="00D15511">
            <w:pPr>
              <w:pStyle w:val="NoSpacing"/>
              <w:keepNext/>
              <w:keepLines/>
              <w:rPr>
                <w:rFonts w:ascii="Arial Narrow" w:hAnsi="Arial Narrow"/>
                <w:sz w:val="20"/>
              </w:rPr>
            </w:pPr>
            <w:r>
              <w:rPr>
                <w:rFonts w:ascii="Arial Narrow" w:hAnsi="Arial Narrow"/>
                <w:sz w:val="20"/>
              </w:rPr>
              <w:t>Cardiac failure SAE</w:t>
            </w:r>
          </w:p>
        </w:tc>
        <w:tc>
          <w:tcPr>
            <w:tcW w:w="1751" w:type="dxa"/>
            <w:shd w:val="clear" w:color="auto" w:fill="auto"/>
            <w:vAlign w:val="center"/>
          </w:tcPr>
          <w:p w:rsidR="00CB5638" w:rsidRPr="00521D6D" w:rsidRDefault="00CB5638" w:rsidP="00D15511">
            <w:pPr>
              <w:pStyle w:val="NoSpacing"/>
              <w:keepNext/>
              <w:keepLines/>
              <w:jc w:val="center"/>
              <w:rPr>
                <w:rFonts w:ascii="Arial Narrow" w:hAnsi="Arial Narrow"/>
                <w:i/>
                <w:iCs/>
                <w:sz w:val="20"/>
              </w:rPr>
            </w:pPr>
            <w:r>
              <w:rPr>
                <w:rFonts w:ascii="Arial Narrow" w:hAnsi="Arial Narrow"/>
                <w:i/>
                <w:iCs/>
                <w:sz w:val="20"/>
              </w:rPr>
              <w:t>15</w:t>
            </w:r>
            <w:r w:rsidRPr="00F65D91">
              <w:rPr>
                <w:rFonts w:ascii="Arial Narrow" w:hAnsi="Arial Narrow"/>
                <w:i/>
                <w:iCs/>
                <w:sz w:val="20"/>
                <w:vertAlign w:val="superscript"/>
              </w:rPr>
              <w:t xml:space="preserve">a </w:t>
            </w:r>
            <w:r>
              <w:rPr>
                <w:rFonts w:ascii="Arial Narrow" w:hAnsi="Arial Narrow"/>
                <w:i/>
                <w:iCs/>
                <w:sz w:val="20"/>
              </w:rPr>
              <w:t>(12.7</w:t>
            </w:r>
            <w:r w:rsidRPr="00521D6D">
              <w:rPr>
                <w:rFonts w:ascii="Arial Narrow" w:hAnsi="Arial Narrow"/>
                <w:i/>
                <w:iCs/>
                <w:sz w:val="20"/>
              </w:rPr>
              <w:t>%)</w:t>
            </w:r>
          </w:p>
        </w:tc>
        <w:tc>
          <w:tcPr>
            <w:tcW w:w="1751" w:type="dxa"/>
            <w:shd w:val="clear" w:color="auto" w:fill="auto"/>
            <w:vAlign w:val="center"/>
          </w:tcPr>
          <w:p w:rsidR="00CB5638" w:rsidRPr="00521D6D" w:rsidRDefault="00CB5638" w:rsidP="00D15511">
            <w:pPr>
              <w:pStyle w:val="NoSpacing"/>
              <w:keepNext/>
              <w:keepLines/>
              <w:jc w:val="center"/>
              <w:rPr>
                <w:rFonts w:ascii="Arial Narrow" w:hAnsi="Arial Narrow"/>
                <w:i/>
                <w:iCs/>
                <w:sz w:val="20"/>
              </w:rPr>
            </w:pPr>
            <w:r w:rsidRPr="00521D6D">
              <w:rPr>
                <w:rFonts w:ascii="Arial Narrow" w:hAnsi="Arial Narrow"/>
                <w:i/>
                <w:iCs/>
                <w:sz w:val="20"/>
              </w:rPr>
              <w:t>5 (4.8%)</w:t>
            </w:r>
          </w:p>
        </w:tc>
        <w:tc>
          <w:tcPr>
            <w:tcW w:w="1751" w:type="dxa"/>
            <w:shd w:val="clear" w:color="auto" w:fill="auto"/>
            <w:vAlign w:val="center"/>
          </w:tcPr>
          <w:p w:rsidR="00CB5638" w:rsidRPr="00492FB6" w:rsidRDefault="00CB5638" w:rsidP="00D15511">
            <w:pPr>
              <w:keepNext/>
              <w:keepLines/>
              <w:jc w:val="center"/>
              <w:rPr>
                <w:rFonts w:ascii="Arial Narrow" w:hAnsi="Arial Narrow"/>
                <w:b/>
                <w:bCs/>
                <w:iCs/>
                <w:sz w:val="20"/>
                <w:szCs w:val="20"/>
              </w:rPr>
            </w:pPr>
            <w:r w:rsidRPr="00492FB6">
              <w:rPr>
                <w:rFonts w:ascii="Arial Narrow" w:hAnsi="Arial Narrow"/>
                <w:b/>
                <w:bCs/>
                <w:iCs/>
                <w:sz w:val="20"/>
                <w:szCs w:val="20"/>
              </w:rPr>
              <w:t>8% (1%, 15%)</w:t>
            </w:r>
          </w:p>
        </w:tc>
        <w:tc>
          <w:tcPr>
            <w:tcW w:w="1751" w:type="dxa"/>
            <w:shd w:val="clear" w:color="auto" w:fill="auto"/>
            <w:vAlign w:val="center"/>
          </w:tcPr>
          <w:p w:rsidR="00CB5638" w:rsidRPr="00492FB6" w:rsidRDefault="00CB5638" w:rsidP="00D15511">
            <w:pPr>
              <w:keepNext/>
              <w:keepLines/>
              <w:jc w:val="center"/>
              <w:rPr>
                <w:rFonts w:ascii="Arial Narrow" w:hAnsi="Arial Narrow"/>
                <w:iCs/>
                <w:sz w:val="20"/>
                <w:szCs w:val="20"/>
              </w:rPr>
            </w:pPr>
            <w:r w:rsidRPr="00492FB6">
              <w:rPr>
                <w:rFonts w:ascii="Arial Narrow" w:hAnsi="Arial Narrow"/>
                <w:iCs/>
                <w:sz w:val="20"/>
                <w:szCs w:val="20"/>
              </w:rPr>
              <w:t>2.64 (1.00, 7.03)</w:t>
            </w:r>
          </w:p>
        </w:tc>
      </w:tr>
      <w:tr w:rsidR="00CB5638" w:rsidRPr="00936AB8" w:rsidTr="00D15511">
        <w:tc>
          <w:tcPr>
            <w:tcW w:w="1980" w:type="dxa"/>
            <w:shd w:val="clear" w:color="auto" w:fill="auto"/>
          </w:tcPr>
          <w:p w:rsidR="00CB5638" w:rsidRDefault="00CB5638" w:rsidP="00D15511">
            <w:pPr>
              <w:pStyle w:val="NoSpacing"/>
              <w:keepNext/>
              <w:keepLines/>
              <w:rPr>
                <w:rFonts w:ascii="Arial Narrow" w:hAnsi="Arial Narrow"/>
                <w:sz w:val="20"/>
              </w:rPr>
            </w:pPr>
            <w:r>
              <w:rPr>
                <w:rFonts w:ascii="Arial Narrow" w:hAnsi="Arial Narrow"/>
                <w:sz w:val="20"/>
              </w:rPr>
              <w:t>Deaths</w:t>
            </w:r>
          </w:p>
        </w:tc>
        <w:tc>
          <w:tcPr>
            <w:tcW w:w="1751" w:type="dxa"/>
            <w:shd w:val="clear" w:color="auto" w:fill="auto"/>
            <w:vAlign w:val="center"/>
          </w:tcPr>
          <w:p w:rsidR="00CB5638" w:rsidRPr="0010551C" w:rsidRDefault="00CB5638" w:rsidP="00D15511">
            <w:pPr>
              <w:pStyle w:val="NoSpacing"/>
              <w:keepNext/>
              <w:keepLines/>
              <w:jc w:val="center"/>
              <w:rPr>
                <w:rFonts w:ascii="Arial Narrow" w:hAnsi="Arial Narrow"/>
                <w:sz w:val="20"/>
              </w:rPr>
            </w:pPr>
            <w:r w:rsidRPr="0010551C">
              <w:rPr>
                <w:rFonts w:ascii="Arial Narrow" w:hAnsi="Arial Narrow"/>
                <w:sz w:val="20"/>
              </w:rPr>
              <w:t>23 (19.5%)</w:t>
            </w:r>
          </w:p>
        </w:tc>
        <w:tc>
          <w:tcPr>
            <w:tcW w:w="1751" w:type="dxa"/>
            <w:shd w:val="clear" w:color="auto" w:fill="auto"/>
            <w:vAlign w:val="center"/>
          </w:tcPr>
          <w:p w:rsidR="00CB5638" w:rsidRPr="0010551C" w:rsidRDefault="00CB5638" w:rsidP="00D15511">
            <w:pPr>
              <w:pStyle w:val="NoSpacing"/>
              <w:keepNext/>
              <w:keepLines/>
              <w:jc w:val="center"/>
              <w:rPr>
                <w:rFonts w:ascii="Arial Narrow" w:hAnsi="Arial Narrow"/>
                <w:sz w:val="20"/>
              </w:rPr>
            </w:pPr>
            <w:r w:rsidRPr="0010551C">
              <w:rPr>
                <w:rFonts w:ascii="Arial Narrow" w:hAnsi="Arial Narrow"/>
                <w:sz w:val="20"/>
              </w:rPr>
              <w:t>13 (12.5%)</w:t>
            </w:r>
          </w:p>
        </w:tc>
        <w:tc>
          <w:tcPr>
            <w:tcW w:w="1751" w:type="dxa"/>
            <w:shd w:val="clear" w:color="auto" w:fill="auto"/>
            <w:vAlign w:val="center"/>
          </w:tcPr>
          <w:p w:rsidR="00CB5638" w:rsidRPr="00492FB6" w:rsidRDefault="00CB5638" w:rsidP="00D15511">
            <w:pPr>
              <w:keepNext/>
              <w:keepLines/>
              <w:jc w:val="center"/>
              <w:rPr>
                <w:rFonts w:ascii="Arial Narrow" w:hAnsi="Arial Narrow"/>
                <w:iCs/>
                <w:sz w:val="20"/>
                <w:szCs w:val="20"/>
              </w:rPr>
            </w:pPr>
            <w:r w:rsidRPr="00492FB6">
              <w:rPr>
                <w:rFonts w:ascii="Arial Narrow" w:hAnsi="Arial Narrow"/>
                <w:iCs/>
                <w:sz w:val="20"/>
                <w:szCs w:val="20"/>
              </w:rPr>
              <w:t>7% (-3%, 13%)</w:t>
            </w:r>
          </w:p>
        </w:tc>
        <w:tc>
          <w:tcPr>
            <w:tcW w:w="1751" w:type="dxa"/>
            <w:shd w:val="clear" w:color="auto" w:fill="auto"/>
            <w:vAlign w:val="center"/>
          </w:tcPr>
          <w:p w:rsidR="00CB5638" w:rsidRPr="00492FB6" w:rsidRDefault="00CB5638" w:rsidP="00D15511">
            <w:pPr>
              <w:keepNext/>
              <w:keepLines/>
              <w:jc w:val="center"/>
              <w:rPr>
                <w:rFonts w:ascii="Arial Narrow" w:hAnsi="Arial Narrow"/>
                <w:iCs/>
                <w:sz w:val="20"/>
                <w:szCs w:val="20"/>
              </w:rPr>
            </w:pPr>
            <w:r w:rsidRPr="00492FB6">
              <w:rPr>
                <w:rFonts w:ascii="Arial Narrow" w:hAnsi="Arial Narrow"/>
                <w:iCs/>
                <w:sz w:val="20"/>
                <w:szCs w:val="20"/>
              </w:rPr>
              <w:t>1.56 (0.83, 2.92)</w:t>
            </w:r>
          </w:p>
        </w:tc>
      </w:tr>
      <w:tr w:rsidR="00CB5638" w:rsidRPr="00936AB8" w:rsidTr="00D15511">
        <w:tc>
          <w:tcPr>
            <w:tcW w:w="1980" w:type="dxa"/>
            <w:shd w:val="clear" w:color="auto" w:fill="auto"/>
          </w:tcPr>
          <w:p w:rsidR="00CB5638" w:rsidRDefault="00CB5638" w:rsidP="00D15511">
            <w:pPr>
              <w:pStyle w:val="NoSpacing"/>
              <w:keepNext/>
              <w:keepLines/>
              <w:rPr>
                <w:rFonts w:ascii="Arial Narrow" w:hAnsi="Arial Narrow"/>
                <w:sz w:val="20"/>
              </w:rPr>
            </w:pPr>
            <w:r>
              <w:rPr>
                <w:rFonts w:ascii="Arial Narrow" w:hAnsi="Arial Narrow"/>
                <w:sz w:val="20"/>
              </w:rPr>
              <w:t>Cardiac deaths</w:t>
            </w:r>
          </w:p>
        </w:tc>
        <w:tc>
          <w:tcPr>
            <w:tcW w:w="1751" w:type="dxa"/>
            <w:shd w:val="clear" w:color="auto" w:fill="auto"/>
            <w:vAlign w:val="center"/>
          </w:tcPr>
          <w:p w:rsidR="00CB5638" w:rsidRPr="0010551C" w:rsidRDefault="00CB5638" w:rsidP="00D15511">
            <w:pPr>
              <w:pStyle w:val="NoSpacing"/>
              <w:keepNext/>
              <w:keepLines/>
              <w:jc w:val="center"/>
              <w:rPr>
                <w:rFonts w:ascii="Arial Narrow" w:hAnsi="Arial Narrow"/>
                <w:sz w:val="20"/>
              </w:rPr>
            </w:pPr>
            <w:r w:rsidRPr="0010551C">
              <w:rPr>
                <w:rFonts w:ascii="Arial Narrow" w:hAnsi="Arial Narrow"/>
                <w:sz w:val="20"/>
              </w:rPr>
              <w:t>9</w:t>
            </w:r>
            <w:r>
              <w:rPr>
                <w:rFonts w:ascii="Arial Narrow" w:hAnsi="Arial Narrow"/>
                <w:sz w:val="20"/>
              </w:rPr>
              <w:t xml:space="preserve"> (7.6%)</w:t>
            </w:r>
          </w:p>
        </w:tc>
        <w:tc>
          <w:tcPr>
            <w:tcW w:w="1751" w:type="dxa"/>
            <w:shd w:val="clear" w:color="auto" w:fill="auto"/>
            <w:vAlign w:val="center"/>
          </w:tcPr>
          <w:p w:rsidR="00CB5638" w:rsidRPr="0010551C" w:rsidRDefault="00CB5638" w:rsidP="00D15511">
            <w:pPr>
              <w:pStyle w:val="NoSpacing"/>
              <w:keepNext/>
              <w:keepLines/>
              <w:jc w:val="center"/>
              <w:rPr>
                <w:rFonts w:ascii="Arial Narrow" w:hAnsi="Arial Narrow"/>
                <w:sz w:val="20"/>
              </w:rPr>
            </w:pPr>
            <w:r w:rsidRPr="0010551C">
              <w:rPr>
                <w:rFonts w:ascii="Arial Narrow" w:hAnsi="Arial Narrow"/>
                <w:sz w:val="20"/>
              </w:rPr>
              <w:t>5</w:t>
            </w:r>
            <w:r>
              <w:rPr>
                <w:rFonts w:ascii="Arial Narrow" w:hAnsi="Arial Narrow"/>
                <w:sz w:val="20"/>
              </w:rPr>
              <w:t xml:space="preserve"> (4.8%)</w:t>
            </w:r>
          </w:p>
        </w:tc>
        <w:tc>
          <w:tcPr>
            <w:tcW w:w="1751" w:type="dxa"/>
            <w:shd w:val="clear" w:color="auto" w:fill="auto"/>
            <w:vAlign w:val="center"/>
          </w:tcPr>
          <w:p w:rsidR="00CB5638" w:rsidRPr="00492FB6" w:rsidRDefault="00CB5638" w:rsidP="00D15511">
            <w:pPr>
              <w:keepNext/>
              <w:keepLines/>
              <w:jc w:val="center"/>
              <w:rPr>
                <w:rFonts w:ascii="Arial Narrow" w:hAnsi="Arial Narrow"/>
                <w:iCs/>
                <w:sz w:val="20"/>
                <w:szCs w:val="20"/>
              </w:rPr>
            </w:pPr>
            <w:r w:rsidRPr="00492FB6">
              <w:rPr>
                <w:rFonts w:ascii="Arial Narrow" w:hAnsi="Arial Narrow"/>
                <w:iCs/>
                <w:sz w:val="20"/>
                <w:szCs w:val="20"/>
              </w:rPr>
              <w:t>3% (-3%, 9%)</w:t>
            </w:r>
          </w:p>
        </w:tc>
        <w:tc>
          <w:tcPr>
            <w:tcW w:w="1751" w:type="dxa"/>
            <w:shd w:val="clear" w:color="auto" w:fill="auto"/>
            <w:vAlign w:val="center"/>
          </w:tcPr>
          <w:p w:rsidR="00CB5638" w:rsidRPr="00492FB6" w:rsidRDefault="00CB5638" w:rsidP="00D15511">
            <w:pPr>
              <w:keepNext/>
              <w:keepLines/>
              <w:jc w:val="center"/>
              <w:rPr>
                <w:rFonts w:ascii="Arial Narrow" w:hAnsi="Arial Narrow"/>
                <w:iCs/>
                <w:sz w:val="20"/>
                <w:szCs w:val="20"/>
              </w:rPr>
            </w:pPr>
            <w:r w:rsidRPr="00492FB6">
              <w:rPr>
                <w:rFonts w:ascii="Arial Narrow" w:hAnsi="Arial Narrow"/>
                <w:iCs/>
                <w:sz w:val="20"/>
                <w:szCs w:val="20"/>
              </w:rPr>
              <w:t>1.60 (0.55, 4.63)</w:t>
            </w:r>
          </w:p>
        </w:tc>
      </w:tr>
    </w:tbl>
    <w:p w:rsidR="00492FB6" w:rsidRDefault="00CB5638" w:rsidP="00CB5638">
      <w:pPr>
        <w:pStyle w:val="TableFooter"/>
        <w:rPr>
          <w:szCs w:val="18"/>
        </w:rPr>
      </w:pPr>
      <w:r w:rsidRPr="00CB20DE">
        <w:rPr>
          <w:szCs w:val="18"/>
        </w:rPr>
        <w:t>Text in bold indicate statistical significance.</w:t>
      </w:r>
    </w:p>
    <w:p w:rsidR="00CB5638" w:rsidRPr="00CB20DE" w:rsidRDefault="00492FB6" w:rsidP="00CB5638">
      <w:pPr>
        <w:pStyle w:val="TableFooter"/>
        <w:rPr>
          <w:szCs w:val="18"/>
        </w:rPr>
      </w:pPr>
      <w:r>
        <w:rPr>
          <w:szCs w:val="18"/>
        </w:rPr>
        <w:t xml:space="preserve">* Indicates </w:t>
      </w:r>
      <w:r w:rsidR="00CB5638" w:rsidRPr="00492FB6">
        <w:rPr>
          <w:szCs w:val="18"/>
        </w:rPr>
        <w:t>values calculated during evaluation using RevManv5.3</w:t>
      </w:r>
    </w:p>
    <w:p w:rsidR="00CB5638" w:rsidRPr="00CB20DE" w:rsidRDefault="00CB5638" w:rsidP="00CB5638">
      <w:pPr>
        <w:pStyle w:val="TableFooter"/>
        <w:tabs>
          <w:tab w:val="left" w:pos="142"/>
        </w:tabs>
        <w:rPr>
          <w:szCs w:val="18"/>
        </w:rPr>
      </w:pPr>
      <w:r w:rsidRPr="00CB20DE">
        <w:rPr>
          <w:szCs w:val="18"/>
          <w:vertAlign w:val="superscript"/>
        </w:rPr>
        <w:t>a</w:t>
      </w:r>
      <w:r>
        <w:rPr>
          <w:szCs w:val="18"/>
        </w:rPr>
        <w:tab/>
      </w:r>
      <w:r w:rsidRPr="00CB20DE">
        <w:rPr>
          <w:szCs w:val="18"/>
        </w:rPr>
        <w:t>Included one patient on bezlotoxumab with cardiopulmonary failure</w:t>
      </w:r>
    </w:p>
    <w:p w:rsidR="00CB5638" w:rsidRPr="009A5502" w:rsidRDefault="00224D17" w:rsidP="00CB5638">
      <w:pPr>
        <w:pStyle w:val="TableFooter"/>
        <w:rPr>
          <w:szCs w:val="18"/>
        </w:rPr>
      </w:pPr>
      <w:r w:rsidRPr="009A5502">
        <w:rPr>
          <w:iCs/>
          <w:szCs w:val="18"/>
        </w:rPr>
        <w:t xml:space="preserve">Source: </w:t>
      </w:r>
      <w:r w:rsidR="00CB5638" w:rsidRPr="009A5502">
        <w:rPr>
          <w:iCs/>
          <w:szCs w:val="18"/>
        </w:rPr>
        <w:t>based on Tables 2-7, Congestive heart failure adverse event attachment submitted with the July 2019 resubmission</w:t>
      </w:r>
      <w:r w:rsidR="00CB5638" w:rsidRPr="009A5502">
        <w:rPr>
          <w:szCs w:val="18"/>
        </w:rPr>
        <w:t xml:space="preserve">. </w:t>
      </w:r>
    </w:p>
    <w:p w:rsidR="00CB5638" w:rsidRDefault="00CB5638" w:rsidP="00CB5638"/>
    <w:p w:rsidR="00CB5638" w:rsidRPr="001F4EB5" w:rsidRDefault="00CB5638" w:rsidP="001F4EB5">
      <w:pPr>
        <w:pStyle w:val="3-BodyText"/>
      </w:pPr>
      <w:r>
        <w:lastRenderedPageBreak/>
        <w:t>The July 2019 resubmission stated that an association between bezlotoxumab and exacerbation of CHF has not been determined.  There was</w:t>
      </w:r>
      <w:r w:rsidRPr="00793690">
        <w:t xml:space="preserve"> no evidence of preclinical cardiac toxicity, the trials did not include CHF as a stratification factor and investigators did not collect information on CHF classification.  </w:t>
      </w:r>
      <w:r>
        <w:t xml:space="preserve">The subset of patients with CHF at baseline included </w:t>
      </w:r>
      <w:r w:rsidRPr="00310A58">
        <w:rPr>
          <w:rFonts w:eastAsia="Batang"/>
          <w:lang w:eastAsia="ko-KR"/>
        </w:rPr>
        <w:t xml:space="preserve">older patients with more comorbid conditions than the overall trial </w:t>
      </w:r>
      <w:r>
        <w:t xml:space="preserve">population, and there were imbalances in baseline characteristics across the arms.  The observed </w:t>
      </w:r>
      <w:r w:rsidRPr="000E4B56">
        <w:rPr>
          <w:lang w:val="en-US"/>
        </w:rPr>
        <w:t>difference in the number of deaths was not due to cardiac deaths</w:t>
      </w:r>
      <w:r>
        <w:rPr>
          <w:lang w:val="en-US"/>
        </w:rPr>
        <w:t>.</w:t>
      </w:r>
      <w:r w:rsidR="00637C09">
        <w:rPr>
          <w:lang w:val="en-US"/>
        </w:rPr>
        <w:t xml:space="preserve"> </w:t>
      </w:r>
      <w:r w:rsidR="00637C09" w:rsidRPr="00A873A2">
        <w:rPr>
          <w:lang w:val="en-US"/>
        </w:rPr>
        <w:t xml:space="preserve">The ESC reiterated its July 2019 advice that the signal for possible exacerbation of CHF remained, and that further data is required to evaluate this risk </w:t>
      </w:r>
      <w:r w:rsidR="002E1FD4" w:rsidRPr="00A873A2">
        <w:rPr>
          <w:iCs/>
        </w:rPr>
        <w:t>(paragraph 6.20</w:t>
      </w:r>
      <w:r w:rsidR="00637C09" w:rsidRPr="00A873A2">
        <w:rPr>
          <w:iCs/>
        </w:rPr>
        <w:t>, bezlotoxumab, Public Summary Document, July 2018 PBAC meeting)</w:t>
      </w:r>
      <w:r w:rsidR="00637C09" w:rsidRPr="00A873A2">
        <w:rPr>
          <w:lang w:val="en-US"/>
        </w:rPr>
        <w:t>.</w:t>
      </w:r>
    </w:p>
    <w:p w:rsidR="007F1017" w:rsidRPr="00C9624D" w:rsidRDefault="007F1017" w:rsidP="00D86231">
      <w:pPr>
        <w:pStyle w:val="4-SubsectionHeading"/>
      </w:pPr>
      <w:bookmarkStart w:id="16" w:name="_Toc22897643"/>
      <w:bookmarkStart w:id="17" w:name="_Toc30493365"/>
      <w:r w:rsidRPr="00C9624D">
        <w:t>Benefits/harms</w:t>
      </w:r>
      <w:bookmarkEnd w:id="16"/>
      <w:bookmarkEnd w:id="17"/>
    </w:p>
    <w:p w:rsidR="00730874" w:rsidRPr="00270683" w:rsidRDefault="00730874" w:rsidP="00006346">
      <w:pPr>
        <w:pStyle w:val="3-BodyText"/>
        <w:rPr>
          <w:rFonts w:ascii="Calibri" w:hAnsi="Calibri"/>
          <w:szCs w:val="22"/>
          <w:lang w:eastAsia="en-US"/>
        </w:rPr>
      </w:pPr>
      <w:r w:rsidRPr="00730874">
        <w:rPr>
          <w:rFonts w:ascii="Calibri" w:hAnsi="Calibri" w:cs="Calibri"/>
          <w:snapToGrid/>
          <w:lang w:val="en-US"/>
        </w:rPr>
        <w:t xml:space="preserve">A </w:t>
      </w:r>
      <w:r w:rsidRPr="00730874">
        <w:rPr>
          <w:rFonts w:ascii="Calibri" w:hAnsi="Calibri"/>
          <w:szCs w:val="22"/>
          <w:lang w:eastAsia="en-US"/>
        </w:rPr>
        <w:t xml:space="preserve">summary of the comparative benefits and harms for bezlotoxumab plus SoC versus SoC alone is presented in </w:t>
      </w:r>
      <w:r w:rsidRPr="00270683">
        <w:rPr>
          <w:rFonts w:ascii="Calibri" w:hAnsi="Calibri"/>
          <w:szCs w:val="22"/>
          <w:lang w:eastAsia="en-US"/>
        </w:rPr>
        <w:t xml:space="preserve">Table </w:t>
      </w:r>
      <w:r w:rsidR="00212BAE">
        <w:rPr>
          <w:rFonts w:ascii="Calibri" w:hAnsi="Calibri"/>
          <w:szCs w:val="22"/>
          <w:lang w:eastAsia="en-US"/>
        </w:rPr>
        <w:t>9</w:t>
      </w:r>
      <w:r w:rsidRPr="00270683">
        <w:rPr>
          <w:rFonts w:ascii="Calibri" w:hAnsi="Calibri"/>
          <w:szCs w:val="22"/>
          <w:lang w:eastAsia="en-US"/>
        </w:rPr>
        <w:t>.</w:t>
      </w:r>
    </w:p>
    <w:p w:rsidR="00730874" w:rsidRPr="00AE6AE0" w:rsidRDefault="00730874" w:rsidP="00AE6AE0">
      <w:pPr>
        <w:keepNext/>
        <w:jc w:val="left"/>
        <w:rPr>
          <w:rFonts w:ascii="Arial Narrow" w:eastAsiaTheme="majorEastAsia" w:hAnsi="Arial Narrow" w:cstheme="majorBidi"/>
          <w:b/>
          <w:bCs/>
          <w:sz w:val="20"/>
        </w:rPr>
      </w:pPr>
      <w:r w:rsidRPr="00AE6AE0">
        <w:rPr>
          <w:rFonts w:ascii="Arial Narrow" w:eastAsiaTheme="majorEastAsia" w:hAnsi="Arial Narrow" w:cstheme="majorBidi"/>
          <w:b/>
          <w:bCs/>
          <w:sz w:val="20"/>
        </w:rPr>
        <w:t xml:space="preserve">Table </w:t>
      </w:r>
      <w:r w:rsidR="00212BAE">
        <w:rPr>
          <w:rFonts w:ascii="Arial Narrow" w:eastAsiaTheme="majorEastAsia" w:hAnsi="Arial Narrow" w:cstheme="majorBidi"/>
          <w:b/>
          <w:bCs/>
          <w:sz w:val="20"/>
        </w:rPr>
        <w:t>9</w:t>
      </w:r>
      <w:r w:rsidRPr="00AE6AE0">
        <w:rPr>
          <w:rFonts w:ascii="Arial Narrow" w:eastAsiaTheme="majorEastAsia" w:hAnsi="Arial Narrow" w:cstheme="majorBidi"/>
          <w:b/>
          <w:bCs/>
          <w:sz w:val="20"/>
        </w:rPr>
        <w:t>: Summary of comparative benefits and harms for bezlotoxumab and SoC in the trials (total trial populations and high-risk subgroups) – Pooled data from MODIFY-I and MODIFY II trials</w:t>
      </w:r>
    </w:p>
    <w:tbl>
      <w:tblPr>
        <w:tblStyle w:val="TableGrid"/>
        <w:tblW w:w="4934" w:type="pct"/>
        <w:tblInd w:w="28" w:type="dxa"/>
        <w:tblLayout w:type="fixed"/>
        <w:tblCellMar>
          <w:left w:w="28" w:type="dxa"/>
          <w:right w:w="28" w:type="dxa"/>
        </w:tblCellMar>
        <w:tblLook w:val="04A0" w:firstRow="1" w:lastRow="0" w:firstColumn="1" w:lastColumn="0" w:noHBand="0" w:noVBand="1"/>
        <w:tblCaption w:val="Table 9: Summary of comparative benefits and harms for bezlotoxumab and SoC in the trials (total trial populations and high-risk subgroups) – Pooled data from MODIFY-I and MODIFY II trials"/>
      </w:tblPr>
      <w:tblGrid>
        <w:gridCol w:w="2221"/>
        <w:gridCol w:w="988"/>
        <w:gridCol w:w="842"/>
        <w:gridCol w:w="1409"/>
        <w:gridCol w:w="1020"/>
        <w:gridCol w:w="884"/>
        <w:gridCol w:w="1534"/>
      </w:tblGrid>
      <w:tr w:rsidR="00730874" w:rsidRPr="00730874" w:rsidTr="003B205F">
        <w:trPr>
          <w:trHeight w:val="150"/>
          <w:tblHeader/>
        </w:trPr>
        <w:tc>
          <w:tcPr>
            <w:tcW w:w="5000" w:type="pct"/>
            <w:gridSpan w:val="7"/>
            <w:shd w:val="clear" w:color="auto" w:fill="auto"/>
            <w:vAlign w:val="center"/>
          </w:tcPr>
          <w:p w:rsidR="00730874" w:rsidRPr="00730874" w:rsidRDefault="00730874" w:rsidP="00730874">
            <w:pPr>
              <w:keepNext/>
              <w:jc w:val="left"/>
              <w:rPr>
                <w:rFonts w:ascii="Arial Narrow" w:eastAsiaTheme="majorEastAsia" w:hAnsi="Arial Narrow" w:cstheme="majorBidi"/>
                <w:b/>
                <w:sz w:val="20"/>
                <w:szCs w:val="20"/>
                <w:u w:val="single"/>
              </w:rPr>
            </w:pPr>
            <w:r w:rsidRPr="00730874">
              <w:rPr>
                <w:rFonts w:ascii="Arial Narrow" w:eastAsiaTheme="majorEastAsia" w:hAnsi="Arial Narrow" w:cstheme="majorBidi"/>
                <w:b/>
                <w:bCs/>
                <w:sz w:val="20"/>
                <w:szCs w:val="20"/>
                <w:u w:val="single"/>
              </w:rPr>
              <w:t>Benefits</w:t>
            </w:r>
          </w:p>
        </w:tc>
      </w:tr>
      <w:tr w:rsidR="00730874" w:rsidRPr="00730874" w:rsidTr="00DD33B9">
        <w:trPr>
          <w:trHeight w:val="150"/>
        </w:trPr>
        <w:tc>
          <w:tcPr>
            <w:tcW w:w="5000" w:type="pct"/>
            <w:gridSpan w:val="7"/>
            <w:shd w:val="clear" w:color="auto" w:fill="auto"/>
            <w:vAlign w:val="center"/>
          </w:tcPr>
          <w:p w:rsidR="00730874" w:rsidRPr="00730874" w:rsidRDefault="00730874" w:rsidP="00730874">
            <w:pPr>
              <w:keepNext/>
              <w:jc w:val="left"/>
              <w:rPr>
                <w:rFonts w:ascii="Arial Narrow" w:eastAsiaTheme="majorEastAsia" w:hAnsi="Arial Narrow" w:cstheme="majorBidi"/>
                <w:bCs/>
                <w:sz w:val="20"/>
                <w:szCs w:val="20"/>
              </w:rPr>
            </w:pPr>
            <w:r w:rsidRPr="00730874">
              <w:rPr>
                <w:rFonts w:ascii="Arial Narrow" w:eastAsiaTheme="majorEastAsia" w:hAnsi="Arial Narrow" w:cstheme="majorBidi"/>
                <w:b/>
                <w:bCs/>
                <w:sz w:val="20"/>
                <w:szCs w:val="20"/>
              </w:rPr>
              <w:t xml:space="preserve">CDI recurrence at 12 weeks </w:t>
            </w:r>
          </w:p>
        </w:tc>
      </w:tr>
      <w:tr w:rsidR="00730874" w:rsidRPr="00730874" w:rsidTr="00DD33B9">
        <w:trPr>
          <w:trHeight w:val="175"/>
        </w:trPr>
        <w:tc>
          <w:tcPr>
            <w:tcW w:w="1248" w:type="pct"/>
            <w:vMerge w:val="restart"/>
            <w:shd w:val="clear" w:color="auto" w:fill="auto"/>
            <w:vAlign w:val="center"/>
          </w:tcPr>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Trial</w:t>
            </w:r>
          </w:p>
        </w:tc>
        <w:tc>
          <w:tcPr>
            <w:tcW w:w="555" w:type="pct"/>
            <w:vMerge w:val="restart"/>
            <w:shd w:val="clear" w:color="auto" w:fill="auto"/>
            <w:vAlign w:val="center"/>
          </w:tcPr>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Bez + SoC</w:t>
            </w:r>
          </w:p>
        </w:tc>
        <w:tc>
          <w:tcPr>
            <w:tcW w:w="473" w:type="pct"/>
            <w:vMerge w:val="restart"/>
            <w:shd w:val="clear" w:color="auto" w:fill="auto"/>
            <w:vAlign w:val="center"/>
          </w:tcPr>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SoC</w:t>
            </w:r>
          </w:p>
        </w:tc>
        <w:tc>
          <w:tcPr>
            <w:tcW w:w="792" w:type="pct"/>
            <w:vMerge w:val="restart"/>
            <w:shd w:val="clear" w:color="auto" w:fill="auto"/>
            <w:vAlign w:val="center"/>
          </w:tcPr>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RR</w:t>
            </w:r>
          </w:p>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(95% CI)</w:t>
            </w:r>
          </w:p>
        </w:tc>
        <w:tc>
          <w:tcPr>
            <w:tcW w:w="1070" w:type="pct"/>
            <w:gridSpan w:val="2"/>
            <w:shd w:val="clear" w:color="auto" w:fill="auto"/>
            <w:vAlign w:val="center"/>
          </w:tcPr>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Events/100 patients</w:t>
            </w:r>
            <w:r w:rsidRPr="00730874">
              <w:rPr>
                <w:rFonts w:ascii="Arial Narrow" w:eastAsiaTheme="majorEastAsia" w:hAnsi="Arial Narrow" w:cstheme="majorBidi"/>
                <w:b/>
                <w:bCs/>
                <w:sz w:val="20"/>
                <w:szCs w:val="20"/>
                <w:vertAlign w:val="superscript"/>
              </w:rPr>
              <w:t>a</w:t>
            </w:r>
          </w:p>
        </w:tc>
        <w:tc>
          <w:tcPr>
            <w:tcW w:w="862" w:type="pct"/>
            <w:vMerge w:val="restart"/>
            <w:shd w:val="clear" w:color="auto" w:fill="auto"/>
            <w:vAlign w:val="center"/>
          </w:tcPr>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RD</w:t>
            </w:r>
          </w:p>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(95% CI)</w:t>
            </w:r>
          </w:p>
        </w:tc>
      </w:tr>
      <w:tr w:rsidR="00730874" w:rsidRPr="00730874" w:rsidTr="00DD33B9">
        <w:trPr>
          <w:trHeight w:val="80"/>
        </w:trPr>
        <w:tc>
          <w:tcPr>
            <w:tcW w:w="1248" w:type="pct"/>
            <w:vMerge/>
            <w:shd w:val="clear" w:color="auto" w:fill="auto"/>
            <w:vAlign w:val="center"/>
          </w:tcPr>
          <w:p w:rsidR="00730874" w:rsidRPr="00730874" w:rsidRDefault="00730874" w:rsidP="00730874">
            <w:pPr>
              <w:keepNext/>
              <w:jc w:val="left"/>
              <w:rPr>
                <w:rFonts w:ascii="Arial Narrow" w:eastAsiaTheme="majorEastAsia" w:hAnsi="Arial Narrow" w:cstheme="majorBidi"/>
                <w:bCs/>
                <w:sz w:val="20"/>
                <w:szCs w:val="20"/>
              </w:rPr>
            </w:pPr>
          </w:p>
        </w:tc>
        <w:tc>
          <w:tcPr>
            <w:tcW w:w="555" w:type="pct"/>
            <w:vMerge/>
            <w:shd w:val="clear" w:color="auto" w:fill="auto"/>
            <w:vAlign w:val="center"/>
          </w:tcPr>
          <w:p w:rsidR="00730874" w:rsidRPr="00730874" w:rsidRDefault="00730874" w:rsidP="00730874">
            <w:pPr>
              <w:keepNext/>
              <w:jc w:val="center"/>
              <w:rPr>
                <w:rFonts w:ascii="Arial Narrow" w:eastAsiaTheme="majorEastAsia" w:hAnsi="Arial Narrow" w:cstheme="majorBidi"/>
                <w:bCs/>
                <w:sz w:val="20"/>
                <w:szCs w:val="20"/>
              </w:rPr>
            </w:pPr>
          </w:p>
        </w:tc>
        <w:tc>
          <w:tcPr>
            <w:tcW w:w="473" w:type="pct"/>
            <w:vMerge/>
            <w:shd w:val="clear" w:color="auto" w:fill="auto"/>
            <w:vAlign w:val="center"/>
          </w:tcPr>
          <w:p w:rsidR="00730874" w:rsidRPr="00730874" w:rsidRDefault="00730874" w:rsidP="00730874">
            <w:pPr>
              <w:keepNext/>
              <w:jc w:val="center"/>
              <w:rPr>
                <w:rFonts w:ascii="Arial Narrow" w:eastAsiaTheme="majorEastAsia" w:hAnsi="Arial Narrow" w:cstheme="majorBidi"/>
                <w:bCs/>
                <w:sz w:val="20"/>
                <w:szCs w:val="20"/>
              </w:rPr>
            </w:pPr>
          </w:p>
        </w:tc>
        <w:tc>
          <w:tcPr>
            <w:tcW w:w="792" w:type="pct"/>
            <w:vMerge/>
            <w:shd w:val="clear" w:color="auto" w:fill="auto"/>
            <w:vAlign w:val="center"/>
          </w:tcPr>
          <w:p w:rsidR="00730874" w:rsidRPr="00730874" w:rsidRDefault="00730874" w:rsidP="00730874">
            <w:pPr>
              <w:keepNext/>
              <w:jc w:val="center"/>
              <w:rPr>
                <w:rFonts w:ascii="Arial Narrow" w:eastAsiaTheme="majorEastAsia" w:hAnsi="Arial Narrow" w:cstheme="majorBidi"/>
                <w:bCs/>
                <w:sz w:val="20"/>
                <w:szCs w:val="20"/>
              </w:rPr>
            </w:pPr>
          </w:p>
        </w:tc>
        <w:tc>
          <w:tcPr>
            <w:tcW w:w="573" w:type="pct"/>
            <w:shd w:val="clear" w:color="auto" w:fill="auto"/>
          </w:tcPr>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Bez + SoC</w:t>
            </w:r>
          </w:p>
        </w:tc>
        <w:tc>
          <w:tcPr>
            <w:tcW w:w="497" w:type="pct"/>
            <w:shd w:val="clear" w:color="auto" w:fill="auto"/>
          </w:tcPr>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 xml:space="preserve">SoC </w:t>
            </w:r>
          </w:p>
        </w:tc>
        <w:tc>
          <w:tcPr>
            <w:tcW w:w="862" w:type="pct"/>
            <w:vMerge/>
            <w:shd w:val="clear" w:color="auto" w:fill="auto"/>
            <w:vAlign w:val="center"/>
          </w:tcPr>
          <w:p w:rsidR="00730874" w:rsidRPr="00730874" w:rsidRDefault="00730874" w:rsidP="00730874">
            <w:pPr>
              <w:keepNext/>
              <w:jc w:val="center"/>
              <w:rPr>
                <w:rFonts w:ascii="Arial Narrow" w:eastAsiaTheme="majorEastAsia" w:hAnsi="Arial Narrow" w:cstheme="majorBidi"/>
                <w:bCs/>
                <w:sz w:val="20"/>
                <w:szCs w:val="20"/>
              </w:rPr>
            </w:pPr>
          </w:p>
        </w:tc>
      </w:tr>
      <w:tr w:rsidR="00730874" w:rsidRPr="00730874" w:rsidTr="00DD33B9">
        <w:tc>
          <w:tcPr>
            <w:tcW w:w="1248" w:type="pct"/>
            <w:shd w:val="clear" w:color="auto" w:fill="auto"/>
            <w:vAlign w:val="center"/>
          </w:tcPr>
          <w:p w:rsidR="00730874" w:rsidRDefault="00730874" w:rsidP="00730874">
            <w:pPr>
              <w:keepNext/>
              <w:ind w:left="81"/>
              <w:jc w:val="left"/>
              <w:rPr>
                <w:rFonts w:ascii="Arial Narrow" w:eastAsiaTheme="majorEastAsia" w:hAnsi="Arial Narrow" w:cstheme="majorBidi"/>
                <w:bCs/>
                <w:sz w:val="20"/>
                <w:szCs w:val="20"/>
              </w:rPr>
            </w:pPr>
            <w:r w:rsidRPr="00730874">
              <w:rPr>
                <w:rFonts w:ascii="Arial Narrow" w:eastAsiaTheme="majorEastAsia" w:hAnsi="Arial Narrow" w:cstheme="majorBidi"/>
                <w:bCs/>
                <w:sz w:val="20"/>
                <w:szCs w:val="20"/>
              </w:rPr>
              <w:t xml:space="preserve">≥1 of 2 risk factors </w:t>
            </w:r>
          </w:p>
          <w:p w:rsidR="00730874" w:rsidRPr="00730874" w:rsidRDefault="00730874" w:rsidP="00730874">
            <w:pPr>
              <w:keepNext/>
              <w:ind w:left="81"/>
              <w:jc w:val="left"/>
              <w:rPr>
                <w:rFonts w:ascii="Arial Narrow" w:eastAsiaTheme="majorEastAsia" w:hAnsi="Arial Narrow" w:cstheme="majorBidi"/>
                <w:bCs/>
                <w:sz w:val="20"/>
                <w:szCs w:val="20"/>
              </w:rPr>
            </w:pPr>
            <w:r w:rsidRPr="00730874">
              <w:rPr>
                <w:rFonts w:ascii="Arial Narrow" w:eastAsiaTheme="majorEastAsia" w:hAnsi="Arial Narrow" w:cstheme="majorBidi"/>
                <w:bCs/>
                <w:sz w:val="20"/>
                <w:szCs w:val="20"/>
              </w:rPr>
              <w:t>(≥65; CDI history)</w:t>
            </w:r>
          </w:p>
        </w:tc>
        <w:tc>
          <w:tcPr>
            <w:tcW w:w="555" w:type="pct"/>
            <w:shd w:val="clear" w:color="auto" w:fill="auto"/>
            <w:vAlign w:val="center"/>
          </w:tcPr>
          <w:p w:rsidR="00730874" w:rsidRPr="00C2129C" w:rsidRDefault="00730874" w:rsidP="00730874">
            <w:pPr>
              <w:keepNext/>
              <w:jc w:val="center"/>
              <w:rPr>
                <w:rFonts w:ascii="Arial Narrow" w:eastAsiaTheme="majorEastAsia" w:hAnsi="Arial Narrow" w:cstheme="majorBidi"/>
                <w:bCs/>
                <w:sz w:val="20"/>
                <w:szCs w:val="20"/>
              </w:rPr>
            </w:pPr>
            <w:r w:rsidRPr="00C2129C">
              <w:rPr>
                <w:rFonts w:ascii="Arial Narrow" w:eastAsiaTheme="majorEastAsia" w:hAnsi="Arial Narrow" w:cstheme="majorBidi"/>
                <w:bCs/>
                <w:snapToGrid w:val="0"/>
                <w:sz w:val="20"/>
                <w:szCs w:val="20"/>
                <w:lang w:eastAsia="en-US"/>
              </w:rPr>
              <w:t>41/254</w:t>
            </w:r>
          </w:p>
        </w:tc>
        <w:tc>
          <w:tcPr>
            <w:tcW w:w="473" w:type="pct"/>
            <w:shd w:val="clear" w:color="auto" w:fill="auto"/>
            <w:vAlign w:val="center"/>
          </w:tcPr>
          <w:p w:rsidR="00730874" w:rsidRPr="00C2129C" w:rsidRDefault="00730874" w:rsidP="00730874">
            <w:pPr>
              <w:keepNext/>
              <w:jc w:val="center"/>
              <w:rPr>
                <w:rFonts w:ascii="Arial Narrow" w:eastAsiaTheme="majorEastAsia" w:hAnsi="Arial Narrow" w:cstheme="majorBidi"/>
                <w:bCs/>
                <w:sz w:val="20"/>
                <w:szCs w:val="20"/>
              </w:rPr>
            </w:pPr>
            <w:r w:rsidRPr="00C2129C">
              <w:rPr>
                <w:rFonts w:ascii="Arial Narrow" w:eastAsiaTheme="majorEastAsia" w:hAnsi="Arial Narrow" w:cstheme="majorBidi"/>
                <w:bCs/>
                <w:snapToGrid w:val="0"/>
                <w:sz w:val="20"/>
                <w:szCs w:val="20"/>
                <w:lang w:eastAsia="en-US"/>
              </w:rPr>
              <w:t>86/266</w:t>
            </w:r>
          </w:p>
        </w:tc>
        <w:tc>
          <w:tcPr>
            <w:tcW w:w="792" w:type="pct"/>
            <w:shd w:val="clear" w:color="auto" w:fill="auto"/>
            <w:vAlign w:val="center"/>
          </w:tcPr>
          <w:p w:rsidR="00730874" w:rsidRPr="00492FB6" w:rsidRDefault="00730874" w:rsidP="00730874">
            <w:pPr>
              <w:keepNext/>
              <w:jc w:val="center"/>
              <w:rPr>
                <w:rFonts w:ascii="Arial Narrow" w:eastAsiaTheme="majorEastAsia" w:hAnsi="Arial Narrow" w:cstheme="majorBidi"/>
                <w:b/>
                <w:bCs/>
                <w:iCs/>
                <w:sz w:val="20"/>
                <w:szCs w:val="20"/>
              </w:rPr>
            </w:pPr>
            <w:r w:rsidRPr="00492FB6">
              <w:rPr>
                <w:rFonts w:ascii="Arial Narrow" w:eastAsiaTheme="majorEastAsia" w:hAnsi="Arial Narrow" w:cstheme="majorBidi"/>
                <w:b/>
                <w:bCs/>
                <w:iCs/>
                <w:snapToGrid w:val="0"/>
                <w:sz w:val="20"/>
                <w:szCs w:val="20"/>
                <w:lang w:eastAsia="en-US"/>
              </w:rPr>
              <w:t>0.50 (0.36, 0.69</w:t>
            </w:r>
            <w:r w:rsidRPr="00492FB6">
              <w:rPr>
                <w:rFonts w:ascii="Arial Narrow" w:eastAsiaTheme="majorEastAsia" w:hAnsi="Arial Narrow" w:cstheme="majorBidi"/>
                <w:b/>
                <w:bCs/>
                <w:snapToGrid w:val="0"/>
                <w:sz w:val="20"/>
                <w:szCs w:val="20"/>
                <w:lang w:eastAsia="en-US"/>
              </w:rPr>
              <w:t>)</w:t>
            </w:r>
            <w:r w:rsidR="00492FB6" w:rsidRPr="00492FB6">
              <w:rPr>
                <w:rFonts w:ascii="Arial Narrow" w:eastAsiaTheme="majorEastAsia" w:hAnsi="Arial Narrow" w:cstheme="majorBidi"/>
                <w:b/>
                <w:bCs/>
                <w:snapToGrid w:val="0"/>
                <w:sz w:val="20"/>
                <w:szCs w:val="20"/>
                <w:lang w:eastAsia="en-US"/>
              </w:rPr>
              <w:t>*</w:t>
            </w:r>
          </w:p>
        </w:tc>
        <w:tc>
          <w:tcPr>
            <w:tcW w:w="573" w:type="pct"/>
            <w:shd w:val="clear" w:color="auto" w:fill="auto"/>
            <w:vAlign w:val="center"/>
          </w:tcPr>
          <w:p w:rsidR="00730874" w:rsidRPr="00C2129C" w:rsidRDefault="00730874" w:rsidP="00730874">
            <w:pPr>
              <w:keepNext/>
              <w:jc w:val="center"/>
              <w:rPr>
                <w:rFonts w:ascii="Arial Narrow" w:eastAsiaTheme="majorEastAsia" w:hAnsi="Arial Narrow" w:cstheme="majorBidi"/>
                <w:bCs/>
                <w:sz w:val="20"/>
                <w:szCs w:val="20"/>
              </w:rPr>
            </w:pPr>
            <w:r w:rsidRPr="00C2129C">
              <w:rPr>
                <w:rFonts w:ascii="Arial Narrow" w:eastAsiaTheme="majorEastAsia" w:hAnsi="Arial Narrow" w:cstheme="majorBidi"/>
                <w:bCs/>
                <w:sz w:val="20"/>
                <w:szCs w:val="20"/>
              </w:rPr>
              <w:t>16.1</w:t>
            </w:r>
          </w:p>
        </w:tc>
        <w:tc>
          <w:tcPr>
            <w:tcW w:w="497" w:type="pct"/>
            <w:shd w:val="clear" w:color="auto" w:fill="auto"/>
            <w:vAlign w:val="center"/>
          </w:tcPr>
          <w:p w:rsidR="00730874" w:rsidRPr="00C2129C" w:rsidRDefault="00730874" w:rsidP="00730874">
            <w:pPr>
              <w:keepNext/>
              <w:jc w:val="center"/>
              <w:rPr>
                <w:rFonts w:ascii="Arial Narrow" w:eastAsiaTheme="majorEastAsia" w:hAnsi="Arial Narrow" w:cstheme="majorBidi"/>
                <w:bCs/>
                <w:sz w:val="20"/>
                <w:szCs w:val="20"/>
              </w:rPr>
            </w:pPr>
            <w:r w:rsidRPr="00C2129C">
              <w:rPr>
                <w:rFonts w:ascii="Arial Narrow" w:eastAsiaTheme="majorEastAsia" w:hAnsi="Arial Narrow" w:cstheme="majorBidi"/>
                <w:bCs/>
                <w:sz w:val="20"/>
                <w:szCs w:val="20"/>
              </w:rPr>
              <w:t>32.3</w:t>
            </w:r>
          </w:p>
        </w:tc>
        <w:tc>
          <w:tcPr>
            <w:tcW w:w="862" w:type="pct"/>
            <w:shd w:val="clear" w:color="auto" w:fill="auto"/>
            <w:vAlign w:val="center"/>
          </w:tcPr>
          <w:p w:rsidR="00730874" w:rsidRPr="00C2129C" w:rsidRDefault="00730874" w:rsidP="00730874">
            <w:pPr>
              <w:keepNext/>
              <w:jc w:val="center"/>
              <w:rPr>
                <w:rFonts w:ascii="Arial Narrow" w:eastAsiaTheme="majorEastAsia" w:hAnsi="Arial Narrow" w:cstheme="majorBidi"/>
                <w:b/>
                <w:bCs/>
                <w:sz w:val="20"/>
                <w:szCs w:val="20"/>
              </w:rPr>
            </w:pPr>
            <w:r w:rsidRPr="00C2129C">
              <w:rPr>
                <w:rFonts w:ascii="Arial Narrow" w:eastAsiaTheme="majorEastAsia" w:hAnsi="Arial Narrow" w:cstheme="majorBidi"/>
                <w:b/>
                <w:snapToGrid w:val="0"/>
                <w:sz w:val="20"/>
                <w:szCs w:val="20"/>
                <w:lang w:eastAsia="en-US"/>
              </w:rPr>
              <w:t>-15.6 (-22.9, -8.3)</w:t>
            </w:r>
          </w:p>
        </w:tc>
      </w:tr>
      <w:tr w:rsidR="00730874" w:rsidRPr="00730874" w:rsidTr="00DD33B9">
        <w:tc>
          <w:tcPr>
            <w:tcW w:w="5000" w:type="pct"/>
            <w:gridSpan w:val="7"/>
            <w:shd w:val="clear" w:color="auto" w:fill="auto"/>
            <w:vAlign w:val="center"/>
          </w:tcPr>
          <w:p w:rsidR="00730874" w:rsidRPr="00492FB6" w:rsidRDefault="00730874" w:rsidP="00730874">
            <w:pPr>
              <w:keepNext/>
              <w:jc w:val="left"/>
              <w:rPr>
                <w:rFonts w:ascii="Arial Narrow" w:eastAsiaTheme="majorEastAsia" w:hAnsi="Arial Narrow" w:cstheme="majorBidi"/>
                <w:b/>
                <w:sz w:val="20"/>
                <w:szCs w:val="20"/>
              </w:rPr>
            </w:pPr>
            <w:r w:rsidRPr="00492FB6">
              <w:rPr>
                <w:rFonts w:ascii="Arial Narrow" w:eastAsiaTheme="majorEastAsia" w:hAnsi="Arial Narrow" w:cstheme="majorBidi"/>
                <w:b/>
                <w:bCs/>
                <w:sz w:val="20"/>
                <w:szCs w:val="20"/>
              </w:rPr>
              <w:t xml:space="preserve">Global cure at 12 weeks </w:t>
            </w:r>
          </w:p>
        </w:tc>
      </w:tr>
      <w:tr w:rsidR="00730874" w:rsidRPr="00730874" w:rsidTr="00DD33B9">
        <w:tc>
          <w:tcPr>
            <w:tcW w:w="1248" w:type="pct"/>
            <w:shd w:val="clear" w:color="auto" w:fill="auto"/>
            <w:vAlign w:val="center"/>
          </w:tcPr>
          <w:p w:rsidR="00730874" w:rsidRDefault="00730874" w:rsidP="00730874">
            <w:pPr>
              <w:keepNext/>
              <w:ind w:left="81"/>
              <w:jc w:val="left"/>
              <w:rPr>
                <w:rFonts w:ascii="Arial Narrow" w:eastAsiaTheme="majorEastAsia" w:hAnsi="Arial Narrow" w:cstheme="majorBidi"/>
                <w:bCs/>
                <w:sz w:val="20"/>
                <w:szCs w:val="20"/>
              </w:rPr>
            </w:pPr>
            <w:r w:rsidRPr="00730874">
              <w:rPr>
                <w:rFonts w:ascii="Arial Narrow" w:eastAsiaTheme="majorEastAsia" w:hAnsi="Arial Narrow" w:cstheme="majorBidi"/>
                <w:bCs/>
                <w:sz w:val="20"/>
                <w:szCs w:val="20"/>
              </w:rPr>
              <w:t xml:space="preserve">≥1 of 2 risk factors </w:t>
            </w:r>
          </w:p>
          <w:p w:rsidR="00730874" w:rsidRPr="00730874" w:rsidRDefault="00730874" w:rsidP="00730874">
            <w:pPr>
              <w:keepNext/>
              <w:ind w:left="81"/>
              <w:jc w:val="left"/>
              <w:rPr>
                <w:rFonts w:ascii="Arial Narrow" w:eastAsiaTheme="majorEastAsia" w:hAnsi="Arial Narrow" w:cstheme="majorBidi"/>
                <w:bCs/>
                <w:sz w:val="20"/>
                <w:szCs w:val="20"/>
              </w:rPr>
            </w:pPr>
            <w:r w:rsidRPr="00730874">
              <w:rPr>
                <w:rFonts w:ascii="Arial Narrow" w:eastAsiaTheme="majorEastAsia" w:hAnsi="Arial Narrow" w:cstheme="majorBidi"/>
                <w:bCs/>
                <w:sz w:val="20"/>
                <w:szCs w:val="20"/>
              </w:rPr>
              <w:t>(≥65; CDI history)</w:t>
            </w:r>
          </w:p>
        </w:tc>
        <w:tc>
          <w:tcPr>
            <w:tcW w:w="555" w:type="pct"/>
            <w:shd w:val="clear" w:color="auto" w:fill="auto"/>
            <w:vAlign w:val="center"/>
          </w:tcPr>
          <w:p w:rsidR="00730874" w:rsidRPr="00C2129C" w:rsidRDefault="00730874" w:rsidP="00730874">
            <w:pPr>
              <w:keepNext/>
              <w:jc w:val="center"/>
              <w:rPr>
                <w:rFonts w:ascii="Arial Narrow" w:eastAsiaTheme="majorEastAsia" w:hAnsi="Arial Narrow" w:cstheme="majorBidi"/>
                <w:bCs/>
                <w:sz w:val="20"/>
                <w:szCs w:val="20"/>
              </w:rPr>
            </w:pPr>
            <w:r w:rsidRPr="00C2129C">
              <w:rPr>
                <w:rFonts w:ascii="Arial Narrow" w:eastAsiaTheme="majorEastAsia" w:hAnsi="Arial Narrow" w:cstheme="majorBidi"/>
                <w:bCs/>
                <w:sz w:val="20"/>
                <w:szCs w:val="20"/>
              </w:rPr>
              <w:t>166/254</w:t>
            </w:r>
          </w:p>
        </w:tc>
        <w:tc>
          <w:tcPr>
            <w:tcW w:w="473" w:type="pct"/>
            <w:shd w:val="clear" w:color="auto" w:fill="auto"/>
            <w:vAlign w:val="center"/>
          </w:tcPr>
          <w:p w:rsidR="00730874" w:rsidRPr="00C2129C" w:rsidRDefault="00730874" w:rsidP="00730874">
            <w:pPr>
              <w:keepNext/>
              <w:jc w:val="center"/>
              <w:rPr>
                <w:rFonts w:ascii="Arial Narrow" w:eastAsiaTheme="majorEastAsia" w:hAnsi="Arial Narrow" w:cstheme="majorBidi"/>
                <w:bCs/>
                <w:sz w:val="20"/>
                <w:szCs w:val="20"/>
              </w:rPr>
            </w:pPr>
            <w:r w:rsidRPr="00C2129C">
              <w:rPr>
                <w:rFonts w:ascii="Arial Narrow" w:eastAsiaTheme="majorEastAsia" w:hAnsi="Arial Narrow" w:cstheme="majorBidi"/>
                <w:bCs/>
                <w:sz w:val="20"/>
                <w:szCs w:val="20"/>
              </w:rPr>
              <w:t>135/266</w:t>
            </w:r>
          </w:p>
        </w:tc>
        <w:tc>
          <w:tcPr>
            <w:tcW w:w="792" w:type="pct"/>
            <w:shd w:val="clear" w:color="auto" w:fill="auto"/>
            <w:vAlign w:val="center"/>
          </w:tcPr>
          <w:p w:rsidR="00730874" w:rsidRPr="00492FB6" w:rsidRDefault="00730874" w:rsidP="00730874">
            <w:pPr>
              <w:keepNext/>
              <w:jc w:val="center"/>
              <w:rPr>
                <w:rFonts w:ascii="Arial Narrow" w:eastAsiaTheme="majorEastAsia" w:hAnsi="Arial Narrow" w:cstheme="majorBidi"/>
                <w:b/>
                <w:bCs/>
                <w:iCs/>
                <w:sz w:val="20"/>
                <w:szCs w:val="20"/>
              </w:rPr>
            </w:pPr>
            <w:r w:rsidRPr="00492FB6">
              <w:rPr>
                <w:rFonts w:ascii="Arial Narrow" w:eastAsiaTheme="majorEastAsia" w:hAnsi="Arial Narrow" w:cstheme="majorBidi"/>
                <w:b/>
                <w:bCs/>
                <w:iCs/>
                <w:snapToGrid w:val="0"/>
                <w:sz w:val="20"/>
                <w:szCs w:val="20"/>
                <w:lang w:eastAsia="en-US"/>
              </w:rPr>
              <w:t>1.29 (1.11, 1.49</w:t>
            </w:r>
            <w:r w:rsidRPr="00492FB6">
              <w:rPr>
                <w:rFonts w:ascii="Arial Narrow" w:eastAsiaTheme="majorEastAsia" w:hAnsi="Arial Narrow" w:cstheme="majorBidi"/>
                <w:b/>
                <w:bCs/>
                <w:snapToGrid w:val="0"/>
                <w:sz w:val="20"/>
                <w:szCs w:val="20"/>
                <w:lang w:eastAsia="en-US"/>
              </w:rPr>
              <w:t>)</w:t>
            </w:r>
            <w:r w:rsidR="00492FB6" w:rsidRPr="00492FB6">
              <w:rPr>
                <w:rFonts w:ascii="Arial Narrow" w:eastAsiaTheme="majorEastAsia" w:hAnsi="Arial Narrow" w:cstheme="majorBidi"/>
                <w:b/>
                <w:bCs/>
                <w:snapToGrid w:val="0"/>
                <w:sz w:val="20"/>
                <w:szCs w:val="20"/>
                <w:lang w:eastAsia="en-US"/>
              </w:rPr>
              <w:t>*</w:t>
            </w:r>
          </w:p>
        </w:tc>
        <w:tc>
          <w:tcPr>
            <w:tcW w:w="573" w:type="pct"/>
            <w:shd w:val="clear" w:color="auto" w:fill="auto"/>
            <w:vAlign w:val="center"/>
          </w:tcPr>
          <w:p w:rsidR="00730874" w:rsidRPr="00C2129C" w:rsidRDefault="00730874" w:rsidP="00730874">
            <w:pPr>
              <w:keepNext/>
              <w:jc w:val="center"/>
              <w:rPr>
                <w:rFonts w:ascii="Arial Narrow" w:eastAsiaTheme="majorEastAsia" w:hAnsi="Arial Narrow" w:cstheme="majorBidi"/>
                <w:bCs/>
                <w:sz w:val="20"/>
                <w:szCs w:val="20"/>
              </w:rPr>
            </w:pPr>
            <w:r w:rsidRPr="00C2129C">
              <w:rPr>
                <w:rFonts w:ascii="Arial Narrow" w:eastAsiaTheme="majorEastAsia" w:hAnsi="Arial Narrow" w:cstheme="majorBidi"/>
                <w:bCs/>
                <w:sz w:val="20"/>
                <w:szCs w:val="20"/>
              </w:rPr>
              <w:t>65.4</w:t>
            </w:r>
          </w:p>
        </w:tc>
        <w:tc>
          <w:tcPr>
            <w:tcW w:w="497" w:type="pct"/>
            <w:shd w:val="clear" w:color="auto" w:fill="auto"/>
            <w:vAlign w:val="center"/>
          </w:tcPr>
          <w:p w:rsidR="00730874" w:rsidRPr="00C2129C" w:rsidRDefault="00730874" w:rsidP="00730874">
            <w:pPr>
              <w:keepNext/>
              <w:jc w:val="center"/>
              <w:rPr>
                <w:rFonts w:ascii="Arial Narrow" w:eastAsiaTheme="majorEastAsia" w:hAnsi="Arial Narrow" w:cstheme="majorBidi"/>
                <w:bCs/>
                <w:sz w:val="20"/>
                <w:szCs w:val="20"/>
              </w:rPr>
            </w:pPr>
            <w:r w:rsidRPr="00C2129C">
              <w:rPr>
                <w:rFonts w:ascii="Arial Narrow" w:eastAsiaTheme="majorEastAsia" w:hAnsi="Arial Narrow" w:cstheme="majorBidi"/>
                <w:bCs/>
                <w:sz w:val="20"/>
                <w:szCs w:val="20"/>
              </w:rPr>
              <w:t>50.8</w:t>
            </w:r>
          </w:p>
        </w:tc>
        <w:tc>
          <w:tcPr>
            <w:tcW w:w="862" w:type="pct"/>
            <w:shd w:val="clear" w:color="auto" w:fill="auto"/>
            <w:vAlign w:val="center"/>
          </w:tcPr>
          <w:p w:rsidR="00730874" w:rsidRPr="00C2129C" w:rsidRDefault="00730874" w:rsidP="00730874">
            <w:pPr>
              <w:keepNext/>
              <w:jc w:val="center"/>
              <w:rPr>
                <w:rFonts w:ascii="Arial Narrow" w:eastAsiaTheme="majorEastAsia" w:hAnsi="Arial Narrow" w:cstheme="majorBidi"/>
                <w:b/>
                <w:bCs/>
                <w:sz w:val="20"/>
                <w:szCs w:val="20"/>
              </w:rPr>
            </w:pPr>
            <w:r w:rsidRPr="00C2129C">
              <w:rPr>
                <w:rFonts w:ascii="Arial Narrow" w:eastAsiaTheme="majorEastAsia" w:hAnsi="Arial Narrow" w:cstheme="majorBidi"/>
                <w:b/>
                <w:snapToGrid w:val="0"/>
                <w:sz w:val="20"/>
                <w:szCs w:val="20"/>
                <w:lang w:eastAsia="en-US"/>
              </w:rPr>
              <w:t>13.7 (5.2, 22.1)</w:t>
            </w:r>
          </w:p>
        </w:tc>
      </w:tr>
      <w:tr w:rsidR="00730874" w:rsidRPr="00730874" w:rsidTr="00DD33B9">
        <w:tc>
          <w:tcPr>
            <w:tcW w:w="5000" w:type="pct"/>
            <w:gridSpan w:val="7"/>
            <w:tcBorders>
              <w:top w:val="double" w:sz="4" w:space="0" w:color="auto"/>
            </w:tcBorders>
            <w:shd w:val="clear" w:color="auto" w:fill="auto"/>
            <w:vAlign w:val="center"/>
          </w:tcPr>
          <w:p w:rsidR="00730874" w:rsidRPr="00730874" w:rsidRDefault="00730874" w:rsidP="00730874">
            <w:pPr>
              <w:keepNext/>
              <w:jc w:val="left"/>
              <w:rPr>
                <w:rFonts w:ascii="Arial Narrow" w:eastAsiaTheme="majorEastAsia" w:hAnsi="Arial Narrow" w:cstheme="majorBidi"/>
                <w:b/>
                <w:bCs/>
                <w:sz w:val="20"/>
                <w:szCs w:val="20"/>
                <w:u w:val="single"/>
              </w:rPr>
            </w:pPr>
            <w:r w:rsidRPr="00730874">
              <w:rPr>
                <w:rFonts w:ascii="Arial Narrow" w:eastAsiaTheme="majorEastAsia" w:hAnsi="Arial Narrow" w:cstheme="majorBidi"/>
                <w:b/>
                <w:bCs/>
                <w:sz w:val="20"/>
                <w:szCs w:val="20"/>
                <w:u w:val="single"/>
              </w:rPr>
              <w:t>Harms</w:t>
            </w:r>
          </w:p>
        </w:tc>
      </w:tr>
      <w:tr w:rsidR="00730874" w:rsidRPr="00730874" w:rsidTr="00DD33B9">
        <w:trPr>
          <w:trHeight w:val="70"/>
        </w:trPr>
        <w:tc>
          <w:tcPr>
            <w:tcW w:w="1248" w:type="pct"/>
            <w:vMerge w:val="restart"/>
            <w:shd w:val="clear" w:color="auto" w:fill="auto"/>
            <w:vAlign w:val="center"/>
          </w:tcPr>
          <w:p w:rsidR="00730874" w:rsidRPr="00730874" w:rsidRDefault="00730874" w:rsidP="00730874">
            <w:pPr>
              <w:keepNext/>
              <w:jc w:val="center"/>
              <w:rPr>
                <w:rFonts w:ascii="Arial Narrow" w:eastAsiaTheme="majorEastAsia" w:hAnsi="Arial Narrow" w:cstheme="majorBidi"/>
                <w:bCs/>
                <w:sz w:val="20"/>
                <w:szCs w:val="20"/>
              </w:rPr>
            </w:pPr>
          </w:p>
        </w:tc>
        <w:tc>
          <w:tcPr>
            <w:tcW w:w="555" w:type="pct"/>
            <w:vMerge w:val="restart"/>
            <w:shd w:val="clear" w:color="auto" w:fill="auto"/>
            <w:vAlign w:val="center"/>
          </w:tcPr>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Bez + SoC</w:t>
            </w:r>
          </w:p>
        </w:tc>
        <w:tc>
          <w:tcPr>
            <w:tcW w:w="473" w:type="pct"/>
            <w:vMerge w:val="restart"/>
            <w:shd w:val="clear" w:color="auto" w:fill="auto"/>
            <w:vAlign w:val="center"/>
          </w:tcPr>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SoC</w:t>
            </w:r>
          </w:p>
        </w:tc>
        <w:tc>
          <w:tcPr>
            <w:tcW w:w="792" w:type="pct"/>
            <w:vMerge w:val="restart"/>
            <w:shd w:val="clear" w:color="auto" w:fill="auto"/>
            <w:vAlign w:val="center"/>
          </w:tcPr>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RR</w:t>
            </w:r>
          </w:p>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(95% CI)</w:t>
            </w:r>
          </w:p>
        </w:tc>
        <w:tc>
          <w:tcPr>
            <w:tcW w:w="1070" w:type="pct"/>
            <w:gridSpan w:val="2"/>
            <w:shd w:val="clear" w:color="auto" w:fill="auto"/>
            <w:vAlign w:val="center"/>
          </w:tcPr>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Events/100 patients</w:t>
            </w:r>
            <w:r w:rsidRPr="00730874">
              <w:rPr>
                <w:rFonts w:ascii="Arial Narrow" w:eastAsiaTheme="majorEastAsia" w:hAnsi="Arial Narrow" w:cstheme="majorBidi"/>
                <w:b/>
                <w:bCs/>
                <w:sz w:val="20"/>
                <w:szCs w:val="20"/>
                <w:vertAlign w:val="superscript"/>
              </w:rPr>
              <w:t>a</w:t>
            </w:r>
          </w:p>
        </w:tc>
        <w:tc>
          <w:tcPr>
            <w:tcW w:w="862" w:type="pct"/>
            <w:vMerge w:val="restart"/>
            <w:shd w:val="clear" w:color="auto" w:fill="auto"/>
            <w:vAlign w:val="center"/>
          </w:tcPr>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RD</w:t>
            </w:r>
          </w:p>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(95% CI)</w:t>
            </w:r>
          </w:p>
        </w:tc>
      </w:tr>
      <w:tr w:rsidR="00730874" w:rsidRPr="00730874" w:rsidTr="00DD33B9">
        <w:trPr>
          <w:trHeight w:val="129"/>
        </w:trPr>
        <w:tc>
          <w:tcPr>
            <w:tcW w:w="1248" w:type="pct"/>
            <w:vMerge/>
            <w:shd w:val="clear" w:color="auto" w:fill="auto"/>
            <w:vAlign w:val="center"/>
          </w:tcPr>
          <w:p w:rsidR="00730874" w:rsidRPr="00730874" w:rsidRDefault="00730874" w:rsidP="00730874">
            <w:pPr>
              <w:keepNext/>
              <w:jc w:val="left"/>
              <w:rPr>
                <w:rFonts w:ascii="Arial Narrow" w:eastAsiaTheme="majorEastAsia" w:hAnsi="Arial Narrow" w:cstheme="majorBidi"/>
                <w:bCs/>
                <w:sz w:val="20"/>
                <w:szCs w:val="20"/>
              </w:rPr>
            </w:pPr>
          </w:p>
        </w:tc>
        <w:tc>
          <w:tcPr>
            <w:tcW w:w="555" w:type="pct"/>
            <w:vMerge/>
            <w:shd w:val="clear" w:color="auto" w:fill="auto"/>
            <w:vAlign w:val="center"/>
          </w:tcPr>
          <w:p w:rsidR="00730874" w:rsidRPr="00730874" w:rsidRDefault="00730874" w:rsidP="00730874">
            <w:pPr>
              <w:keepNext/>
              <w:jc w:val="left"/>
              <w:rPr>
                <w:rFonts w:ascii="Arial Narrow" w:eastAsiaTheme="majorEastAsia" w:hAnsi="Arial Narrow" w:cstheme="majorBidi"/>
                <w:bCs/>
                <w:sz w:val="20"/>
                <w:szCs w:val="20"/>
              </w:rPr>
            </w:pPr>
          </w:p>
        </w:tc>
        <w:tc>
          <w:tcPr>
            <w:tcW w:w="473" w:type="pct"/>
            <w:vMerge/>
            <w:shd w:val="clear" w:color="auto" w:fill="auto"/>
            <w:vAlign w:val="center"/>
          </w:tcPr>
          <w:p w:rsidR="00730874" w:rsidRPr="00730874" w:rsidRDefault="00730874" w:rsidP="00730874">
            <w:pPr>
              <w:keepNext/>
              <w:jc w:val="left"/>
              <w:rPr>
                <w:rFonts w:ascii="Arial Narrow" w:eastAsiaTheme="majorEastAsia" w:hAnsi="Arial Narrow" w:cstheme="majorBidi"/>
                <w:bCs/>
                <w:sz w:val="20"/>
                <w:szCs w:val="20"/>
              </w:rPr>
            </w:pPr>
          </w:p>
        </w:tc>
        <w:tc>
          <w:tcPr>
            <w:tcW w:w="792" w:type="pct"/>
            <w:vMerge/>
            <w:shd w:val="clear" w:color="auto" w:fill="auto"/>
            <w:vAlign w:val="center"/>
          </w:tcPr>
          <w:p w:rsidR="00730874" w:rsidRPr="00730874" w:rsidRDefault="00730874" w:rsidP="00730874">
            <w:pPr>
              <w:keepNext/>
              <w:jc w:val="left"/>
              <w:rPr>
                <w:rFonts w:ascii="Arial Narrow" w:eastAsiaTheme="majorEastAsia" w:hAnsi="Arial Narrow" w:cstheme="majorBidi"/>
                <w:bCs/>
                <w:sz w:val="20"/>
                <w:szCs w:val="20"/>
              </w:rPr>
            </w:pPr>
          </w:p>
        </w:tc>
        <w:tc>
          <w:tcPr>
            <w:tcW w:w="573" w:type="pct"/>
            <w:shd w:val="clear" w:color="auto" w:fill="auto"/>
            <w:vAlign w:val="center"/>
          </w:tcPr>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Bez + SoC</w:t>
            </w:r>
          </w:p>
        </w:tc>
        <w:tc>
          <w:tcPr>
            <w:tcW w:w="497" w:type="pct"/>
            <w:shd w:val="clear" w:color="auto" w:fill="auto"/>
            <w:vAlign w:val="center"/>
          </w:tcPr>
          <w:p w:rsidR="00730874" w:rsidRPr="00730874" w:rsidRDefault="00730874" w:rsidP="00730874">
            <w:pPr>
              <w:keepNext/>
              <w:jc w:val="center"/>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SoC</w:t>
            </w:r>
          </w:p>
        </w:tc>
        <w:tc>
          <w:tcPr>
            <w:tcW w:w="862" w:type="pct"/>
            <w:vMerge/>
            <w:shd w:val="clear" w:color="auto" w:fill="auto"/>
            <w:vAlign w:val="center"/>
          </w:tcPr>
          <w:p w:rsidR="00730874" w:rsidRPr="00730874" w:rsidRDefault="00730874" w:rsidP="00730874">
            <w:pPr>
              <w:keepNext/>
              <w:jc w:val="left"/>
              <w:rPr>
                <w:rFonts w:ascii="Arial Narrow" w:eastAsiaTheme="majorEastAsia" w:hAnsi="Arial Narrow" w:cstheme="majorBidi"/>
                <w:bCs/>
                <w:sz w:val="20"/>
                <w:szCs w:val="20"/>
              </w:rPr>
            </w:pPr>
          </w:p>
        </w:tc>
      </w:tr>
      <w:tr w:rsidR="00730874" w:rsidRPr="00730874" w:rsidTr="00DD33B9">
        <w:tc>
          <w:tcPr>
            <w:tcW w:w="5000" w:type="pct"/>
            <w:gridSpan w:val="7"/>
            <w:shd w:val="clear" w:color="auto" w:fill="auto"/>
            <w:vAlign w:val="center"/>
          </w:tcPr>
          <w:p w:rsidR="00730874" w:rsidRPr="00730874" w:rsidRDefault="00730874" w:rsidP="00730874">
            <w:pPr>
              <w:keepNext/>
              <w:jc w:val="left"/>
              <w:rPr>
                <w:rFonts w:ascii="Arial Narrow" w:eastAsiaTheme="majorEastAsia" w:hAnsi="Arial Narrow" w:cstheme="majorBidi"/>
                <w:b/>
                <w:bCs/>
                <w:sz w:val="20"/>
                <w:szCs w:val="20"/>
              </w:rPr>
            </w:pPr>
            <w:r w:rsidRPr="00730874">
              <w:rPr>
                <w:rFonts w:ascii="Arial Narrow" w:eastAsiaTheme="majorEastAsia" w:hAnsi="Arial Narrow" w:cstheme="majorBidi"/>
                <w:b/>
                <w:bCs/>
                <w:sz w:val="20"/>
                <w:szCs w:val="20"/>
              </w:rPr>
              <w:t>Infusion specific adverse events (e.g. nausea, dizziness, headache, fatigue and pyrexia)</w:t>
            </w:r>
          </w:p>
        </w:tc>
      </w:tr>
      <w:tr w:rsidR="00730874" w:rsidRPr="00730874" w:rsidTr="00DD33B9">
        <w:tc>
          <w:tcPr>
            <w:tcW w:w="1248" w:type="pct"/>
            <w:shd w:val="clear" w:color="auto" w:fill="auto"/>
            <w:vAlign w:val="center"/>
          </w:tcPr>
          <w:p w:rsidR="00730874" w:rsidRPr="00730874" w:rsidRDefault="00730874" w:rsidP="00730874">
            <w:pPr>
              <w:keepNext/>
              <w:jc w:val="left"/>
              <w:rPr>
                <w:rFonts w:ascii="Arial Narrow" w:eastAsiaTheme="majorEastAsia" w:hAnsi="Arial Narrow" w:cstheme="majorBidi"/>
                <w:bCs/>
                <w:sz w:val="20"/>
                <w:szCs w:val="20"/>
              </w:rPr>
            </w:pPr>
            <w:r w:rsidRPr="00730874">
              <w:rPr>
                <w:rFonts w:ascii="Arial Narrow" w:eastAsiaTheme="majorEastAsia" w:hAnsi="Arial Narrow" w:cstheme="majorBidi"/>
                <w:bCs/>
                <w:sz w:val="20"/>
                <w:szCs w:val="20"/>
              </w:rPr>
              <w:t>Total population</w:t>
            </w:r>
          </w:p>
        </w:tc>
        <w:tc>
          <w:tcPr>
            <w:tcW w:w="555" w:type="pct"/>
            <w:shd w:val="clear" w:color="auto" w:fill="B8CCE4" w:themeFill="accent1" w:themeFillTint="66"/>
            <w:vAlign w:val="center"/>
          </w:tcPr>
          <w:p w:rsidR="00730874" w:rsidRPr="00730874" w:rsidRDefault="00730874" w:rsidP="00730874">
            <w:pPr>
              <w:keepNext/>
              <w:jc w:val="center"/>
              <w:rPr>
                <w:rFonts w:ascii="Arial Narrow" w:eastAsiaTheme="majorEastAsia" w:hAnsi="Arial Narrow" w:cstheme="majorBidi"/>
                <w:bCs/>
                <w:sz w:val="20"/>
                <w:szCs w:val="20"/>
              </w:rPr>
            </w:pPr>
            <w:r w:rsidRPr="00730874">
              <w:rPr>
                <w:rFonts w:ascii="Arial Narrow" w:eastAsiaTheme="majorEastAsia" w:hAnsi="Arial Narrow" w:cstheme="majorBidi"/>
                <w:bCs/>
                <w:sz w:val="20"/>
                <w:szCs w:val="20"/>
              </w:rPr>
              <w:t>81/786 (10)</w:t>
            </w:r>
          </w:p>
        </w:tc>
        <w:tc>
          <w:tcPr>
            <w:tcW w:w="473" w:type="pct"/>
            <w:shd w:val="clear" w:color="auto" w:fill="B8CCE4" w:themeFill="accent1" w:themeFillTint="66"/>
            <w:vAlign w:val="center"/>
          </w:tcPr>
          <w:p w:rsidR="00730874" w:rsidRPr="00730874" w:rsidRDefault="00730874" w:rsidP="00730874">
            <w:pPr>
              <w:keepNext/>
              <w:jc w:val="center"/>
              <w:rPr>
                <w:rFonts w:ascii="Arial Narrow" w:eastAsiaTheme="majorEastAsia" w:hAnsi="Arial Narrow" w:cstheme="majorBidi"/>
                <w:bCs/>
                <w:sz w:val="20"/>
                <w:szCs w:val="20"/>
                <w:vertAlign w:val="superscript"/>
              </w:rPr>
            </w:pPr>
            <w:r w:rsidRPr="00730874">
              <w:rPr>
                <w:rFonts w:ascii="Arial Narrow" w:eastAsiaTheme="majorEastAsia" w:hAnsi="Arial Narrow" w:cstheme="majorBidi"/>
                <w:bCs/>
                <w:sz w:val="20"/>
                <w:szCs w:val="20"/>
              </w:rPr>
              <w:t>0/781</w:t>
            </w:r>
            <w:r w:rsidRPr="00730874">
              <w:rPr>
                <w:rFonts w:ascii="Arial Narrow" w:eastAsiaTheme="majorEastAsia" w:hAnsi="Arial Narrow" w:cstheme="majorBidi"/>
                <w:bCs/>
                <w:sz w:val="20"/>
                <w:szCs w:val="20"/>
                <w:vertAlign w:val="superscript"/>
              </w:rPr>
              <w:t>a</w:t>
            </w:r>
          </w:p>
        </w:tc>
        <w:tc>
          <w:tcPr>
            <w:tcW w:w="792" w:type="pct"/>
            <w:shd w:val="clear" w:color="auto" w:fill="B8CCE4" w:themeFill="accent1" w:themeFillTint="66"/>
            <w:vAlign w:val="center"/>
          </w:tcPr>
          <w:p w:rsidR="00730874" w:rsidRPr="00730874" w:rsidRDefault="00730874" w:rsidP="00730874">
            <w:pPr>
              <w:keepNext/>
              <w:jc w:val="center"/>
              <w:rPr>
                <w:rFonts w:ascii="Arial Narrow" w:eastAsiaTheme="majorEastAsia" w:hAnsi="Arial Narrow" w:cstheme="majorBidi"/>
                <w:b/>
                <w:sz w:val="20"/>
                <w:szCs w:val="20"/>
              </w:rPr>
            </w:pPr>
            <w:r w:rsidRPr="00730874">
              <w:rPr>
                <w:rFonts w:ascii="Arial Narrow" w:eastAsiaTheme="majorEastAsia" w:hAnsi="Arial Narrow" w:cstheme="majorBidi"/>
                <w:b/>
                <w:bCs/>
                <w:sz w:val="20"/>
                <w:szCs w:val="20"/>
              </w:rPr>
              <w:t>162.0 (21,NA)</w:t>
            </w:r>
          </w:p>
        </w:tc>
        <w:tc>
          <w:tcPr>
            <w:tcW w:w="573" w:type="pct"/>
            <w:shd w:val="clear" w:color="auto" w:fill="B8CCE4" w:themeFill="accent1" w:themeFillTint="66"/>
            <w:vAlign w:val="center"/>
          </w:tcPr>
          <w:p w:rsidR="00730874" w:rsidRPr="00730874" w:rsidRDefault="00730874" w:rsidP="00730874">
            <w:pPr>
              <w:keepNext/>
              <w:jc w:val="center"/>
              <w:rPr>
                <w:rFonts w:ascii="Arial Narrow" w:eastAsiaTheme="majorEastAsia" w:hAnsi="Arial Narrow" w:cstheme="majorBidi"/>
                <w:bCs/>
                <w:sz w:val="20"/>
                <w:szCs w:val="20"/>
              </w:rPr>
            </w:pPr>
            <w:r w:rsidRPr="00730874">
              <w:rPr>
                <w:rFonts w:ascii="Arial Narrow" w:eastAsiaTheme="majorEastAsia" w:hAnsi="Arial Narrow" w:cstheme="majorBidi"/>
                <w:bCs/>
                <w:sz w:val="20"/>
                <w:szCs w:val="20"/>
              </w:rPr>
              <w:t>10.3</w:t>
            </w:r>
          </w:p>
        </w:tc>
        <w:tc>
          <w:tcPr>
            <w:tcW w:w="497" w:type="pct"/>
            <w:shd w:val="clear" w:color="auto" w:fill="B8CCE4" w:themeFill="accent1" w:themeFillTint="66"/>
            <w:vAlign w:val="center"/>
          </w:tcPr>
          <w:p w:rsidR="00730874" w:rsidRPr="00730874" w:rsidRDefault="00730874" w:rsidP="00730874">
            <w:pPr>
              <w:keepNext/>
              <w:jc w:val="center"/>
              <w:rPr>
                <w:rFonts w:ascii="Arial Narrow" w:eastAsiaTheme="majorEastAsia" w:hAnsi="Arial Narrow" w:cstheme="majorBidi"/>
                <w:bCs/>
                <w:sz w:val="20"/>
                <w:szCs w:val="20"/>
              </w:rPr>
            </w:pPr>
            <w:r w:rsidRPr="00730874">
              <w:rPr>
                <w:rFonts w:ascii="Arial Narrow" w:eastAsiaTheme="majorEastAsia" w:hAnsi="Arial Narrow" w:cstheme="majorBidi"/>
                <w:bCs/>
                <w:sz w:val="20"/>
                <w:szCs w:val="20"/>
              </w:rPr>
              <w:t>0</w:t>
            </w:r>
          </w:p>
        </w:tc>
        <w:tc>
          <w:tcPr>
            <w:tcW w:w="862" w:type="pct"/>
            <w:shd w:val="clear" w:color="auto" w:fill="B8CCE4" w:themeFill="accent1" w:themeFillTint="66"/>
            <w:vAlign w:val="center"/>
          </w:tcPr>
          <w:p w:rsidR="00730874" w:rsidRPr="00730874" w:rsidRDefault="00730874" w:rsidP="00730874">
            <w:pPr>
              <w:keepNext/>
              <w:jc w:val="center"/>
              <w:rPr>
                <w:rFonts w:ascii="Arial Narrow" w:eastAsiaTheme="majorEastAsia" w:hAnsi="Arial Narrow" w:cstheme="majorBidi"/>
                <w:b/>
                <w:sz w:val="20"/>
                <w:szCs w:val="20"/>
              </w:rPr>
            </w:pPr>
            <w:r w:rsidRPr="00730874">
              <w:rPr>
                <w:rFonts w:ascii="Arial Narrow" w:eastAsiaTheme="majorEastAsia" w:hAnsi="Arial Narrow" w:cstheme="majorBidi"/>
                <w:b/>
                <w:bCs/>
                <w:sz w:val="20"/>
                <w:szCs w:val="20"/>
              </w:rPr>
              <w:t>10.0 (8.3,12.6)</w:t>
            </w:r>
          </w:p>
        </w:tc>
      </w:tr>
    </w:tbl>
    <w:p w:rsidR="00492FB6" w:rsidRDefault="00730874" w:rsidP="00730874">
      <w:pPr>
        <w:widowControl w:val="0"/>
        <w:rPr>
          <w:rFonts w:ascii="Arial Narrow" w:hAnsi="Arial Narrow"/>
          <w:snapToGrid w:val="0"/>
          <w:sz w:val="18"/>
          <w:szCs w:val="22"/>
          <w:lang w:eastAsia="en-US"/>
        </w:rPr>
      </w:pPr>
      <w:r w:rsidRPr="00730874">
        <w:rPr>
          <w:rFonts w:ascii="Arial Narrow" w:hAnsi="Arial Narrow"/>
          <w:snapToGrid w:val="0"/>
          <w:sz w:val="18"/>
          <w:szCs w:val="22"/>
          <w:shd w:val="clear" w:color="auto" w:fill="B8CCE4" w:themeFill="accent1" w:themeFillTint="66"/>
          <w:lang w:eastAsia="en-US"/>
        </w:rPr>
        <w:t>Shaded</w:t>
      </w:r>
      <w:r w:rsidRPr="00730874">
        <w:rPr>
          <w:rFonts w:ascii="Arial Narrow" w:hAnsi="Arial Narrow"/>
          <w:snapToGrid w:val="0"/>
          <w:sz w:val="18"/>
          <w:szCs w:val="22"/>
          <w:lang w:eastAsia="en-US"/>
        </w:rPr>
        <w:t xml:space="preserve"> areas indicate data previously seen by the PBAC.  </w:t>
      </w:r>
    </w:p>
    <w:p w:rsidR="00730874" w:rsidRPr="00492FB6" w:rsidRDefault="00492FB6" w:rsidP="00730874">
      <w:pPr>
        <w:widowControl w:val="0"/>
        <w:rPr>
          <w:rFonts w:ascii="Arial Narrow" w:hAnsi="Arial Narrow"/>
          <w:snapToGrid w:val="0"/>
          <w:sz w:val="18"/>
          <w:szCs w:val="22"/>
          <w:lang w:eastAsia="en-US"/>
        </w:rPr>
      </w:pPr>
      <w:r>
        <w:rPr>
          <w:rFonts w:ascii="Arial Narrow" w:hAnsi="Arial Narrow"/>
          <w:snapToGrid w:val="0"/>
          <w:sz w:val="18"/>
          <w:szCs w:val="22"/>
          <w:lang w:eastAsia="en-US"/>
        </w:rPr>
        <w:t xml:space="preserve">* </w:t>
      </w:r>
      <w:r w:rsidRPr="00492FB6">
        <w:rPr>
          <w:rFonts w:ascii="Arial Narrow" w:hAnsi="Arial Narrow"/>
          <w:snapToGrid w:val="0"/>
          <w:sz w:val="18"/>
          <w:szCs w:val="22"/>
          <w:lang w:eastAsia="en-US"/>
        </w:rPr>
        <w:t xml:space="preserve">Indicates </w:t>
      </w:r>
      <w:r w:rsidR="00B4767F" w:rsidRPr="00492FB6">
        <w:rPr>
          <w:rFonts w:ascii="Arial Narrow" w:hAnsi="Arial Narrow"/>
          <w:snapToGrid w:val="0"/>
          <w:sz w:val="18"/>
          <w:szCs w:val="22"/>
          <w:lang w:eastAsia="en-US"/>
        </w:rPr>
        <w:t xml:space="preserve">values calculated during evaluation using </w:t>
      </w:r>
      <w:r w:rsidR="00ED21CC" w:rsidRPr="00492FB6">
        <w:rPr>
          <w:rFonts w:ascii="Arial Narrow" w:hAnsi="Arial Narrow"/>
          <w:snapToGrid w:val="0"/>
          <w:sz w:val="18"/>
          <w:szCs w:val="22"/>
          <w:lang w:eastAsia="en-US"/>
        </w:rPr>
        <w:t>RevMan</w:t>
      </w:r>
      <w:r w:rsidR="00E1165E" w:rsidRPr="00492FB6">
        <w:rPr>
          <w:rFonts w:ascii="Arial Narrow" w:hAnsi="Arial Narrow"/>
          <w:snapToGrid w:val="0"/>
          <w:sz w:val="18"/>
          <w:szCs w:val="22"/>
          <w:lang w:eastAsia="en-US"/>
        </w:rPr>
        <w:t xml:space="preserve"> v</w:t>
      </w:r>
      <w:r w:rsidR="00A719AF" w:rsidRPr="00492FB6">
        <w:rPr>
          <w:rFonts w:ascii="Arial Narrow" w:hAnsi="Arial Narrow"/>
          <w:snapToGrid w:val="0"/>
          <w:sz w:val="18"/>
          <w:szCs w:val="22"/>
          <w:lang w:eastAsia="en-US"/>
        </w:rPr>
        <w:t>5.3</w:t>
      </w:r>
      <w:r w:rsidR="00B4767F" w:rsidRPr="00492FB6">
        <w:rPr>
          <w:rFonts w:ascii="Arial Narrow" w:hAnsi="Arial Narrow"/>
          <w:snapToGrid w:val="0"/>
          <w:sz w:val="18"/>
          <w:szCs w:val="22"/>
          <w:lang w:eastAsia="en-US"/>
        </w:rPr>
        <w:t>t.</w:t>
      </w:r>
    </w:p>
    <w:p w:rsidR="00730874" w:rsidRPr="00492FB6" w:rsidRDefault="00730874" w:rsidP="00730874">
      <w:pPr>
        <w:widowControl w:val="0"/>
        <w:rPr>
          <w:rFonts w:ascii="Arial Narrow" w:hAnsi="Arial Narrow"/>
          <w:snapToGrid w:val="0"/>
          <w:sz w:val="18"/>
          <w:szCs w:val="18"/>
          <w:lang w:eastAsia="en-US"/>
        </w:rPr>
      </w:pPr>
      <w:r w:rsidRPr="00492FB6">
        <w:rPr>
          <w:rFonts w:ascii="Arial Narrow" w:hAnsi="Arial Narrow"/>
          <w:snapToGrid w:val="0"/>
          <w:sz w:val="18"/>
          <w:szCs w:val="18"/>
          <w:lang w:eastAsia="en-US"/>
        </w:rPr>
        <w:t>Abbreviations: Bez=bezlotoxumab; SoC=standard of care antibiotics; RD=risk difference; RR=risk ratio; NA=not applicable</w:t>
      </w:r>
    </w:p>
    <w:p w:rsidR="00730874" w:rsidRPr="00492FB6" w:rsidRDefault="00730874" w:rsidP="00730874">
      <w:pPr>
        <w:widowControl w:val="0"/>
        <w:tabs>
          <w:tab w:val="left" w:pos="142"/>
        </w:tabs>
        <w:rPr>
          <w:rFonts w:ascii="Arial Narrow" w:hAnsi="Arial Narrow"/>
          <w:snapToGrid w:val="0"/>
          <w:sz w:val="18"/>
          <w:szCs w:val="18"/>
          <w:lang w:eastAsia="en-US"/>
        </w:rPr>
      </w:pPr>
      <w:r w:rsidRPr="00492FB6">
        <w:rPr>
          <w:rFonts w:ascii="Arial Narrow" w:hAnsi="Arial Narrow"/>
          <w:snapToGrid w:val="0"/>
          <w:sz w:val="18"/>
          <w:szCs w:val="18"/>
          <w:vertAlign w:val="superscript"/>
          <w:lang w:eastAsia="en-US"/>
        </w:rPr>
        <w:t>a</w:t>
      </w:r>
      <w:r w:rsidRPr="00492FB6">
        <w:rPr>
          <w:rFonts w:ascii="Arial Narrow" w:hAnsi="Arial Narrow"/>
          <w:snapToGrid w:val="0"/>
          <w:sz w:val="18"/>
          <w:szCs w:val="18"/>
          <w:vertAlign w:val="superscript"/>
          <w:lang w:eastAsia="en-US"/>
        </w:rPr>
        <w:tab/>
      </w:r>
      <w:r w:rsidRPr="00492FB6">
        <w:rPr>
          <w:rFonts w:ascii="Arial Narrow" w:hAnsi="Arial Narrow"/>
          <w:snapToGrid w:val="0"/>
          <w:sz w:val="18"/>
          <w:szCs w:val="18"/>
          <w:lang w:eastAsia="en-US"/>
        </w:rPr>
        <w:t>Comparator in practice is no treatment therefore do not expect any infusion related adverse events.</w:t>
      </w:r>
    </w:p>
    <w:p w:rsidR="00730874" w:rsidRPr="00730874" w:rsidRDefault="00730874" w:rsidP="00730874">
      <w:pPr>
        <w:widowControl w:val="0"/>
        <w:tabs>
          <w:tab w:val="left" w:pos="142"/>
        </w:tabs>
        <w:rPr>
          <w:rFonts w:ascii="Arial Narrow" w:hAnsi="Arial Narrow"/>
          <w:i/>
          <w:iCs/>
          <w:snapToGrid w:val="0"/>
          <w:sz w:val="18"/>
          <w:szCs w:val="18"/>
          <w:lang w:eastAsia="en-US"/>
        </w:rPr>
      </w:pPr>
      <w:r w:rsidRPr="00492FB6">
        <w:rPr>
          <w:rFonts w:ascii="Arial Narrow" w:hAnsi="Arial Narrow"/>
          <w:iCs/>
          <w:snapToGrid w:val="0"/>
          <w:sz w:val="18"/>
          <w:szCs w:val="18"/>
          <w:lang w:eastAsia="en-US"/>
        </w:rPr>
        <w:t>Source: constructed during the evaluation</w:t>
      </w:r>
      <w:r w:rsidRPr="00730874">
        <w:rPr>
          <w:rFonts w:ascii="Arial Narrow" w:hAnsi="Arial Narrow"/>
          <w:i/>
          <w:iCs/>
          <w:snapToGrid w:val="0"/>
          <w:sz w:val="18"/>
          <w:szCs w:val="18"/>
          <w:lang w:eastAsia="en-US"/>
        </w:rPr>
        <w:t>.</w:t>
      </w:r>
    </w:p>
    <w:p w:rsidR="00730874" w:rsidRPr="00730874" w:rsidRDefault="00730874" w:rsidP="00730874">
      <w:pPr>
        <w:spacing w:after="120"/>
        <w:rPr>
          <w:rFonts w:asciiTheme="minorHAnsi" w:hAnsiTheme="minorHAnsi"/>
          <w:snapToGrid w:val="0"/>
        </w:rPr>
      </w:pPr>
    </w:p>
    <w:p w:rsidR="00730874" w:rsidRPr="00A873A2" w:rsidRDefault="00730874" w:rsidP="00006346">
      <w:pPr>
        <w:pStyle w:val="3-BodyText"/>
      </w:pPr>
      <w:r w:rsidRPr="00A873A2">
        <w:t>On the basis of direct evidence presented by the resubmission, for every 100 patients</w:t>
      </w:r>
      <w:r w:rsidR="00E47032" w:rsidRPr="00A873A2">
        <w:t xml:space="preserve"> in a post-hoc analysis of a sub-group</w:t>
      </w:r>
      <w:r w:rsidRPr="00A873A2">
        <w:t xml:space="preserve"> with </w:t>
      </w:r>
      <w:r w:rsidRPr="00A873A2">
        <w:rPr>
          <w:rFonts w:cstheme="minorHAnsi"/>
        </w:rPr>
        <w:t>≥</w:t>
      </w:r>
      <w:r w:rsidRPr="00A873A2">
        <w:t xml:space="preserve"> 1 of 2 risk factors treated with bezlotoxumab plus SoC in comparison with SoC:</w:t>
      </w:r>
    </w:p>
    <w:p w:rsidR="00730874" w:rsidRPr="00730874" w:rsidRDefault="00730874" w:rsidP="000735EA">
      <w:pPr>
        <w:pStyle w:val="3-BodyText"/>
        <w:numPr>
          <w:ilvl w:val="1"/>
          <w:numId w:val="13"/>
        </w:numPr>
        <w:ind w:left="1134" w:hanging="425"/>
      </w:pPr>
      <w:r w:rsidRPr="00730874">
        <w:t>Approximately 16 fewer patients would have CDI recurrence at 12 weeks.</w:t>
      </w:r>
    </w:p>
    <w:p w:rsidR="00730874" w:rsidRDefault="00730874" w:rsidP="000735EA">
      <w:pPr>
        <w:pStyle w:val="3-BodyText"/>
        <w:numPr>
          <w:ilvl w:val="1"/>
          <w:numId w:val="13"/>
        </w:numPr>
        <w:ind w:left="1134" w:hanging="425"/>
      </w:pPr>
      <w:r w:rsidRPr="00730874">
        <w:t>Approximately 14 additional patients would have global cure at 12 weeks.</w:t>
      </w:r>
    </w:p>
    <w:p w:rsidR="00E47032" w:rsidRPr="00A873A2" w:rsidRDefault="00E47032" w:rsidP="00E47032">
      <w:pPr>
        <w:pStyle w:val="3-BodyText"/>
        <w:numPr>
          <w:ilvl w:val="0"/>
          <w:numId w:val="0"/>
        </w:numPr>
        <w:ind w:left="720"/>
      </w:pPr>
      <w:r w:rsidRPr="00A873A2">
        <w:t>On the basis of direct evidence presented by the resubmission, for every 100 patients treated with bezlotoxumab plus SoC in comparison with SoC:</w:t>
      </w:r>
    </w:p>
    <w:p w:rsidR="00730874" w:rsidRPr="00A873A2" w:rsidRDefault="00730874" w:rsidP="000735EA">
      <w:pPr>
        <w:pStyle w:val="3-BodyText"/>
        <w:numPr>
          <w:ilvl w:val="1"/>
          <w:numId w:val="13"/>
        </w:numPr>
        <w:ind w:left="1134" w:hanging="425"/>
      </w:pPr>
      <w:r w:rsidRPr="00A873A2">
        <w:t>Approximately 10 additional patients would experience an infusion specific adverse event</w:t>
      </w:r>
      <w:r w:rsidR="00E47032" w:rsidRPr="00A873A2">
        <w:t xml:space="preserve"> and there may be a possible increase in risk of heart failure</w:t>
      </w:r>
      <w:r w:rsidRPr="00A873A2">
        <w:t>.</w:t>
      </w:r>
    </w:p>
    <w:p w:rsidR="00B60939" w:rsidRPr="00C9624D" w:rsidRDefault="00B60939" w:rsidP="00E9094A">
      <w:pPr>
        <w:pStyle w:val="4-SubsectionHeading"/>
      </w:pPr>
      <w:bookmarkStart w:id="18" w:name="_Toc22897644"/>
      <w:bookmarkStart w:id="19" w:name="_Toc30493366"/>
      <w:r w:rsidRPr="00C9624D">
        <w:lastRenderedPageBreak/>
        <w:t>Clinical claim</w:t>
      </w:r>
      <w:bookmarkEnd w:id="18"/>
      <w:bookmarkEnd w:id="19"/>
    </w:p>
    <w:p w:rsidR="006E6201" w:rsidRPr="00A64859" w:rsidRDefault="006E6201" w:rsidP="00006346">
      <w:pPr>
        <w:pStyle w:val="3-BodyText"/>
        <w:numPr>
          <w:ilvl w:val="1"/>
          <w:numId w:val="5"/>
        </w:numPr>
        <w:rPr>
          <w:rFonts w:eastAsia="Calibri"/>
          <w:iCs/>
        </w:rPr>
      </w:pPr>
      <w:r w:rsidRPr="00D13A3E">
        <w:t xml:space="preserve">The </w:t>
      </w:r>
      <w:r>
        <w:t>re</w:t>
      </w:r>
      <w:r w:rsidRPr="00D13A3E">
        <w:t>submission describe</w:t>
      </w:r>
      <w:r>
        <w:t>d bezlotoxumab with SoC</w:t>
      </w:r>
      <w:r w:rsidRPr="00D13A3E">
        <w:t xml:space="preserve"> as </w:t>
      </w:r>
      <w:r>
        <w:t>superior</w:t>
      </w:r>
      <w:r w:rsidRPr="00D13A3E">
        <w:t xml:space="preserve"> in terms of effectiveness </w:t>
      </w:r>
      <w:r>
        <w:t>compared with SoC and non-inferior</w:t>
      </w:r>
      <w:r w:rsidRPr="00D13A3E">
        <w:t xml:space="preserve"> in terms of safety </w:t>
      </w:r>
      <w:r>
        <w:t xml:space="preserve">compared to SoC, for patients with </w:t>
      </w:r>
      <w:r>
        <w:rPr>
          <w:rFonts w:cs="Calibri"/>
        </w:rPr>
        <w:t>≥</w:t>
      </w:r>
      <w:r>
        <w:t xml:space="preserve"> 1 of 2 risk factors (age </w:t>
      </w:r>
      <w:r>
        <w:rPr>
          <w:rFonts w:cs="Calibri"/>
        </w:rPr>
        <w:t>≥</w:t>
      </w:r>
      <w:r>
        <w:t xml:space="preserve"> 65 years; history of CDI in past 6 months); t</w:t>
      </w:r>
      <w:r w:rsidRPr="006E6201">
        <w:rPr>
          <w:rFonts w:eastAsia="Calibri"/>
        </w:rPr>
        <w:t>he resubmission did not make a clinical claim for immunocompromised patients due to history of HSCT or SOT.</w:t>
      </w:r>
      <w:r>
        <w:t xml:space="preserve">  </w:t>
      </w:r>
      <w:r w:rsidRPr="00A64859">
        <w:rPr>
          <w:iCs/>
        </w:rPr>
        <w:t>Th</w:t>
      </w:r>
      <w:r w:rsidR="00327C0E" w:rsidRPr="00A64859">
        <w:rPr>
          <w:iCs/>
        </w:rPr>
        <w:t>e</w:t>
      </w:r>
      <w:r w:rsidRPr="00A64859">
        <w:rPr>
          <w:iCs/>
        </w:rPr>
        <w:t xml:space="preserve"> claim </w:t>
      </w:r>
      <w:r w:rsidR="00327C0E" w:rsidRPr="00A64859">
        <w:rPr>
          <w:iCs/>
        </w:rPr>
        <w:t xml:space="preserve">of superior effectiveness and non-inferior safety </w:t>
      </w:r>
      <w:r w:rsidRPr="00A64859">
        <w:rPr>
          <w:iCs/>
        </w:rPr>
        <w:t>was unchanged from the previous submissions in reference to different populations.</w:t>
      </w:r>
    </w:p>
    <w:p w:rsidR="00327C0E" w:rsidRPr="00A64859" w:rsidRDefault="00327C0E" w:rsidP="00006346">
      <w:pPr>
        <w:pStyle w:val="3-BodyText"/>
        <w:numPr>
          <w:ilvl w:val="1"/>
          <w:numId w:val="5"/>
        </w:numPr>
        <w:rPr>
          <w:rFonts w:eastAsia="Calibri"/>
          <w:iCs/>
        </w:rPr>
      </w:pPr>
      <w:r w:rsidRPr="00A64859">
        <w:rPr>
          <w:rFonts w:eastAsia="Calibri"/>
          <w:iCs/>
        </w:rPr>
        <w:t xml:space="preserve">In terms of comparative effectiveness, the data presented in the resubmission supported the claim of superior effectiveness for patients with </w:t>
      </w:r>
      <w:r w:rsidRPr="00A64859">
        <w:rPr>
          <w:rFonts w:eastAsia="Calibri" w:cstheme="minorHAnsi"/>
          <w:iCs/>
        </w:rPr>
        <w:t>≥</w:t>
      </w:r>
      <w:r w:rsidRPr="00A64859">
        <w:rPr>
          <w:rFonts w:eastAsia="Calibri"/>
          <w:iCs/>
        </w:rPr>
        <w:t xml:space="preserve">1 of 2 risk factors.  The PBAC had previously considered that the MODIFY trials supported the claim of superior effectiveness for the previous populations but the overall benefit was modest and clinical significance was unclear (paragraph 7.5, </w:t>
      </w:r>
      <w:r w:rsidR="003A2DBD" w:rsidRPr="00A64859">
        <w:rPr>
          <w:rFonts w:eastAsia="Calibri"/>
          <w:iCs/>
        </w:rPr>
        <w:t>b</w:t>
      </w:r>
      <w:r w:rsidRPr="00A64859">
        <w:rPr>
          <w:rFonts w:eastAsia="Calibri"/>
          <w:iCs/>
        </w:rPr>
        <w:t>ezlotoxumab</w:t>
      </w:r>
      <w:r w:rsidR="003A2DBD" w:rsidRPr="00A64859">
        <w:rPr>
          <w:rFonts w:eastAsia="Calibri"/>
          <w:iCs/>
        </w:rPr>
        <w:t>, Public Summary</w:t>
      </w:r>
      <w:r w:rsidR="003A2DBD">
        <w:rPr>
          <w:rFonts w:eastAsia="Calibri"/>
          <w:i/>
          <w:iCs/>
        </w:rPr>
        <w:t xml:space="preserve"> </w:t>
      </w:r>
      <w:r w:rsidR="003A2DBD" w:rsidRPr="00A64859">
        <w:rPr>
          <w:rFonts w:eastAsia="Calibri"/>
          <w:iCs/>
        </w:rPr>
        <w:t>Document,</w:t>
      </w:r>
      <w:r w:rsidRPr="00A64859">
        <w:rPr>
          <w:rFonts w:eastAsia="Calibri"/>
          <w:iCs/>
        </w:rPr>
        <w:t xml:space="preserve"> November 2017 P</w:t>
      </w:r>
      <w:r w:rsidR="003A2DBD" w:rsidRPr="00A64859">
        <w:rPr>
          <w:rFonts w:eastAsia="Calibri"/>
          <w:iCs/>
        </w:rPr>
        <w:t>BAC meeting</w:t>
      </w:r>
      <w:r w:rsidRPr="00A64859">
        <w:rPr>
          <w:rFonts w:eastAsia="Calibri"/>
          <w:iCs/>
        </w:rPr>
        <w:t xml:space="preserve">; paragraph 7.2, </w:t>
      </w:r>
      <w:r w:rsidR="003A2DBD" w:rsidRPr="00A64859">
        <w:rPr>
          <w:rFonts w:eastAsia="Calibri"/>
          <w:iCs/>
        </w:rPr>
        <w:t>b</w:t>
      </w:r>
      <w:r w:rsidRPr="00A64859">
        <w:rPr>
          <w:rFonts w:eastAsia="Calibri"/>
          <w:iCs/>
        </w:rPr>
        <w:t>ezlotoxumab</w:t>
      </w:r>
      <w:r w:rsidR="003A2DBD" w:rsidRPr="00A64859">
        <w:rPr>
          <w:rFonts w:eastAsia="Calibri"/>
          <w:iCs/>
        </w:rPr>
        <w:t>, Public Summary Document,</w:t>
      </w:r>
      <w:r w:rsidRPr="00A64859">
        <w:rPr>
          <w:rFonts w:eastAsia="Calibri"/>
          <w:iCs/>
        </w:rPr>
        <w:t xml:space="preserve"> July 2018 P</w:t>
      </w:r>
      <w:r w:rsidR="003A2DBD" w:rsidRPr="00A64859">
        <w:rPr>
          <w:rFonts w:eastAsia="Calibri"/>
          <w:iCs/>
        </w:rPr>
        <w:t>BAC meeting</w:t>
      </w:r>
      <w:r w:rsidRPr="00A64859">
        <w:rPr>
          <w:rFonts w:eastAsia="Calibri"/>
          <w:iCs/>
        </w:rPr>
        <w:t>; paragraph 6.28, bezlotoxumab, Public Summary Document, July 2019 PBAC meeting).</w:t>
      </w:r>
      <w:r w:rsidR="00B5028D">
        <w:rPr>
          <w:rFonts w:eastAsia="Calibri"/>
          <w:iCs/>
        </w:rPr>
        <w:t xml:space="preserve"> </w:t>
      </w:r>
      <w:r w:rsidR="00B5028D" w:rsidRPr="00A873A2">
        <w:rPr>
          <w:rFonts w:eastAsia="Calibri"/>
          <w:iCs/>
        </w:rPr>
        <w:t xml:space="preserve">The ESC agreed with the evaluation that the data presented in the resubmission supported the claim of superior effectiveness for patients with </w:t>
      </w:r>
      <w:r w:rsidR="00B5028D" w:rsidRPr="00A873A2">
        <w:rPr>
          <w:rFonts w:eastAsia="Calibri" w:cstheme="minorHAnsi"/>
          <w:iCs/>
        </w:rPr>
        <w:t>≥</w:t>
      </w:r>
      <w:r w:rsidR="00B5028D" w:rsidRPr="00A873A2">
        <w:rPr>
          <w:rFonts w:eastAsia="Calibri"/>
          <w:iCs/>
        </w:rPr>
        <w:t>1 of 2 risk factors.</w:t>
      </w:r>
      <w:r w:rsidR="00B5028D">
        <w:rPr>
          <w:rFonts w:eastAsia="Calibri"/>
          <w:i/>
          <w:iCs/>
        </w:rPr>
        <w:t xml:space="preserve">  </w:t>
      </w:r>
    </w:p>
    <w:p w:rsidR="00327C0E" w:rsidRPr="00A64859" w:rsidRDefault="00327C0E" w:rsidP="00006346">
      <w:pPr>
        <w:pStyle w:val="3-BodyText"/>
        <w:numPr>
          <w:ilvl w:val="1"/>
          <w:numId w:val="5"/>
        </w:numPr>
        <w:rPr>
          <w:rFonts w:eastAsia="Calibri"/>
          <w:iCs/>
        </w:rPr>
      </w:pPr>
      <w:r w:rsidRPr="00A64859">
        <w:rPr>
          <w:rFonts w:eastAsia="Calibri"/>
          <w:iCs/>
        </w:rPr>
        <w:t xml:space="preserve">In terms of comparative safety, the data presented in the current resubmission again did not support the claim of non-inferior safety for patients with </w:t>
      </w:r>
      <w:r w:rsidR="001B4ABE" w:rsidRPr="00A64859">
        <w:rPr>
          <w:rFonts w:eastAsia="Calibri" w:cstheme="minorHAnsi"/>
          <w:iCs/>
        </w:rPr>
        <w:t>≥</w:t>
      </w:r>
      <w:r w:rsidR="001B4ABE" w:rsidRPr="00A64859">
        <w:rPr>
          <w:rFonts w:eastAsia="Calibri"/>
          <w:iCs/>
        </w:rPr>
        <w:t xml:space="preserve">1 </w:t>
      </w:r>
      <w:r w:rsidRPr="00A64859">
        <w:rPr>
          <w:rFonts w:eastAsia="Calibri"/>
          <w:iCs/>
        </w:rPr>
        <w:t>of 2 risk factors.  The PBAC had previously considered:</w:t>
      </w:r>
    </w:p>
    <w:p w:rsidR="00327C0E" w:rsidRPr="00A64859" w:rsidRDefault="00327C0E" w:rsidP="000735EA">
      <w:pPr>
        <w:pStyle w:val="3-BodyText"/>
        <w:numPr>
          <w:ilvl w:val="1"/>
          <w:numId w:val="13"/>
        </w:numPr>
        <w:ind w:left="1134" w:hanging="425"/>
        <w:rPr>
          <w:rFonts w:eastAsia="Calibri"/>
          <w:iCs/>
        </w:rPr>
      </w:pPr>
      <w:r w:rsidRPr="00A64859">
        <w:rPr>
          <w:rFonts w:eastAsia="Calibri"/>
          <w:iCs/>
        </w:rPr>
        <w:t xml:space="preserve">that a claim of inferior comparative safety would be more reasonable … because SoC does not require an infusion, patients treated with bezlotoxumab may suffer additional infusion related adverse events (paragraph </w:t>
      </w:r>
      <w:r w:rsidR="00483F9A" w:rsidRPr="00A64859">
        <w:rPr>
          <w:rFonts w:eastAsia="Calibri"/>
          <w:iCs/>
        </w:rPr>
        <w:t>6.27</w:t>
      </w:r>
      <w:r w:rsidRPr="00A64859">
        <w:rPr>
          <w:rFonts w:eastAsia="Calibri"/>
          <w:iCs/>
        </w:rPr>
        <w:t>, bezlotoxumab, Public Summary Document, July 201</w:t>
      </w:r>
      <w:r w:rsidR="00483F9A" w:rsidRPr="00A64859">
        <w:rPr>
          <w:rFonts w:eastAsia="Calibri"/>
          <w:iCs/>
        </w:rPr>
        <w:t>9</w:t>
      </w:r>
      <w:r w:rsidRPr="00A64859">
        <w:rPr>
          <w:rFonts w:eastAsia="Calibri"/>
          <w:iCs/>
        </w:rPr>
        <w:t xml:space="preserve"> PBAC meeting); and</w:t>
      </w:r>
    </w:p>
    <w:p w:rsidR="00327C0E" w:rsidRDefault="00327C0E" w:rsidP="000735EA">
      <w:pPr>
        <w:pStyle w:val="3-BodyText"/>
        <w:numPr>
          <w:ilvl w:val="1"/>
          <w:numId w:val="13"/>
        </w:numPr>
        <w:ind w:left="1134" w:hanging="425"/>
        <w:rPr>
          <w:rFonts w:eastAsia="Calibri"/>
          <w:iCs/>
        </w:rPr>
      </w:pPr>
      <w:r w:rsidRPr="00A64859">
        <w:rPr>
          <w:rFonts w:eastAsia="Calibri"/>
          <w:iCs/>
        </w:rPr>
        <w:t xml:space="preserve">that the claim of non-inferior comparative safety was not adequately supported </w:t>
      </w:r>
      <w:r w:rsidR="001B4ABE" w:rsidRPr="00A64859">
        <w:rPr>
          <w:rFonts w:eastAsia="Calibri"/>
          <w:iCs/>
        </w:rPr>
        <w:t>given</w:t>
      </w:r>
      <w:r w:rsidRPr="00A64859">
        <w:rPr>
          <w:rFonts w:eastAsia="Calibri"/>
          <w:iCs/>
        </w:rPr>
        <w:t xml:space="preserve"> the possibility of an incre</w:t>
      </w:r>
      <w:r w:rsidR="003B1491" w:rsidRPr="00A64859">
        <w:rPr>
          <w:rFonts w:eastAsia="Calibri"/>
          <w:iCs/>
        </w:rPr>
        <w:t xml:space="preserve">ased risk of exacerbation of </w:t>
      </w:r>
      <w:r w:rsidR="00B4767F" w:rsidRPr="00A64859">
        <w:rPr>
          <w:rFonts w:eastAsia="Calibri"/>
          <w:iCs/>
        </w:rPr>
        <w:t>CHF</w:t>
      </w:r>
      <w:r w:rsidRPr="00A64859">
        <w:rPr>
          <w:rFonts w:eastAsia="Calibri"/>
          <w:iCs/>
        </w:rPr>
        <w:t xml:space="preserve"> with bezlotoxumab (paragraph 7.5, bezlotoxumab, Public Summary Document, July 2019 PBAC meeting).</w:t>
      </w:r>
    </w:p>
    <w:p w:rsidR="002E1FD4" w:rsidRDefault="002E1FD4" w:rsidP="002E1FD4">
      <w:pPr>
        <w:pStyle w:val="3-BodyText"/>
        <w:numPr>
          <w:ilvl w:val="0"/>
          <w:numId w:val="0"/>
        </w:numPr>
        <w:ind w:left="709"/>
        <w:rPr>
          <w:lang w:val="en-US"/>
        </w:rPr>
      </w:pPr>
      <w:r w:rsidRPr="00A873A2">
        <w:rPr>
          <w:iCs/>
        </w:rPr>
        <w:t xml:space="preserve">The ESC reiterated its July 2019 advice that a claim of inferior comparative safety may be more reasonable due to the reported proportion of bezlotoxumab treated patients who experienced </w:t>
      </w:r>
      <w:r w:rsidRPr="00A873A2">
        <w:rPr>
          <w:rFonts w:cs="Calibri"/>
          <w:iCs/>
        </w:rPr>
        <w:t xml:space="preserve">infusion specific AEs (10%) and ongoing concerns regarding a </w:t>
      </w:r>
      <w:r w:rsidRPr="00A873A2">
        <w:rPr>
          <w:lang w:val="en-US"/>
        </w:rPr>
        <w:t>signal for possible exacerbation of CHF (</w:t>
      </w:r>
      <w:r w:rsidR="00B5028D" w:rsidRPr="00A873A2">
        <w:rPr>
          <w:rFonts w:eastAsia="Calibri"/>
          <w:iCs/>
        </w:rPr>
        <w:t>paragraph 6.27, bezlotoxumab, Public Summary Document, July 2019 PBAC meeting)</w:t>
      </w:r>
      <w:r w:rsidRPr="00A873A2">
        <w:rPr>
          <w:lang w:val="en-US"/>
        </w:rPr>
        <w:t>.</w:t>
      </w:r>
    </w:p>
    <w:p w:rsidR="001D5D62" w:rsidRPr="001D5D62" w:rsidRDefault="001D5D62" w:rsidP="001D5D62">
      <w:pPr>
        <w:pStyle w:val="3-BodyText"/>
        <w:numPr>
          <w:ilvl w:val="1"/>
          <w:numId w:val="5"/>
        </w:numPr>
        <w:rPr>
          <w:rFonts w:eastAsia="Calibri"/>
          <w:iCs/>
        </w:rPr>
      </w:pPr>
      <w:r w:rsidRPr="001D5D62">
        <w:rPr>
          <w:rFonts w:eastAsia="Calibri"/>
          <w:iCs/>
        </w:rPr>
        <w:t>The PBAC considered that the claim of superior comparative effectiveness was reasonable</w:t>
      </w:r>
      <w:r w:rsidR="006A6BFB">
        <w:rPr>
          <w:rFonts w:eastAsia="Calibri"/>
          <w:iCs/>
        </w:rPr>
        <w:t xml:space="preserve"> for patients with </w:t>
      </w:r>
      <w:r w:rsidR="009A3633">
        <w:rPr>
          <w:rFonts w:eastAsia="Calibri" w:cstheme="minorHAnsi"/>
          <w:iCs/>
        </w:rPr>
        <w:t>≥</w:t>
      </w:r>
      <w:r w:rsidR="009A3633">
        <w:rPr>
          <w:rFonts w:eastAsia="Calibri"/>
          <w:iCs/>
        </w:rPr>
        <w:t xml:space="preserve"> 1 of 2 risk factors. However, the PBAC reiterated its previous advice that the overall benefit remained modest and the clinical relevance of the benefit unclear.</w:t>
      </w:r>
    </w:p>
    <w:p w:rsidR="001D5D62" w:rsidRPr="005C7B8C" w:rsidRDefault="001D5D62" w:rsidP="005C7B8C">
      <w:pPr>
        <w:pStyle w:val="3-BodyText"/>
        <w:numPr>
          <w:ilvl w:val="1"/>
          <w:numId w:val="5"/>
        </w:numPr>
        <w:rPr>
          <w:rFonts w:eastAsia="Calibri"/>
          <w:iCs/>
        </w:rPr>
      </w:pPr>
      <w:r w:rsidRPr="001D5D62">
        <w:rPr>
          <w:rFonts w:eastAsia="Calibri"/>
          <w:iCs/>
        </w:rPr>
        <w:t>The PBAC considered that the claim of non-inferior comparative safety was not ad</w:t>
      </w:r>
      <w:r w:rsidR="005C7B8C">
        <w:rPr>
          <w:rFonts w:eastAsia="Calibri"/>
          <w:iCs/>
        </w:rPr>
        <w:t>equately supported by the data.</w:t>
      </w:r>
    </w:p>
    <w:p w:rsidR="00B60939" w:rsidRPr="00C9624D" w:rsidRDefault="00B60939" w:rsidP="00E9094A">
      <w:pPr>
        <w:pStyle w:val="4-SubsectionHeading"/>
      </w:pPr>
      <w:bookmarkStart w:id="20" w:name="_Toc22897645"/>
      <w:bookmarkStart w:id="21" w:name="_Toc30493367"/>
      <w:r w:rsidRPr="00C9624D">
        <w:lastRenderedPageBreak/>
        <w:t>Economic analysis</w:t>
      </w:r>
      <w:bookmarkEnd w:id="20"/>
      <w:bookmarkEnd w:id="21"/>
    </w:p>
    <w:p w:rsidR="00B80741" w:rsidRPr="00C67140" w:rsidRDefault="009F1DF0" w:rsidP="00C67140">
      <w:pPr>
        <w:pStyle w:val="3-BodyText"/>
        <w:numPr>
          <w:ilvl w:val="1"/>
          <w:numId w:val="5"/>
        </w:numPr>
        <w:rPr>
          <w:rFonts w:ascii="Arial Narrow" w:hAnsi="Arial Narrow"/>
          <w:sz w:val="20"/>
        </w:rPr>
      </w:pPr>
      <w:r w:rsidRPr="009B53EB">
        <w:rPr>
          <w:szCs w:val="22"/>
          <w:lang w:eastAsia="en-US"/>
        </w:rPr>
        <w:t>The structure of the modelled economic evaluation remained unchanged fro</w:t>
      </w:r>
      <w:r>
        <w:rPr>
          <w:szCs w:val="22"/>
          <w:lang w:eastAsia="en-US"/>
        </w:rPr>
        <w:t xml:space="preserve">m previous </w:t>
      </w:r>
      <w:r w:rsidRPr="009B53EB">
        <w:rPr>
          <w:szCs w:val="22"/>
          <w:lang w:eastAsia="en-US"/>
        </w:rPr>
        <w:t>submissions; however, the resubmission updated model inputs including the assumed CDI recurrence rate for SoC, population characteristics for the revised high risk population, and price per vial of bezlotoxumab</w:t>
      </w:r>
      <w:r w:rsidR="00C67140">
        <w:rPr>
          <w:szCs w:val="22"/>
          <w:lang w:eastAsia="en-US"/>
        </w:rPr>
        <w:t xml:space="preserve">. </w:t>
      </w:r>
      <w:r w:rsidR="00B80741" w:rsidRPr="00A873A2">
        <w:rPr>
          <w:szCs w:val="22"/>
          <w:lang w:eastAsia="en-US"/>
        </w:rPr>
        <w:t>The ESC noted that</w:t>
      </w:r>
      <w:r w:rsidR="00C67140" w:rsidRPr="00A873A2">
        <w:rPr>
          <w:szCs w:val="22"/>
          <w:lang w:eastAsia="en-US"/>
        </w:rPr>
        <w:t xml:space="preserve"> while </w:t>
      </w:r>
      <w:r w:rsidR="00C67140" w:rsidRPr="00A873A2">
        <w:rPr>
          <w:rFonts w:cstheme="minorBidi"/>
        </w:rPr>
        <w:t xml:space="preserve">patients </w:t>
      </w:r>
      <w:r w:rsidR="00633B45" w:rsidRPr="00A873A2">
        <w:rPr>
          <w:rFonts w:cstheme="minorHAnsi"/>
        </w:rPr>
        <w:t xml:space="preserve">immunocompromised due to a history of </w:t>
      </w:r>
      <w:r w:rsidR="00C67140" w:rsidRPr="00A873A2">
        <w:rPr>
          <w:rFonts w:cstheme="minorHAnsi"/>
        </w:rPr>
        <w:t>HSCT or SOT</w:t>
      </w:r>
      <w:r w:rsidR="00633B45" w:rsidRPr="00A873A2">
        <w:rPr>
          <w:rFonts w:cstheme="minorBidi"/>
        </w:rPr>
        <w:t xml:space="preserve"> </w:t>
      </w:r>
      <w:r w:rsidR="00C67140" w:rsidRPr="00A873A2">
        <w:rPr>
          <w:rFonts w:cstheme="minorBidi"/>
        </w:rPr>
        <w:t>were included in the revised high risk population, they were not specifically included in the economic model.</w:t>
      </w:r>
      <w:r w:rsidR="00C67140" w:rsidRPr="00C67140">
        <w:rPr>
          <w:rFonts w:cstheme="minorBidi"/>
          <w:i/>
        </w:rPr>
        <w:t xml:space="preserve"> </w:t>
      </w:r>
    </w:p>
    <w:p w:rsidR="009F1DF0" w:rsidRPr="00BA5F30" w:rsidRDefault="009F1DF0" w:rsidP="00607E07">
      <w:pPr>
        <w:pStyle w:val="3-BodyText"/>
        <w:keepNext/>
        <w:numPr>
          <w:ilvl w:val="1"/>
          <w:numId w:val="5"/>
        </w:numPr>
        <w:rPr>
          <w:szCs w:val="22"/>
          <w:lang w:eastAsia="en-US"/>
        </w:rPr>
      </w:pPr>
      <w:r w:rsidRPr="00BA5F30">
        <w:rPr>
          <w:szCs w:val="22"/>
          <w:lang w:eastAsia="en-US"/>
        </w:rPr>
        <w:t xml:space="preserve">In July 2018 and in reference to patients with </w:t>
      </w:r>
      <w:r w:rsidRPr="00BA5F30">
        <w:rPr>
          <w:rFonts w:cstheme="minorHAnsi"/>
          <w:szCs w:val="22"/>
          <w:lang w:eastAsia="en-US"/>
        </w:rPr>
        <w:t>≥</w:t>
      </w:r>
      <w:r w:rsidRPr="00BA5F30">
        <w:rPr>
          <w:szCs w:val="22"/>
          <w:lang w:eastAsia="en-US"/>
        </w:rPr>
        <w:t xml:space="preserve">1 of 4 or 5 risk factors, the PBAC considered that the most informative analysis for decision making was to apply the following parameters (paragraph 7.6; </w:t>
      </w:r>
      <w:r w:rsidR="00EC6885">
        <w:rPr>
          <w:szCs w:val="22"/>
          <w:lang w:eastAsia="en-US"/>
        </w:rPr>
        <w:t>b</w:t>
      </w:r>
      <w:r w:rsidRPr="00BA5F30">
        <w:rPr>
          <w:szCs w:val="22"/>
          <w:lang w:eastAsia="en-US"/>
        </w:rPr>
        <w:t>ezlotoxumab</w:t>
      </w:r>
      <w:r w:rsidR="00EC6885">
        <w:rPr>
          <w:szCs w:val="22"/>
          <w:lang w:eastAsia="en-US"/>
        </w:rPr>
        <w:t>, Public Summary Document,</w:t>
      </w:r>
      <w:r w:rsidRPr="00BA5F30">
        <w:rPr>
          <w:szCs w:val="22"/>
          <w:lang w:eastAsia="en-US"/>
        </w:rPr>
        <w:t xml:space="preserve"> July 2018 P</w:t>
      </w:r>
      <w:r w:rsidR="00EC6885">
        <w:rPr>
          <w:szCs w:val="22"/>
          <w:lang w:eastAsia="en-US"/>
        </w:rPr>
        <w:t>BAC meeting</w:t>
      </w:r>
      <w:r w:rsidRPr="00BA5F30">
        <w:rPr>
          <w:szCs w:val="22"/>
          <w:lang w:eastAsia="en-US"/>
        </w:rPr>
        <w:t>):</w:t>
      </w:r>
    </w:p>
    <w:p w:rsidR="009F1DF0" w:rsidRPr="00BA5F30" w:rsidRDefault="009F1DF0" w:rsidP="000735EA">
      <w:pPr>
        <w:pStyle w:val="3-BodyText"/>
        <w:numPr>
          <w:ilvl w:val="1"/>
          <w:numId w:val="13"/>
        </w:numPr>
        <w:ind w:left="1134" w:hanging="425"/>
        <w:rPr>
          <w:szCs w:val="22"/>
          <w:lang w:eastAsia="en-US"/>
        </w:rPr>
      </w:pPr>
      <w:r w:rsidRPr="00BA5F30">
        <w:rPr>
          <w:szCs w:val="22"/>
          <w:lang w:eastAsia="en-US"/>
        </w:rPr>
        <w:t>10-year time horizon;</w:t>
      </w:r>
    </w:p>
    <w:p w:rsidR="009F1DF0" w:rsidRPr="00BA5F30" w:rsidRDefault="009F1DF0" w:rsidP="000735EA">
      <w:pPr>
        <w:pStyle w:val="3-BodyText"/>
        <w:numPr>
          <w:ilvl w:val="1"/>
          <w:numId w:val="13"/>
        </w:numPr>
        <w:ind w:left="1134" w:hanging="425"/>
        <w:rPr>
          <w:szCs w:val="22"/>
          <w:lang w:eastAsia="en-US"/>
        </w:rPr>
      </w:pPr>
      <w:r w:rsidRPr="00BA5F30">
        <w:rPr>
          <w:szCs w:val="22"/>
          <w:lang w:eastAsia="en-US"/>
        </w:rPr>
        <w:t>Hazard ratio (HR) for mortality due to CDI 1.12;</w:t>
      </w:r>
    </w:p>
    <w:p w:rsidR="009F1DF0" w:rsidRPr="00BA5F30" w:rsidRDefault="009F1DF0" w:rsidP="000735EA">
      <w:pPr>
        <w:pStyle w:val="3-BodyText"/>
        <w:numPr>
          <w:ilvl w:val="1"/>
          <w:numId w:val="13"/>
        </w:numPr>
        <w:ind w:left="1134" w:hanging="425"/>
        <w:rPr>
          <w:szCs w:val="22"/>
          <w:lang w:eastAsia="en-US"/>
        </w:rPr>
      </w:pPr>
      <w:r w:rsidRPr="00BA5F30">
        <w:rPr>
          <w:szCs w:val="22"/>
          <w:lang w:eastAsia="en-US"/>
        </w:rPr>
        <w:t>2.5% mortality without CDI recurrence;</w:t>
      </w:r>
    </w:p>
    <w:p w:rsidR="009F1DF0" w:rsidRPr="00BA5F30" w:rsidRDefault="009F1DF0" w:rsidP="000735EA">
      <w:pPr>
        <w:pStyle w:val="3-BodyText"/>
        <w:numPr>
          <w:ilvl w:val="1"/>
          <w:numId w:val="13"/>
        </w:numPr>
        <w:ind w:left="1134" w:hanging="425"/>
        <w:rPr>
          <w:szCs w:val="22"/>
          <w:lang w:eastAsia="en-US"/>
        </w:rPr>
      </w:pPr>
      <w:r w:rsidRPr="00BA5F30">
        <w:rPr>
          <w:szCs w:val="22"/>
          <w:lang w:eastAsia="en-US"/>
        </w:rPr>
        <w:t>Hospitalisation costs as per AR-DRG (i.e. unadjusted for length of stay); and</w:t>
      </w:r>
    </w:p>
    <w:p w:rsidR="009F1DF0" w:rsidRPr="00BA5F30" w:rsidRDefault="009F1DF0" w:rsidP="000735EA">
      <w:pPr>
        <w:pStyle w:val="3-BodyText"/>
        <w:numPr>
          <w:ilvl w:val="1"/>
          <w:numId w:val="13"/>
        </w:numPr>
        <w:ind w:left="1134" w:hanging="425"/>
        <w:rPr>
          <w:szCs w:val="22"/>
          <w:lang w:eastAsia="en-US"/>
        </w:rPr>
      </w:pPr>
      <w:r w:rsidRPr="00BA5F30">
        <w:rPr>
          <w:szCs w:val="22"/>
          <w:lang w:eastAsia="en-US"/>
        </w:rPr>
        <w:t>17.5% CDI recurrence for SoC and 9.8% for bezlotoxumab.</w:t>
      </w:r>
    </w:p>
    <w:p w:rsidR="00AE35CF" w:rsidRPr="00A64859" w:rsidRDefault="009F1DF0" w:rsidP="00006346">
      <w:pPr>
        <w:pStyle w:val="3-BodyText"/>
        <w:numPr>
          <w:ilvl w:val="1"/>
          <w:numId w:val="5"/>
        </w:numPr>
        <w:rPr>
          <w:iCs/>
          <w:lang w:eastAsia="en-US"/>
        </w:rPr>
      </w:pPr>
      <w:r w:rsidRPr="00A64859">
        <w:rPr>
          <w:iCs/>
        </w:rPr>
        <w:t xml:space="preserve">The </w:t>
      </w:r>
      <w:r w:rsidR="00FB3A3D" w:rsidRPr="00A64859">
        <w:rPr>
          <w:iCs/>
        </w:rPr>
        <w:t xml:space="preserve">resubmission (and the July 2019 resubmission) adopted </w:t>
      </w:r>
      <w:r w:rsidRPr="00A64859">
        <w:rPr>
          <w:iCs/>
        </w:rPr>
        <w:t xml:space="preserve">most of the parameters recommended by the PBAC with the exception of the CDI recurrence rates.  </w:t>
      </w:r>
      <w:r w:rsidR="00FB3A3D" w:rsidRPr="00A64859">
        <w:rPr>
          <w:iCs/>
          <w:lang w:eastAsia="en-US"/>
        </w:rPr>
        <w:t>The PBAC had recommended that the model apply a lower rate of CDI recurrence than the trial because the generalisability of the trial population to the Australian population was uncertain and available data suggested that the risk of recurrence in Australia may be lower than the MODIFY trials (paragraph 6.16, bezlotoxumab, Public Summary Document, November 2017 PBAC meeting)</w:t>
      </w:r>
      <w:r w:rsidR="00241231" w:rsidRPr="00A64859">
        <w:rPr>
          <w:iCs/>
          <w:lang w:eastAsia="en-US"/>
        </w:rPr>
        <w:t>.</w:t>
      </w:r>
    </w:p>
    <w:p w:rsidR="009F1DF0" w:rsidRPr="00A64859" w:rsidRDefault="009F1DF0" w:rsidP="00006346">
      <w:pPr>
        <w:pStyle w:val="3-BodyText"/>
        <w:numPr>
          <w:ilvl w:val="1"/>
          <w:numId w:val="5"/>
        </w:numPr>
        <w:rPr>
          <w:iCs/>
          <w:lang w:eastAsia="en-US"/>
        </w:rPr>
      </w:pPr>
      <w:r w:rsidRPr="00A64859">
        <w:rPr>
          <w:iCs/>
          <w:lang w:eastAsia="en-US"/>
        </w:rPr>
        <w:t>In July 2019, the Sponsor argued that the 17.5% CDI recurrence rate for SoC (reported in Foster et al 2014) was not reasonable or applicable to the patients with ≥2 of 4 risk factors for several reasons, and again applied the higher trial</w:t>
      </w:r>
      <w:r w:rsidR="00D86DBF" w:rsidRPr="00A64859">
        <w:rPr>
          <w:iCs/>
          <w:lang w:eastAsia="en-US"/>
        </w:rPr>
        <w:t>-based</w:t>
      </w:r>
      <w:r w:rsidRPr="00A64859">
        <w:rPr>
          <w:iCs/>
          <w:lang w:eastAsia="en-US"/>
        </w:rPr>
        <w:t xml:space="preserve"> rates.  The ESC agreed with the Sponsor and considered that an appropriate CDI recurrence rate for SoC for an Australian high risk population may be higher than the 17.5% proposed by the PBAC in July 2018 (paragraphs 6.33 and 6.34, bezlotoxumab, Public Summary Document, July 2019 PBAC meeting).</w:t>
      </w:r>
    </w:p>
    <w:p w:rsidR="009F1DF0" w:rsidRPr="00A64859" w:rsidRDefault="00C10F1E" w:rsidP="00006346">
      <w:pPr>
        <w:pStyle w:val="3-BodyText"/>
        <w:numPr>
          <w:ilvl w:val="1"/>
          <w:numId w:val="5"/>
        </w:numPr>
        <w:rPr>
          <w:iCs/>
          <w:lang w:eastAsia="en-US"/>
        </w:rPr>
      </w:pPr>
      <w:r>
        <w:rPr>
          <w:iCs/>
          <w:lang w:eastAsia="en-US"/>
        </w:rPr>
        <w:t>In July 2019, t</w:t>
      </w:r>
      <w:r w:rsidR="009F1DF0" w:rsidRPr="00A64859">
        <w:rPr>
          <w:iCs/>
          <w:lang w:eastAsia="en-US"/>
        </w:rPr>
        <w:t>he ESC</w:t>
      </w:r>
      <w:r w:rsidR="00D86DBF" w:rsidRPr="00A64859">
        <w:rPr>
          <w:iCs/>
          <w:lang w:eastAsia="en-US"/>
        </w:rPr>
        <w:t xml:space="preserve"> </w:t>
      </w:r>
      <w:r w:rsidR="009F1DF0" w:rsidRPr="00A64859">
        <w:rPr>
          <w:iCs/>
          <w:lang w:eastAsia="en-US"/>
        </w:rPr>
        <w:t xml:space="preserve">considered </w:t>
      </w:r>
      <w:r w:rsidR="00D86DBF" w:rsidRPr="00A64859">
        <w:rPr>
          <w:iCs/>
          <w:lang w:eastAsia="en-US"/>
        </w:rPr>
        <w:t xml:space="preserve">(as an example) that </w:t>
      </w:r>
      <w:r w:rsidR="009F1DF0" w:rsidRPr="00A64859">
        <w:rPr>
          <w:iCs/>
          <w:lang w:eastAsia="en-US"/>
        </w:rPr>
        <w:t>trial</w:t>
      </w:r>
      <w:r w:rsidR="00D86DBF" w:rsidRPr="00A64859">
        <w:rPr>
          <w:iCs/>
          <w:lang w:eastAsia="en-US"/>
        </w:rPr>
        <w:t xml:space="preserve">-based CDI recurrence rates </w:t>
      </w:r>
      <w:r w:rsidR="009F1DF0" w:rsidRPr="00A64859">
        <w:rPr>
          <w:iCs/>
          <w:lang w:eastAsia="en-US"/>
        </w:rPr>
        <w:t>by risk factor could be adjusted to r</w:t>
      </w:r>
      <w:r w:rsidR="00D86DBF" w:rsidRPr="00A64859">
        <w:rPr>
          <w:iCs/>
          <w:lang w:eastAsia="en-US"/>
        </w:rPr>
        <w:t>eflect recurrence rates in the Australian population</w:t>
      </w:r>
      <w:r w:rsidR="009F1DF0" w:rsidRPr="00A64859">
        <w:rPr>
          <w:iCs/>
          <w:lang w:eastAsia="en-US"/>
        </w:rPr>
        <w:t xml:space="preserve">, using the aggregate recurrence rate cited by </w:t>
      </w:r>
      <w:r w:rsidR="00D86DBF" w:rsidRPr="00A64859">
        <w:rPr>
          <w:iCs/>
          <w:lang w:eastAsia="en-US"/>
        </w:rPr>
        <w:t xml:space="preserve">the </w:t>
      </w:r>
      <w:r w:rsidR="00D86DBF" w:rsidRPr="00A64859">
        <w:rPr>
          <w:iCs/>
        </w:rPr>
        <w:t>Australian Commission on Safety and Quality in Health Care (ACSQHC)</w:t>
      </w:r>
      <w:r w:rsidR="00D86DBF" w:rsidRPr="00A64859">
        <w:rPr>
          <w:iCs/>
          <w:lang w:eastAsia="en-US"/>
        </w:rPr>
        <w:t xml:space="preserve"> </w:t>
      </w:r>
      <w:r w:rsidR="009F1DF0" w:rsidRPr="00A64859">
        <w:rPr>
          <w:iCs/>
          <w:lang w:eastAsia="en-US"/>
        </w:rPr>
        <w:t xml:space="preserve">and the recurrence rates for the ITT population in the MODIFY trials.  The </w:t>
      </w:r>
      <w:r w:rsidR="00831120" w:rsidRPr="00A64859">
        <w:rPr>
          <w:iCs/>
          <w:lang w:eastAsia="en-US"/>
        </w:rPr>
        <w:t>adjustment resulted in CDI</w:t>
      </w:r>
      <w:r w:rsidR="009F1DF0" w:rsidRPr="00A64859">
        <w:rPr>
          <w:iCs/>
          <w:lang w:eastAsia="en-US"/>
        </w:rPr>
        <w:t xml:space="preserve"> recurrence </w:t>
      </w:r>
      <w:r w:rsidR="002E0D90" w:rsidRPr="00A64859">
        <w:rPr>
          <w:iCs/>
          <w:lang w:eastAsia="en-US"/>
        </w:rPr>
        <w:t xml:space="preserve">rates </w:t>
      </w:r>
      <w:r w:rsidR="00831120" w:rsidRPr="00A64859">
        <w:rPr>
          <w:iCs/>
          <w:lang w:eastAsia="en-US"/>
        </w:rPr>
        <w:t>of</w:t>
      </w:r>
      <w:r w:rsidR="009F1DF0" w:rsidRPr="00A64859">
        <w:rPr>
          <w:iCs/>
          <w:lang w:eastAsia="en-US"/>
        </w:rPr>
        <w:t xml:space="preserve"> 22% </w:t>
      </w:r>
      <w:r w:rsidR="00831120" w:rsidRPr="00A64859">
        <w:rPr>
          <w:iCs/>
          <w:lang w:eastAsia="en-US"/>
        </w:rPr>
        <w:t xml:space="preserve">for patients with </w:t>
      </w:r>
      <w:r w:rsidR="009F1DF0" w:rsidRPr="00A64859">
        <w:rPr>
          <w:iCs/>
          <w:lang w:eastAsia="en-US"/>
        </w:rPr>
        <w:t>≥1 of 4 and</w:t>
      </w:r>
      <w:r w:rsidR="00831120" w:rsidRPr="00A64859">
        <w:rPr>
          <w:iCs/>
          <w:lang w:eastAsia="en-US"/>
        </w:rPr>
        <w:t xml:space="preserve"> 26% for </w:t>
      </w:r>
      <w:r w:rsidR="009F1DF0" w:rsidRPr="00A64859">
        <w:rPr>
          <w:iCs/>
          <w:lang w:eastAsia="en-US"/>
        </w:rPr>
        <w:t>≥2 of 4 risk factors. The PBAC however, considered that the CDI recurrence rate for SoC for the Australian population remained uncertain (paragraph 6.34, bezlotoxumab, Public Summary Document, July 2019 PBAC meeting).</w:t>
      </w:r>
    </w:p>
    <w:p w:rsidR="00D411C7" w:rsidRPr="00A64859" w:rsidRDefault="00D411C7" w:rsidP="00006346">
      <w:pPr>
        <w:pStyle w:val="3-BodyText"/>
        <w:numPr>
          <w:ilvl w:val="1"/>
          <w:numId w:val="5"/>
        </w:numPr>
        <w:rPr>
          <w:iCs/>
          <w:lang w:eastAsia="en-US"/>
        </w:rPr>
      </w:pPr>
      <w:r w:rsidRPr="00A64859">
        <w:rPr>
          <w:lang w:eastAsia="en-US"/>
        </w:rPr>
        <w:lastRenderedPageBreak/>
        <w:t xml:space="preserve">Based on the </w:t>
      </w:r>
      <w:r w:rsidR="00C10F1E">
        <w:rPr>
          <w:lang w:eastAsia="en-US"/>
        </w:rPr>
        <w:t xml:space="preserve">July 2019 </w:t>
      </w:r>
      <w:r w:rsidRPr="00A64859">
        <w:rPr>
          <w:lang w:eastAsia="en-US"/>
        </w:rPr>
        <w:t xml:space="preserve">ESC </w:t>
      </w:r>
      <w:r w:rsidR="0016663E" w:rsidRPr="00A64859">
        <w:rPr>
          <w:lang w:eastAsia="en-US"/>
        </w:rPr>
        <w:t>advice</w:t>
      </w:r>
      <w:r w:rsidRPr="00A64859">
        <w:rPr>
          <w:lang w:eastAsia="en-US"/>
        </w:rPr>
        <w:t xml:space="preserve">, the resubmission adjusted </w:t>
      </w:r>
      <w:r w:rsidR="00E75060" w:rsidRPr="00A64859">
        <w:rPr>
          <w:lang w:eastAsia="en-US"/>
        </w:rPr>
        <w:t xml:space="preserve">the </w:t>
      </w:r>
      <w:r w:rsidRPr="00A64859">
        <w:rPr>
          <w:lang w:eastAsia="en-US"/>
        </w:rPr>
        <w:t>trial-based CDI recurrence rate for SoC for patients with ≥1 of 2 risk factors from 32.3% to 23.9% in the model.  The CDI recurrence rate for bezlotoxumab of 12.0% was then estimated by multiplying the adjusted baseline risk for SoC by the estimated treatment effect in the MODIFY trials.</w:t>
      </w:r>
      <w:r w:rsidRPr="00A64859">
        <w:rPr>
          <w:iCs/>
          <w:lang w:eastAsia="en-US"/>
        </w:rPr>
        <w:t xml:space="preserve">  The treatment effect applied in the model did not take into account observed differences in baseline characteristics across the comparison groups for patients with </w:t>
      </w:r>
      <w:r w:rsidRPr="00A64859">
        <w:rPr>
          <w:rFonts w:cs="Calibri"/>
          <w:iCs/>
        </w:rPr>
        <w:t>≥</w:t>
      </w:r>
      <w:r w:rsidRPr="00A64859">
        <w:rPr>
          <w:iCs/>
        </w:rPr>
        <w:t>1 of 2 risk factors.</w:t>
      </w:r>
    </w:p>
    <w:p w:rsidR="005C68DB" w:rsidRPr="00A64859" w:rsidRDefault="005C68DB" w:rsidP="00006346">
      <w:pPr>
        <w:pStyle w:val="3-BodyText"/>
        <w:numPr>
          <w:ilvl w:val="1"/>
          <w:numId w:val="5"/>
        </w:numPr>
        <w:rPr>
          <w:lang w:eastAsia="en-US"/>
        </w:rPr>
      </w:pPr>
      <w:r w:rsidRPr="00A64859">
        <w:rPr>
          <w:lang w:eastAsia="en-US"/>
        </w:rPr>
        <w:t xml:space="preserve">The </w:t>
      </w:r>
      <w:r w:rsidRPr="00A873A2">
        <w:rPr>
          <w:lang w:eastAsia="en-US"/>
        </w:rPr>
        <w:t xml:space="preserve">resubmission </w:t>
      </w:r>
      <w:r w:rsidR="00502DB6" w:rsidRPr="00A873A2">
        <w:rPr>
          <w:lang w:eastAsia="en-US"/>
        </w:rPr>
        <w:t xml:space="preserve">and PSCR </w:t>
      </w:r>
      <w:r w:rsidRPr="00A873A2">
        <w:rPr>
          <w:lang w:eastAsia="en-US"/>
        </w:rPr>
        <w:t>argued</w:t>
      </w:r>
      <w:r w:rsidRPr="00A64859">
        <w:rPr>
          <w:lang w:eastAsia="en-US"/>
        </w:rPr>
        <w:t xml:space="preserve"> that the recurrence rates assumed </w:t>
      </w:r>
      <w:r w:rsidR="00241231" w:rsidRPr="00A64859">
        <w:rPr>
          <w:lang w:eastAsia="en-US"/>
        </w:rPr>
        <w:t xml:space="preserve">in the model </w:t>
      </w:r>
      <w:r w:rsidRPr="00A64859">
        <w:rPr>
          <w:lang w:eastAsia="en-US"/>
        </w:rPr>
        <w:t xml:space="preserve">are conservative </w:t>
      </w:r>
      <w:r w:rsidR="0016663E" w:rsidRPr="00A64859">
        <w:rPr>
          <w:lang w:eastAsia="en-US"/>
        </w:rPr>
        <w:t>given results of</w:t>
      </w:r>
      <w:r w:rsidRPr="00A64859">
        <w:rPr>
          <w:lang w:eastAsia="en-US"/>
        </w:rPr>
        <w:t xml:space="preserve"> a recent Australian</w:t>
      </w:r>
      <w:r w:rsidR="0016663E" w:rsidRPr="00A64859">
        <w:rPr>
          <w:lang w:eastAsia="en-US"/>
        </w:rPr>
        <w:t xml:space="preserve"> study</w:t>
      </w:r>
      <w:r w:rsidRPr="00A64859">
        <w:rPr>
          <w:lang w:eastAsia="en-US"/>
        </w:rPr>
        <w:t xml:space="preserve"> (Alfayyadh et al 2019).  This retrospective cohort study examined CDI cases recorded in all public hospitals in Western Australia between October 2011 and July 2017, and found 31.9% (1471/4612) of patients experienced recurrent CDI.</w:t>
      </w:r>
      <w:r w:rsidR="00A7269B" w:rsidRPr="00A873A2">
        <w:rPr>
          <w:lang w:eastAsia="en-US"/>
        </w:rPr>
        <w:t xml:space="preserve"> The ESC noted the CDI recurrence rates re</w:t>
      </w:r>
      <w:r w:rsidR="00C10F1E" w:rsidRPr="00A873A2">
        <w:rPr>
          <w:lang w:eastAsia="en-US"/>
        </w:rPr>
        <w:t>ported by Kerr et al 2019 for So</w:t>
      </w:r>
      <w:r w:rsidR="00A7269B" w:rsidRPr="00A873A2">
        <w:rPr>
          <w:lang w:eastAsia="en-US"/>
        </w:rPr>
        <w:t>C with and without bezlotoxumab (9% and 33%, respectively) and those reported by Oski et al 2019 for patients treated with bezlotoxumab (27%) and considered that recurrence rates for th</w:t>
      </w:r>
      <w:r w:rsidR="00BA36F9" w:rsidRPr="00A873A2">
        <w:rPr>
          <w:lang w:eastAsia="en-US"/>
        </w:rPr>
        <w:t xml:space="preserve">e Australian population remain </w:t>
      </w:r>
      <w:r w:rsidR="00A7269B" w:rsidRPr="00A873A2">
        <w:rPr>
          <w:lang w:eastAsia="en-US"/>
        </w:rPr>
        <w:t xml:space="preserve">uncertain. </w:t>
      </w:r>
    </w:p>
    <w:p w:rsidR="00181E7E" w:rsidRPr="00A64859" w:rsidRDefault="00241231" w:rsidP="00006346">
      <w:pPr>
        <w:pStyle w:val="3-BodyText"/>
        <w:numPr>
          <w:ilvl w:val="1"/>
          <w:numId w:val="5"/>
        </w:numPr>
        <w:rPr>
          <w:rFonts w:ascii="Arial Narrow" w:hAnsi="Arial Narrow"/>
          <w:iCs/>
          <w:sz w:val="20"/>
        </w:rPr>
      </w:pPr>
      <w:r w:rsidRPr="00A64859">
        <w:rPr>
          <w:iCs/>
        </w:rPr>
        <w:t xml:space="preserve">Figure </w:t>
      </w:r>
      <w:r w:rsidR="001B766C" w:rsidRPr="00A64859">
        <w:rPr>
          <w:iCs/>
        </w:rPr>
        <w:t>1</w:t>
      </w:r>
      <w:r w:rsidRPr="00A64859">
        <w:rPr>
          <w:iCs/>
        </w:rPr>
        <w:t xml:space="preserve"> shows the relationship between CDI recurrence rate for SoC </w:t>
      </w:r>
      <w:r w:rsidR="00CF71D6" w:rsidRPr="00A64859">
        <w:rPr>
          <w:iCs/>
        </w:rPr>
        <w:t xml:space="preserve">versus </w:t>
      </w:r>
      <w:r w:rsidR="00294ED7" w:rsidRPr="00A64859">
        <w:rPr>
          <w:iCs/>
        </w:rPr>
        <w:t>the ICER/QALY</w:t>
      </w:r>
      <w:r w:rsidR="001B3677" w:rsidRPr="00A64859">
        <w:rPr>
          <w:iCs/>
        </w:rPr>
        <w:t xml:space="preserve"> (at two different prices</w:t>
      </w:r>
      <w:r w:rsidR="008310FA" w:rsidRPr="00A64859">
        <w:rPr>
          <w:iCs/>
        </w:rPr>
        <w:t xml:space="preserve"> of bezlotoxumab</w:t>
      </w:r>
      <w:r w:rsidR="001B3677" w:rsidRPr="00A64859">
        <w:rPr>
          <w:iCs/>
        </w:rPr>
        <w:t>)</w:t>
      </w:r>
      <w:r w:rsidR="00294ED7" w:rsidRPr="00A64859">
        <w:rPr>
          <w:iCs/>
        </w:rPr>
        <w:t xml:space="preserve"> </w:t>
      </w:r>
      <w:r w:rsidRPr="00A64859">
        <w:rPr>
          <w:iCs/>
        </w:rPr>
        <w:t xml:space="preserve"> in the </w:t>
      </w:r>
      <w:r w:rsidR="00352AF1" w:rsidRPr="00A64859">
        <w:rPr>
          <w:iCs/>
        </w:rPr>
        <w:t xml:space="preserve">economic </w:t>
      </w:r>
      <w:r w:rsidRPr="00A64859">
        <w:rPr>
          <w:iCs/>
        </w:rPr>
        <w:t>model</w:t>
      </w:r>
      <w:r w:rsidR="00181E7E" w:rsidRPr="00A64859">
        <w:rPr>
          <w:iCs/>
        </w:rPr>
        <w:t xml:space="preserve"> for patients with </w:t>
      </w:r>
      <w:r w:rsidR="00181E7E" w:rsidRPr="00A64859">
        <w:rPr>
          <w:rFonts w:cstheme="minorHAnsi"/>
          <w:iCs/>
        </w:rPr>
        <w:t>≥</w:t>
      </w:r>
      <w:r w:rsidR="00181E7E" w:rsidRPr="00A64859">
        <w:rPr>
          <w:iCs/>
        </w:rPr>
        <w:t xml:space="preserve">2 of 4 risk factors </w:t>
      </w:r>
      <w:r w:rsidR="0016663E" w:rsidRPr="00A64859">
        <w:rPr>
          <w:iCs/>
        </w:rPr>
        <w:t>requested in the previous resubmission (</w:t>
      </w:r>
      <w:r w:rsidR="00181E7E" w:rsidRPr="00A64859">
        <w:rPr>
          <w:iCs/>
        </w:rPr>
        <w:t>July 2019</w:t>
      </w:r>
      <w:r w:rsidR="0016663E" w:rsidRPr="00A64859">
        <w:rPr>
          <w:iCs/>
        </w:rPr>
        <w:t>)</w:t>
      </w:r>
      <w:r w:rsidR="00181E7E" w:rsidRPr="00A64859">
        <w:rPr>
          <w:iCs/>
        </w:rPr>
        <w:t xml:space="preserve"> and </w:t>
      </w:r>
      <w:r w:rsidR="00181E7E" w:rsidRPr="00A64859">
        <w:rPr>
          <w:rFonts w:cstheme="minorHAnsi"/>
          <w:iCs/>
        </w:rPr>
        <w:t>≥</w:t>
      </w:r>
      <w:r w:rsidR="00181E7E" w:rsidRPr="00A64859">
        <w:rPr>
          <w:iCs/>
        </w:rPr>
        <w:t>1 of 2 risk factors</w:t>
      </w:r>
      <w:r w:rsidR="0016663E" w:rsidRPr="00A64859">
        <w:rPr>
          <w:iCs/>
        </w:rPr>
        <w:t xml:space="preserve"> in this resubmission</w:t>
      </w:r>
      <w:r w:rsidR="00181E7E" w:rsidRPr="00A64859">
        <w:rPr>
          <w:iCs/>
        </w:rPr>
        <w:t>.</w:t>
      </w:r>
    </w:p>
    <w:p w:rsidR="00AE35CF" w:rsidRPr="00A3670B" w:rsidRDefault="00AE35CF" w:rsidP="005B1FDF">
      <w:pPr>
        <w:pStyle w:val="3-BodyText"/>
        <w:keepNext/>
        <w:numPr>
          <w:ilvl w:val="0"/>
          <w:numId w:val="0"/>
        </w:numPr>
        <w:spacing w:after="0"/>
        <w:rPr>
          <w:rFonts w:ascii="Arial Narrow" w:hAnsi="Arial Narrow"/>
          <w:i/>
          <w:iCs/>
          <w:sz w:val="20"/>
          <w:szCs w:val="20"/>
        </w:rPr>
      </w:pPr>
      <w:r>
        <w:rPr>
          <w:rFonts w:ascii="Arial Narrow" w:hAnsi="Arial Narrow"/>
          <w:b/>
          <w:sz w:val="20"/>
          <w:szCs w:val="20"/>
          <w:lang w:eastAsia="en-US"/>
        </w:rPr>
        <w:lastRenderedPageBreak/>
        <w:t xml:space="preserve">Figure </w:t>
      </w:r>
      <w:r w:rsidRPr="00A3670B">
        <w:rPr>
          <w:rFonts w:ascii="Arial Narrow" w:hAnsi="Arial Narrow"/>
          <w:b/>
          <w:sz w:val="20"/>
          <w:szCs w:val="20"/>
          <w:lang w:eastAsia="en-US"/>
        </w:rPr>
        <w:t>1</w:t>
      </w:r>
      <w:r w:rsidR="00F84C93">
        <w:rPr>
          <w:rFonts w:ascii="Arial Narrow" w:hAnsi="Arial Narrow"/>
          <w:b/>
          <w:sz w:val="20"/>
          <w:szCs w:val="20"/>
          <w:lang w:eastAsia="en-US"/>
        </w:rPr>
        <w:t>:</w:t>
      </w:r>
      <w:r w:rsidRPr="00A3670B">
        <w:rPr>
          <w:rFonts w:ascii="Arial Narrow" w:hAnsi="Arial Narrow"/>
          <w:b/>
          <w:sz w:val="20"/>
          <w:szCs w:val="20"/>
          <w:lang w:eastAsia="en-US"/>
        </w:rPr>
        <w:t xml:space="preserve"> ICER modelled over varying 30-day first recurrence rate for SoC (assuming constant relative risk of 0.48 to estimate corresponding recurrence rate for bezlotoxumab)</w:t>
      </w:r>
    </w:p>
    <w:p w:rsidR="004C1FFF" w:rsidRDefault="005E5699" w:rsidP="00B05CC9">
      <w:pPr>
        <w:jc w:val="left"/>
        <w:rPr>
          <w:rFonts w:ascii="Arial Narrow" w:hAnsi="Arial Narrow" w:cs="Times New Roman"/>
          <w:i/>
          <w:iCs/>
          <w:sz w:val="18"/>
          <w:szCs w:val="18"/>
          <w:lang w:eastAsia="en-US"/>
        </w:rPr>
      </w:pPr>
      <w:r>
        <w:rPr>
          <w:noProof/>
        </w:rPr>
        <w:drawing>
          <wp:inline distT="0" distB="0" distL="0" distR="0" wp14:anchorId="5998519B" wp14:editId="4B32A540">
            <wp:extent cx="5732145" cy="3954780"/>
            <wp:effectExtent l="0" t="0" r="1905" b="7620"/>
            <wp:docPr id="1" name="Picture 1" title="Figure 1: ICER modelled over varying 30-day first recurrence rate for SoC (assuming constant relative risk of 0.48 to estimate corresponding recurrence rate for bezlotoxu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3954780"/>
                    </a:xfrm>
                    <a:prstGeom prst="rect">
                      <a:avLst/>
                    </a:prstGeom>
                  </pic:spPr>
                </pic:pic>
              </a:graphicData>
            </a:graphic>
          </wp:inline>
        </w:drawing>
      </w:r>
    </w:p>
    <w:p w:rsidR="00AE35CF" w:rsidRPr="00B05CC9" w:rsidRDefault="00AE35CF" w:rsidP="00B05CC9">
      <w:pPr>
        <w:jc w:val="left"/>
        <w:rPr>
          <w:rFonts w:ascii="Arial Narrow" w:hAnsi="Arial Narrow" w:cs="Times New Roman"/>
          <w:i/>
          <w:iCs/>
          <w:sz w:val="18"/>
          <w:szCs w:val="18"/>
          <w:lang w:eastAsia="en-US"/>
        </w:rPr>
      </w:pPr>
      <w:r w:rsidRPr="00B05CC9">
        <w:rPr>
          <w:rFonts w:ascii="Arial Narrow" w:hAnsi="Arial Narrow" w:cs="Times New Roman"/>
          <w:i/>
          <w:iCs/>
          <w:sz w:val="18"/>
          <w:szCs w:val="18"/>
          <w:lang w:eastAsia="en-US"/>
        </w:rPr>
        <w:t>Abbreviations: ICER=incremental cost-effectiveness ratio; QALY=quality-adjusted life years; SoC=standard of care</w:t>
      </w:r>
    </w:p>
    <w:p w:rsidR="00AE35CF" w:rsidRPr="00B05CC9" w:rsidRDefault="00AE35CF" w:rsidP="00B05CC9">
      <w:pPr>
        <w:jc w:val="left"/>
        <w:rPr>
          <w:rFonts w:ascii="Arial Narrow" w:hAnsi="Arial Narrow" w:cs="Times New Roman"/>
          <w:i/>
          <w:iCs/>
          <w:sz w:val="18"/>
          <w:szCs w:val="18"/>
          <w:lang w:eastAsia="en-US"/>
        </w:rPr>
      </w:pPr>
      <w:r w:rsidRPr="00B05CC9">
        <w:rPr>
          <w:rFonts w:ascii="Arial Narrow" w:hAnsi="Arial Narrow" w:cs="Times New Roman"/>
          <w:i/>
          <w:iCs/>
          <w:sz w:val="18"/>
          <w:szCs w:val="18"/>
          <w:lang w:eastAsia="en-US"/>
        </w:rPr>
        <w:t xml:space="preserve">Source: constructed during the evaluation from Bezlotoxumab Section 3 Workbook of the resubmission </w:t>
      </w:r>
    </w:p>
    <w:p w:rsidR="00AE35CF" w:rsidRPr="005E5699" w:rsidRDefault="005E5699" w:rsidP="00354DE1">
      <w:pPr>
        <w:pStyle w:val="3-BodyText"/>
        <w:numPr>
          <w:ilvl w:val="0"/>
          <w:numId w:val="0"/>
        </w:numPr>
        <w:spacing w:before="120"/>
        <w:ind w:left="720" w:hanging="720"/>
        <w:rPr>
          <w:i/>
        </w:rPr>
      </w:pPr>
      <w:r>
        <w:rPr>
          <w:i/>
        </w:rPr>
        <w:t xml:space="preserve">The figure shows an ICER between </w:t>
      </w:r>
      <w:r w:rsidRPr="005E5699">
        <w:rPr>
          <w:i/>
        </w:rPr>
        <w:t>$15,000 to &lt;</w:t>
      </w:r>
      <w:r>
        <w:rPr>
          <w:i/>
        </w:rPr>
        <w:t> </w:t>
      </w:r>
      <w:r w:rsidRPr="005E5699">
        <w:rPr>
          <w:i/>
        </w:rPr>
        <w:t>$25,000</w:t>
      </w:r>
      <w:r>
        <w:rPr>
          <w:i/>
        </w:rPr>
        <w:t>/QALY.</w:t>
      </w:r>
    </w:p>
    <w:p w:rsidR="004E7C60" w:rsidRPr="00A64859" w:rsidRDefault="004E7C60" w:rsidP="00006346">
      <w:pPr>
        <w:pStyle w:val="3-BodyText"/>
        <w:numPr>
          <w:ilvl w:val="1"/>
          <w:numId w:val="5"/>
        </w:numPr>
        <w:rPr>
          <w:iCs/>
          <w:lang w:eastAsia="en-US"/>
        </w:rPr>
      </w:pPr>
      <w:r w:rsidRPr="00A64859">
        <w:rPr>
          <w:iCs/>
        </w:rPr>
        <w:t>The figure illustrates that the model remained highly sensitive to the CDI recurrence rate for SoC</w:t>
      </w:r>
      <w:r w:rsidR="00352AF1" w:rsidRPr="00A64859">
        <w:rPr>
          <w:iCs/>
        </w:rPr>
        <w:t>;</w:t>
      </w:r>
      <w:r w:rsidRPr="00A64859">
        <w:rPr>
          <w:iCs/>
        </w:rPr>
        <w:t xml:space="preserve"> and all else constant</w:t>
      </w:r>
      <w:r w:rsidR="00352AF1" w:rsidRPr="00A64859">
        <w:rPr>
          <w:iCs/>
        </w:rPr>
        <w:t>,</w:t>
      </w:r>
      <w:r w:rsidRPr="00A64859">
        <w:rPr>
          <w:iCs/>
        </w:rPr>
        <w:t xml:space="preserve"> that the lower requested price resulted in relatively larger decrease in the ICER than the updated population characteristics.  The ICER was lower for patients with </w:t>
      </w:r>
      <w:r w:rsidRPr="00A64859">
        <w:rPr>
          <w:rFonts w:cs="Calibri"/>
          <w:iCs/>
          <w:lang w:eastAsia="en-US"/>
        </w:rPr>
        <w:t>≥</w:t>
      </w:r>
      <w:r w:rsidRPr="00A64859">
        <w:rPr>
          <w:iCs/>
          <w:lang w:eastAsia="en-US"/>
        </w:rPr>
        <w:t xml:space="preserve">1 of 2 risk factors than </w:t>
      </w:r>
      <w:r w:rsidRPr="00A64859">
        <w:rPr>
          <w:rFonts w:cs="Calibri"/>
          <w:iCs/>
          <w:lang w:eastAsia="en-US"/>
        </w:rPr>
        <w:t>≥</w:t>
      </w:r>
      <w:r w:rsidRPr="00A64859">
        <w:rPr>
          <w:iCs/>
          <w:lang w:eastAsia="en-US"/>
        </w:rPr>
        <w:t>2 of 4 risk factors due to the higher proportion of CDIs assumed to require hospitalisation (which favours bezlotoxumab) despite estimating slightly lower CDI recurrence for SoC and a slightly smal</w:t>
      </w:r>
      <w:r w:rsidR="00203412" w:rsidRPr="00A64859">
        <w:rPr>
          <w:iCs/>
          <w:lang w:eastAsia="en-US"/>
        </w:rPr>
        <w:t>ler treatment effect (which does not</w:t>
      </w:r>
      <w:r w:rsidRPr="00A64859">
        <w:rPr>
          <w:iCs/>
          <w:lang w:eastAsia="en-US"/>
        </w:rPr>
        <w:t xml:space="preserve"> favour bezlotoxumab).</w:t>
      </w:r>
    </w:p>
    <w:p w:rsidR="004E7C60" w:rsidRPr="00A64859" w:rsidRDefault="00352AF1" w:rsidP="00006346">
      <w:pPr>
        <w:pStyle w:val="3-BodyText"/>
        <w:numPr>
          <w:ilvl w:val="1"/>
          <w:numId w:val="5"/>
        </w:numPr>
        <w:rPr>
          <w:iCs/>
          <w:lang w:eastAsia="en-US"/>
        </w:rPr>
      </w:pPr>
      <w:r w:rsidRPr="00A64859">
        <w:rPr>
          <w:iCs/>
          <w:lang w:eastAsia="en-US"/>
        </w:rPr>
        <w:t xml:space="preserve">The figure also illustrates that the bezlotoxumab </w:t>
      </w:r>
      <w:r w:rsidR="00D314CF" w:rsidRPr="00A64859">
        <w:rPr>
          <w:iCs/>
          <w:lang w:eastAsia="en-US"/>
        </w:rPr>
        <w:t xml:space="preserve">+ SoC </w:t>
      </w:r>
      <w:r w:rsidRPr="00A64859">
        <w:rPr>
          <w:iCs/>
          <w:lang w:eastAsia="en-US"/>
        </w:rPr>
        <w:t xml:space="preserve">dominates SoC (i.e. larger benefit and lower cost) for CDI recurrence rates </w:t>
      </w:r>
      <w:r w:rsidR="001B3677" w:rsidRPr="00A64859">
        <w:rPr>
          <w:iCs/>
          <w:lang w:eastAsia="en-US"/>
        </w:rPr>
        <w:t xml:space="preserve">in the </w:t>
      </w:r>
      <w:r w:rsidR="00D314CF" w:rsidRPr="00A64859">
        <w:rPr>
          <w:iCs/>
          <w:lang w:eastAsia="en-US"/>
        </w:rPr>
        <w:t xml:space="preserve">SoC </w:t>
      </w:r>
      <w:r w:rsidR="001B3677" w:rsidRPr="00A64859">
        <w:rPr>
          <w:iCs/>
          <w:lang w:eastAsia="en-US"/>
        </w:rPr>
        <w:t xml:space="preserve">arm </w:t>
      </w:r>
      <w:r w:rsidRPr="00A64859">
        <w:rPr>
          <w:iCs/>
          <w:lang w:eastAsia="en-US"/>
        </w:rPr>
        <w:t>above</w:t>
      </w:r>
      <w:r w:rsidR="00D314CF" w:rsidRPr="00A64859">
        <w:rPr>
          <w:iCs/>
          <w:lang w:eastAsia="en-US"/>
        </w:rPr>
        <w:t xml:space="preserve"> approximately 25.9%.  Based on the CDI recurrence rates reported in the trials (32.3%) and Alfayyadh et al 2019 (31.9%), the ICER</w:t>
      </w:r>
      <w:r w:rsidR="00BD20C1" w:rsidRPr="00A64859">
        <w:rPr>
          <w:iCs/>
          <w:lang w:eastAsia="en-US"/>
        </w:rPr>
        <w:t>s</w:t>
      </w:r>
      <w:r w:rsidR="00D314CF" w:rsidRPr="00A64859">
        <w:rPr>
          <w:iCs/>
          <w:lang w:eastAsia="en-US"/>
        </w:rPr>
        <w:t xml:space="preserve"> w</w:t>
      </w:r>
      <w:r w:rsidR="00BD20C1" w:rsidRPr="00A64859">
        <w:rPr>
          <w:iCs/>
          <w:lang w:eastAsia="en-US"/>
        </w:rPr>
        <w:t>ere dominant.</w:t>
      </w:r>
    </w:p>
    <w:p w:rsidR="00D314CF" w:rsidRPr="00A64859" w:rsidRDefault="00373572" w:rsidP="00006346">
      <w:pPr>
        <w:pStyle w:val="3-BodyText"/>
      </w:pPr>
      <w:r w:rsidRPr="00A64859">
        <w:t xml:space="preserve">Table </w:t>
      </w:r>
      <w:r w:rsidR="00212BAE" w:rsidRPr="00A64859">
        <w:t>10</w:t>
      </w:r>
      <w:r w:rsidRPr="00A64859">
        <w:t xml:space="preserve"> summarised the k</w:t>
      </w:r>
      <w:r w:rsidR="00D916A5" w:rsidRPr="00A64859">
        <w:t>ey drivers of the economic evaluation</w:t>
      </w:r>
      <w:r w:rsidR="00D916A5" w:rsidRPr="00A64859">
        <w:rPr>
          <w:iCs/>
        </w:rPr>
        <w:t xml:space="preserve">.  </w:t>
      </w:r>
      <w:r w:rsidRPr="00A64859">
        <w:rPr>
          <w:iCs/>
          <w:szCs w:val="22"/>
          <w:lang w:eastAsia="en-US"/>
        </w:rPr>
        <w:t>Consistent with the previous submissions, the main drivers of the model remained CDI recurrence rates and other parameters that influence the extent of cost-offsets associated with hospitalisation (e.g. proportion hospitalised and proportion of recurrences which are severe) or drug costs.  The actual proportion of hospitalisations in the Australian</w:t>
      </w:r>
      <w:r>
        <w:rPr>
          <w:i/>
          <w:iCs/>
          <w:szCs w:val="22"/>
          <w:lang w:eastAsia="en-US"/>
        </w:rPr>
        <w:t xml:space="preserve"> </w:t>
      </w:r>
      <w:r w:rsidRPr="00A64859">
        <w:rPr>
          <w:iCs/>
          <w:szCs w:val="22"/>
          <w:lang w:eastAsia="en-US"/>
        </w:rPr>
        <w:lastRenderedPageBreak/>
        <w:t xml:space="preserve">population is unknown, using the lower end of the range in previous resubmissions (32% hospitalised instead of 56.7% used in the resubmission) increases the ICER to </w:t>
      </w:r>
      <w:r w:rsidR="000B0E82" w:rsidRPr="00B1026A">
        <w:rPr>
          <w:rFonts w:cstheme="minorHAnsi"/>
        </w:rPr>
        <w:t>$75,000 to &lt;</w:t>
      </w:r>
      <w:r w:rsidR="00840009">
        <w:rPr>
          <w:rFonts w:cstheme="minorHAnsi"/>
        </w:rPr>
        <w:t> </w:t>
      </w:r>
      <w:r w:rsidR="000B0E82" w:rsidRPr="00B1026A">
        <w:rPr>
          <w:rFonts w:cstheme="minorHAnsi"/>
        </w:rPr>
        <w:t>$95,000</w:t>
      </w:r>
      <w:r w:rsidRPr="00A64859">
        <w:rPr>
          <w:iCs/>
          <w:szCs w:val="22"/>
          <w:lang w:eastAsia="en-US"/>
        </w:rPr>
        <w:t>/QALY.</w:t>
      </w:r>
    </w:p>
    <w:p w:rsidR="00D916A5" w:rsidRPr="00AE6AE0" w:rsidRDefault="0053357E" w:rsidP="00AE6AE0">
      <w:pPr>
        <w:keepNext/>
        <w:jc w:val="left"/>
        <w:rPr>
          <w:rFonts w:ascii="Arial Narrow" w:eastAsiaTheme="majorEastAsia" w:hAnsi="Arial Narrow" w:cstheme="majorBidi"/>
          <w:b/>
          <w:bCs/>
          <w:sz w:val="20"/>
        </w:rPr>
      </w:pPr>
      <w:r w:rsidRPr="00AE6AE0">
        <w:rPr>
          <w:rFonts w:ascii="Arial Narrow" w:eastAsiaTheme="majorEastAsia" w:hAnsi="Arial Narrow" w:cstheme="majorBidi"/>
          <w:b/>
          <w:bCs/>
          <w:sz w:val="20"/>
        </w:rPr>
        <w:t xml:space="preserve">Table </w:t>
      </w:r>
      <w:r w:rsidR="00212BAE">
        <w:rPr>
          <w:rFonts w:ascii="Arial Narrow" w:eastAsiaTheme="majorEastAsia" w:hAnsi="Arial Narrow" w:cstheme="majorBidi"/>
          <w:b/>
          <w:bCs/>
          <w:sz w:val="20"/>
        </w:rPr>
        <w:t>10</w:t>
      </w:r>
      <w:r w:rsidR="00D916A5" w:rsidRPr="00AE6AE0">
        <w:rPr>
          <w:rFonts w:ascii="Arial Narrow" w:eastAsiaTheme="majorEastAsia" w:hAnsi="Arial Narrow" w:cstheme="majorBidi"/>
          <w:b/>
          <w:bCs/>
          <w:sz w:val="20"/>
        </w:rPr>
        <w:t>: Key drivers of the model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4963"/>
        <w:gridCol w:w="2925"/>
      </w:tblGrid>
      <w:tr w:rsidR="00D916A5" w:rsidRPr="00D916A5" w:rsidTr="00920C54">
        <w:trPr>
          <w:tblHeader/>
        </w:trPr>
        <w:tc>
          <w:tcPr>
            <w:tcW w:w="626" w:type="pct"/>
            <w:shd w:val="clear" w:color="auto" w:fill="auto"/>
            <w:vAlign w:val="center"/>
          </w:tcPr>
          <w:p w:rsidR="00D916A5" w:rsidRPr="00D916A5" w:rsidRDefault="00D916A5" w:rsidP="00D916A5">
            <w:pPr>
              <w:keepNext/>
              <w:jc w:val="center"/>
              <w:rPr>
                <w:rFonts w:ascii="Arial Narrow" w:eastAsiaTheme="majorEastAsia" w:hAnsi="Arial Narrow" w:cs="Times New Roman"/>
                <w:b/>
                <w:sz w:val="20"/>
                <w:lang w:val="en-US"/>
              </w:rPr>
            </w:pPr>
            <w:r w:rsidRPr="00D916A5">
              <w:rPr>
                <w:rFonts w:ascii="Arial Narrow" w:eastAsiaTheme="majorEastAsia" w:hAnsi="Arial Narrow" w:cs="Times New Roman"/>
                <w:b/>
                <w:sz w:val="20"/>
                <w:lang w:val="en-US"/>
              </w:rPr>
              <w:t>Description</w:t>
            </w:r>
          </w:p>
        </w:tc>
        <w:tc>
          <w:tcPr>
            <w:tcW w:w="2752" w:type="pct"/>
            <w:shd w:val="clear" w:color="auto" w:fill="auto"/>
            <w:vAlign w:val="center"/>
          </w:tcPr>
          <w:p w:rsidR="00D916A5" w:rsidRPr="00D916A5" w:rsidRDefault="00D916A5" w:rsidP="00D916A5">
            <w:pPr>
              <w:keepNext/>
              <w:jc w:val="center"/>
              <w:rPr>
                <w:rFonts w:ascii="Arial Narrow" w:eastAsiaTheme="majorEastAsia" w:hAnsi="Arial Narrow" w:cs="Times New Roman"/>
                <w:b/>
                <w:sz w:val="20"/>
                <w:lang w:val="en-US"/>
              </w:rPr>
            </w:pPr>
            <w:r w:rsidRPr="00D916A5">
              <w:rPr>
                <w:rFonts w:ascii="Arial Narrow" w:eastAsiaTheme="majorEastAsia" w:hAnsi="Arial Narrow" w:cs="Times New Roman"/>
                <w:b/>
                <w:sz w:val="20"/>
                <w:lang w:val="en-US"/>
              </w:rPr>
              <w:t>Method/Value</w:t>
            </w:r>
          </w:p>
        </w:tc>
        <w:tc>
          <w:tcPr>
            <w:tcW w:w="1622" w:type="pct"/>
            <w:shd w:val="clear" w:color="auto" w:fill="auto"/>
            <w:vAlign w:val="center"/>
          </w:tcPr>
          <w:p w:rsidR="00D916A5" w:rsidRPr="00D916A5" w:rsidRDefault="00D916A5" w:rsidP="00D916A5">
            <w:pPr>
              <w:keepNext/>
              <w:jc w:val="center"/>
              <w:rPr>
                <w:rFonts w:ascii="Arial Narrow" w:eastAsiaTheme="majorEastAsia" w:hAnsi="Arial Narrow" w:cs="Times New Roman"/>
                <w:b/>
                <w:sz w:val="20"/>
                <w:lang w:val="en-US"/>
              </w:rPr>
            </w:pPr>
            <w:r w:rsidRPr="00D916A5">
              <w:rPr>
                <w:rFonts w:ascii="Arial Narrow" w:eastAsiaTheme="majorEastAsia" w:hAnsi="Arial Narrow" w:cs="Times New Roman"/>
                <w:b/>
                <w:sz w:val="20"/>
                <w:lang w:val="en-US"/>
              </w:rPr>
              <w:t>Impact</w:t>
            </w:r>
          </w:p>
          <w:p w:rsidR="00D916A5" w:rsidRPr="00D916A5" w:rsidRDefault="00D916A5" w:rsidP="00A87A92">
            <w:pPr>
              <w:keepNext/>
              <w:jc w:val="center"/>
              <w:rPr>
                <w:rFonts w:ascii="Arial Narrow" w:eastAsiaTheme="majorEastAsia" w:hAnsi="Arial Narrow" w:cs="Times New Roman"/>
                <w:b/>
                <w:sz w:val="20"/>
                <w:lang w:val="en-US"/>
              </w:rPr>
            </w:pPr>
            <w:r w:rsidRPr="00D916A5">
              <w:rPr>
                <w:rFonts w:ascii="Arial Narrow" w:eastAsiaTheme="majorEastAsia" w:hAnsi="Arial Narrow"/>
                <w:b/>
                <w:sz w:val="20"/>
                <w:szCs w:val="20"/>
                <w:lang w:val="en-US"/>
              </w:rPr>
              <w:t xml:space="preserve">Base case: </w:t>
            </w:r>
            <w:r w:rsidR="00C514FE" w:rsidRPr="00C514FE">
              <w:rPr>
                <w:rFonts w:ascii="Arial Narrow" w:eastAsiaTheme="majorEastAsia" w:hAnsi="Arial Narrow"/>
                <w:b/>
                <w:sz w:val="20"/>
                <w:szCs w:val="20"/>
                <w:lang w:val="en-US"/>
              </w:rPr>
              <w:t>$15,000 to &lt;</w:t>
            </w:r>
            <w:r w:rsidR="00A87A92">
              <w:rPr>
                <w:rFonts w:ascii="Arial Narrow" w:eastAsiaTheme="majorEastAsia" w:hAnsi="Arial Narrow"/>
                <w:b/>
                <w:sz w:val="20"/>
                <w:szCs w:val="20"/>
                <w:lang w:val="en-US"/>
              </w:rPr>
              <w:t> </w:t>
            </w:r>
            <w:r w:rsidR="00C514FE" w:rsidRPr="00C514FE">
              <w:rPr>
                <w:rFonts w:ascii="Arial Narrow" w:eastAsiaTheme="majorEastAsia" w:hAnsi="Arial Narrow"/>
                <w:b/>
                <w:sz w:val="20"/>
                <w:szCs w:val="20"/>
                <w:lang w:val="en-US"/>
              </w:rPr>
              <w:t>$25,000</w:t>
            </w:r>
            <w:r w:rsidRPr="00D916A5">
              <w:rPr>
                <w:rFonts w:ascii="Arial Narrow" w:eastAsiaTheme="majorEastAsia" w:hAnsi="Arial Narrow"/>
                <w:b/>
                <w:sz w:val="20"/>
                <w:szCs w:val="20"/>
                <w:lang w:val="en-US"/>
              </w:rPr>
              <w:t>/QALY gained</w:t>
            </w:r>
          </w:p>
        </w:tc>
      </w:tr>
      <w:tr w:rsidR="00D916A5" w:rsidRPr="00A64859" w:rsidTr="00920C54">
        <w:tc>
          <w:tcPr>
            <w:tcW w:w="626" w:type="pct"/>
            <w:shd w:val="clear" w:color="auto" w:fill="B8CCE4" w:themeFill="accent1" w:themeFillTint="66"/>
            <w:vAlign w:val="center"/>
          </w:tcPr>
          <w:p w:rsidR="00D916A5" w:rsidRPr="00DA18B6" w:rsidRDefault="00D916A5" w:rsidP="00D916A5">
            <w:pPr>
              <w:keepNext/>
              <w:jc w:val="center"/>
              <w:rPr>
                <w:rFonts w:ascii="Arial Narrow" w:eastAsiaTheme="majorEastAsia" w:hAnsi="Arial Narrow" w:cstheme="majorBidi"/>
                <w:bCs/>
                <w:sz w:val="20"/>
                <w:lang w:val="en-US"/>
              </w:rPr>
            </w:pPr>
            <w:r w:rsidRPr="00DA18B6">
              <w:rPr>
                <w:rFonts w:ascii="Arial Narrow" w:eastAsiaTheme="majorEastAsia" w:hAnsi="Arial Narrow" w:cstheme="majorBidi"/>
                <w:bCs/>
                <w:sz w:val="20"/>
                <w:lang w:val="en-US"/>
              </w:rPr>
              <w:t>CDI recurrence rate for SoC</w:t>
            </w:r>
          </w:p>
        </w:tc>
        <w:tc>
          <w:tcPr>
            <w:tcW w:w="2752" w:type="pct"/>
            <w:shd w:val="clear" w:color="auto" w:fill="auto"/>
            <w:vAlign w:val="center"/>
          </w:tcPr>
          <w:p w:rsidR="00D916A5" w:rsidRPr="00DA18B6" w:rsidRDefault="00D916A5" w:rsidP="004E172F">
            <w:pPr>
              <w:keepNext/>
              <w:jc w:val="left"/>
              <w:rPr>
                <w:rFonts w:ascii="Arial Narrow" w:eastAsiaTheme="majorEastAsia" w:hAnsi="Arial Narrow" w:cstheme="majorBidi"/>
                <w:bCs/>
                <w:iCs/>
                <w:sz w:val="20"/>
              </w:rPr>
            </w:pPr>
            <w:r w:rsidRPr="00DA18B6">
              <w:rPr>
                <w:rFonts w:ascii="Arial Narrow" w:eastAsiaTheme="majorEastAsia" w:hAnsi="Arial Narrow" w:cstheme="majorBidi"/>
                <w:bCs/>
                <w:sz w:val="20"/>
              </w:rPr>
              <w:t>The 30-day first CDI recurrence rate for SoC and bezlotoxumab were informed by results of (i) post-hoc subgroup analysis of the MODIFY trials (≥1 of 2 risk factors</w:t>
            </w:r>
            <w:r w:rsidR="0074718E" w:rsidRPr="00DA18B6">
              <w:rPr>
                <w:rFonts w:ascii="Arial Narrow" w:eastAsiaTheme="majorEastAsia" w:hAnsi="Arial Narrow" w:cstheme="majorBidi"/>
                <w:bCs/>
                <w:sz w:val="20"/>
              </w:rPr>
              <w:t>)</w:t>
            </w:r>
            <w:r w:rsidRPr="00DA18B6">
              <w:rPr>
                <w:rFonts w:ascii="Arial Narrow" w:eastAsiaTheme="majorEastAsia" w:hAnsi="Arial Narrow" w:cstheme="majorBidi"/>
                <w:bCs/>
                <w:sz w:val="20"/>
              </w:rPr>
              <w:t>; and (ii)</w:t>
            </w:r>
            <w:r w:rsidRPr="00DA18B6">
              <w:rPr>
                <w:rFonts w:ascii="Arial Narrow" w:eastAsia="Calibri" w:hAnsi="Arial Narrow" w:cstheme="majorBidi"/>
                <w:bCs/>
                <w:iCs/>
                <w:sz w:val="20"/>
              </w:rPr>
              <w:t xml:space="preserve"> </w:t>
            </w:r>
            <w:r w:rsidRPr="00DA18B6">
              <w:rPr>
                <w:rFonts w:ascii="Arial Narrow" w:eastAsiaTheme="majorEastAsia" w:hAnsi="Arial Narrow" w:cstheme="majorBidi"/>
                <w:bCs/>
                <w:iCs/>
                <w:sz w:val="20"/>
              </w:rPr>
              <w:t>aggregate recurrence rate cited by the Australian Commission on Safety and Quality in Health Care (ACSQHC).</w:t>
            </w:r>
          </w:p>
          <w:p w:rsidR="00D916A5" w:rsidRPr="00DA18B6" w:rsidRDefault="00D916A5" w:rsidP="00D916A5">
            <w:pPr>
              <w:keepNext/>
              <w:jc w:val="left"/>
              <w:rPr>
                <w:rFonts w:ascii="Arial Narrow" w:eastAsiaTheme="majorEastAsia" w:hAnsi="Arial Narrow" w:cstheme="majorBidi"/>
                <w:bCs/>
                <w:sz w:val="20"/>
                <w:lang w:val="en-US"/>
              </w:rPr>
            </w:pPr>
          </w:p>
        </w:tc>
        <w:tc>
          <w:tcPr>
            <w:tcW w:w="1622" w:type="pct"/>
            <w:shd w:val="clear" w:color="auto" w:fill="auto"/>
            <w:vAlign w:val="center"/>
          </w:tcPr>
          <w:p w:rsidR="00FB0CD8" w:rsidRPr="00DA18B6" w:rsidRDefault="00D916A5" w:rsidP="00C72460">
            <w:pPr>
              <w:keepNext/>
              <w:jc w:val="center"/>
              <w:rPr>
                <w:rFonts w:ascii="Arial Narrow" w:eastAsiaTheme="majorEastAsia" w:hAnsi="Arial Narrow" w:cstheme="majorBidi"/>
                <w:bCs/>
                <w:sz w:val="20"/>
                <w:lang w:val="en-US"/>
              </w:rPr>
            </w:pPr>
            <w:r w:rsidRPr="00DA18B6">
              <w:rPr>
                <w:rFonts w:ascii="Arial Narrow" w:eastAsiaTheme="majorEastAsia" w:hAnsi="Arial Narrow" w:cstheme="majorBidi"/>
                <w:bCs/>
                <w:sz w:val="20"/>
                <w:lang w:val="en-US"/>
              </w:rPr>
              <w:t>Very High</w:t>
            </w:r>
          </w:p>
          <w:p w:rsidR="00D916A5" w:rsidRPr="00DA18B6" w:rsidRDefault="00FB0CD8" w:rsidP="00E46D15">
            <w:pPr>
              <w:keepNext/>
              <w:jc w:val="center"/>
              <w:rPr>
                <w:rFonts w:ascii="Arial Narrow" w:eastAsiaTheme="majorEastAsia" w:hAnsi="Arial Narrow" w:cstheme="majorBidi"/>
                <w:bCs/>
                <w:sz w:val="20"/>
                <w:lang w:val="en-US"/>
              </w:rPr>
            </w:pPr>
            <w:r w:rsidRPr="00DA18B6">
              <w:rPr>
                <w:rFonts w:ascii="Arial Narrow" w:eastAsiaTheme="majorEastAsia" w:hAnsi="Arial Narrow" w:cstheme="majorBidi"/>
                <w:bCs/>
                <w:sz w:val="20"/>
                <w:lang w:val="en-US"/>
              </w:rPr>
              <w:t>The ICER</w:t>
            </w:r>
            <w:r w:rsidR="00545F48" w:rsidRPr="00DA18B6">
              <w:rPr>
                <w:rFonts w:ascii="Arial Narrow" w:eastAsiaTheme="majorEastAsia" w:hAnsi="Arial Narrow" w:cstheme="majorBidi"/>
                <w:bCs/>
                <w:sz w:val="20"/>
                <w:lang w:val="en-US"/>
              </w:rPr>
              <w:t>s</w:t>
            </w:r>
            <w:r w:rsidRPr="00DA18B6">
              <w:rPr>
                <w:rFonts w:ascii="Arial Narrow" w:eastAsiaTheme="majorEastAsia" w:hAnsi="Arial Narrow" w:cstheme="majorBidi"/>
                <w:bCs/>
                <w:sz w:val="20"/>
                <w:lang w:val="en-US"/>
              </w:rPr>
              <w:t xml:space="preserve"> </w:t>
            </w:r>
            <w:r w:rsidR="00545F48" w:rsidRPr="00DA18B6">
              <w:rPr>
                <w:rFonts w:ascii="Arial Narrow" w:eastAsiaTheme="majorEastAsia" w:hAnsi="Arial Narrow" w:cstheme="majorBidi"/>
                <w:bCs/>
                <w:sz w:val="20"/>
                <w:lang w:val="en-US"/>
              </w:rPr>
              <w:t xml:space="preserve">were dominant </w:t>
            </w:r>
            <w:r w:rsidR="00AC64C2" w:rsidRPr="00DA18B6">
              <w:rPr>
                <w:rFonts w:ascii="Arial Narrow" w:eastAsiaTheme="majorEastAsia" w:hAnsi="Arial Narrow" w:cstheme="majorBidi"/>
                <w:bCs/>
                <w:sz w:val="20"/>
                <w:lang w:val="en-US"/>
              </w:rPr>
              <w:t>based on the trial-based rate and recent Australian data (</w:t>
            </w:r>
            <w:r w:rsidR="00D916A5" w:rsidRPr="00DA18B6">
              <w:rPr>
                <w:rFonts w:ascii="Arial Narrow" w:eastAsiaTheme="majorEastAsia" w:hAnsi="Arial Narrow" w:cs="Times New Roman"/>
                <w:bCs/>
                <w:color w:val="000000"/>
                <w:sz w:val="20"/>
                <w:szCs w:val="20"/>
                <w:lang w:eastAsia="zh-CN"/>
              </w:rPr>
              <w:t>Alfayyadh et al 2019</w:t>
            </w:r>
            <w:r w:rsidR="00AC64C2" w:rsidRPr="00DA18B6">
              <w:rPr>
                <w:rFonts w:ascii="Arial Narrow" w:eastAsiaTheme="majorEastAsia" w:hAnsi="Arial Narrow" w:cs="Times New Roman"/>
                <w:bCs/>
                <w:color w:val="000000"/>
                <w:sz w:val="20"/>
                <w:szCs w:val="20"/>
                <w:lang w:eastAsia="zh-CN"/>
              </w:rPr>
              <w:t>).</w:t>
            </w:r>
          </w:p>
        </w:tc>
      </w:tr>
      <w:tr w:rsidR="00D916A5" w:rsidRPr="00A64859" w:rsidTr="00920C54">
        <w:tc>
          <w:tcPr>
            <w:tcW w:w="626" w:type="pct"/>
            <w:shd w:val="clear" w:color="auto" w:fill="B8CCE4" w:themeFill="accent1" w:themeFillTint="66"/>
            <w:vAlign w:val="center"/>
          </w:tcPr>
          <w:p w:rsidR="00D916A5" w:rsidRPr="00DA18B6" w:rsidRDefault="00D916A5" w:rsidP="00D916A5">
            <w:pPr>
              <w:keepNext/>
              <w:jc w:val="center"/>
              <w:rPr>
                <w:rFonts w:ascii="Arial Narrow" w:eastAsiaTheme="majorEastAsia" w:hAnsi="Arial Narrow" w:cstheme="majorBidi"/>
                <w:bCs/>
                <w:sz w:val="20"/>
                <w:lang w:val="en-US"/>
              </w:rPr>
            </w:pPr>
            <w:r w:rsidRPr="00DA18B6">
              <w:rPr>
                <w:rFonts w:ascii="Arial Narrow" w:eastAsiaTheme="majorEastAsia" w:hAnsi="Arial Narrow" w:cstheme="majorBidi"/>
                <w:bCs/>
                <w:iCs/>
                <w:sz w:val="20"/>
                <w:lang w:val="en-US"/>
              </w:rPr>
              <w:t>Proportion of recurrences which are severe</w:t>
            </w:r>
          </w:p>
        </w:tc>
        <w:tc>
          <w:tcPr>
            <w:tcW w:w="2752" w:type="pct"/>
            <w:shd w:val="clear" w:color="auto" w:fill="auto"/>
            <w:vAlign w:val="center"/>
          </w:tcPr>
          <w:p w:rsidR="00D916A5" w:rsidRPr="00DA18B6" w:rsidRDefault="00D314CF" w:rsidP="00D916A5">
            <w:pPr>
              <w:keepNext/>
              <w:jc w:val="left"/>
              <w:rPr>
                <w:rFonts w:ascii="Arial Narrow" w:eastAsiaTheme="majorEastAsia" w:hAnsi="Arial Narrow" w:cstheme="majorBidi"/>
                <w:bCs/>
                <w:iCs/>
                <w:sz w:val="20"/>
              </w:rPr>
            </w:pPr>
            <w:r w:rsidRPr="00DA18B6">
              <w:rPr>
                <w:rFonts w:ascii="Arial Narrow" w:eastAsiaTheme="majorEastAsia" w:hAnsi="Arial Narrow" w:cstheme="majorBidi"/>
                <w:bCs/>
                <w:sz w:val="20"/>
              </w:rPr>
              <w:t>I</w:t>
            </w:r>
            <w:r w:rsidR="00D916A5" w:rsidRPr="00DA18B6">
              <w:rPr>
                <w:rFonts w:ascii="Arial Narrow" w:eastAsiaTheme="majorEastAsia" w:hAnsi="Arial Narrow" w:cstheme="majorBidi"/>
                <w:bCs/>
                <w:sz w:val="20"/>
              </w:rPr>
              <w:t>nformed by results of post-hoc subgroup analysis of the MODIFY trials (≥1 of 2 risk factors).</w:t>
            </w:r>
            <w:r w:rsidR="000972AA" w:rsidRPr="00DA18B6" w:rsidDel="000972AA">
              <w:rPr>
                <w:rFonts w:ascii="Arial Narrow" w:eastAsiaTheme="majorEastAsia" w:hAnsi="Arial Narrow" w:cstheme="majorBidi"/>
                <w:bCs/>
                <w:iCs/>
                <w:sz w:val="20"/>
              </w:rPr>
              <w:t xml:space="preserve"> </w:t>
            </w:r>
          </w:p>
          <w:p w:rsidR="00D916A5" w:rsidRPr="00DA18B6" w:rsidRDefault="00D916A5" w:rsidP="00D916A5">
            <w:pPr>
              <w:keepNext/>
              <w:jc w:val="left"/>
              <w:rPr>
                <w:rFonts w:ascii="Arial Narrow" w:eastAsiaTheme="majorEastAsia" w:hAnsi="Arial Narrow" w:cstheme="majorBidi"/>
                <w:bCs/>
                <w:iCs/>
                <w:sz w:val="20"/>
              </w:rPr>
            </w:pPr>
            <w:r w:rsidRPr="00DA18B6">
              <w:rPr>
                <w:rFonts w:ascii="Arial Narrow" w:eastAsiaTheme="majorEastAsia" w:hAnsi="Arial Narrow" w:cstheme="majorBidi"/>
                <w:bCs/>
                <w:iCs/>
                <w:sz w:val="20"/>
              </w:rPr>
              <w:t>Salavert et al (2018) reported that this parameter varied widely across subgroups. Hence, the proportion of severe CDI recurrences in practice may depend on the number and type of risk factors present in the Australian population</w:t>
            </w:r>
            <w:r w:rsidR="00ED4DC9" w:rsidRPr="00DA18B6">
              <w:rPr>
                <w:rFonts w:ascii="Arial Narrow" w:eastAsiaTheme="majorEastAsia" w:hAnsi="Arial Narrow" w:cstheme="majorBidi"/>
                <w:bCs/>
                <w:iCs/>
                <w:sz w:val="20"/>
              </w:rPr>
              <w:t xml:space="preserve"> or may reflect random variation</w:t>
            </w:r>
            <w:r w:rsidRPr="00DA18B6">
              <w:rPr>
                <w:rFonts w:ascii="Arial Narrow" w:eastAsiaTheme="majorEastAsia" w:hAnsi="Arial Narrow" w:cstheme="majorBidi"/>
                <w:bCs/>
                <w:iCs/>
                <w:sz w:val="20"/>
              </w:rPr>
              <w:t xml:space="preserve">.  </w:t>
            </w:r>
          </w:p>
        </w:tc>
        <w:tc>
          <w:tcPr>
            <w:tcW w:w="1622" w:type="pct"/>
            <w:shd w:val="clear" w:color="auto" w:fill="auto"/>
            <w:vAlign w:val="center"/>
          </w:tcPr>
          <w:p w:rsidR="00D916A5" w:rsidRPr="00DA18B6" w:rsidRDefault="00D916A5" w:rsidP="00D22FE9">
            <w:pPr>
              <w:keepNext/>
              <w:jc w:val="center"/>
              <w:rPr>
                <w:rFonts w:ascii="Arial Narrow" w:eastAsiaTheme="majorEastAsia" w:hAnsi="Arial Narrow"/>
                <w:bCs/>
                <w:sz w:val="20"/>
                <w:szCs w:val="20"/>
              </w:rPr>
            </w:pPr>
            <w:r w:rsidRPr="00DA18B6">
              <w:rPr>
                <w:rFonts w:ascii="Arial Narrow" w:eastAsiaTheme="majorEastAsia" w:hAnsi="Arial Narrow" w:cstheme="majorBidi"/>
                <w:bCs/>
                <w:sz w:val="20"/>
                <w:lang w:val="en-US"/>
              </w:rPr>
              <w:t>High, favours bezlotoxumab.</w:t>
            </w:r>
          </w:p>
          <w:p w:rsidR="00D916A5" w:rsidRPr="00DA18B6" w:rsidRDefault="00D22FE9" w:rsidP="00DF4D68">
            <w:pPr>
              <w:keepNext/>
              <w:jc w:val="center"/>
              <w:rPr>
                <w:rFonts w:ascii="Arial Narrow" w:eastAsiaTheme="majorEastAsia" w:hAnsi="Arial Narrow" w:cstheme="majorBidi"/>
                <w:bCs/>
                <w:sz w:val="20"/>
                <w:lang w:val="en-US"/>
              </w:rPr>
            </w:pPr>
            <w:r w:rsidRPr="00DA18B6">
              <w:rPr>
                <w:rFonts w:ascii="Arial Narrow" w:eastAsiaTheme="majorEastAsia" w:hAnsi="Arial Narrow" w:cs="Times New Roman"/>
                <w:bCs/>
                <w:color w:val="000000"/>
                <w:sz w:val="20"/>
                <w:szCs w:val="20"/>
                <w:lang w:eastAsia="zh-CN"/>
              </w:rPr>
              <w:t>The ICER increase</w:t>
            </w:r>
            <w:r w:rsidR="00D314CF" w:rsidRPr="00DA18B6">
              <w:rPr>
                <w:rFonts w:ascii="Arial Narrow" w:eastAsiaTheme="majorEastAsia" w:hAnsi="Arial Narrow" w:cs="Times New Roman"/>
                <w:bCs/>
                <w:color w:val="000000"/>
                <w:sz w:val="20"/>
                <w:szCs w:val="20"/>
                <w:lang w:eastAsia="zh-CN"/>
              </w:rPr>
              <w:t>d</w:t>
            </w:r>
            <w:r w:rsidRPr="00DA18B6">
              <w:rPr>
                <w:rFonts w:ascii="Arial Narrow" w:eastAsiaTheme="majorEastAsia" w:hAnsi="Arial Narrow" w:cs="Times New Roman"/>
                <w:bCs/>
                <w:color w:val="000000"/>
                <w:sz w:val="20"/>
                <w:szCs w:val="20"/>
                <w:lang w:eastAsia="zh-CN"/>
              </w:rPr>
              <w:t xml:space="preserve"> to </w:t>
            </w:r>
            <w:r w:rsidR="000B0E82">
              <w:rPr>
                <w:rFonts w:ascii="Arial Narrow" w:eastAsiaTheme="majorEastAsia" w:hAnsi="Arial Narrow" w:cs="Times New Roman"/>
                <w:bCs/>
                <w:color w:val="000000"/>
                <w:sz w:val="20"/>
                <w:szCs w:val="20"/>
                <w:lang w:eastAsia="zh-CN"/>
              </w:rPr>
              <w:t xml:space="preserve">$25,000 </w:t>
            </w:r>
            <w:r w:rsidR="00DF4D68">
              <w:rPr>
                <w:rFonts w:ascii="Arial Narrow" w:eastAsiaTheme="majorEastAsia" w:hAnsi="Arial Narrow" w:cs="Times New Roman"/>
                <w:bCs/>
                <w:color w:val="000000"/>
                <w:sz w:val="20"/>
                <w:szCs w:val="20"/>
                <w:lang w:eastAsia="zh-CN"/>
              </w:rPr>
              <w:t>to</w:t>
            </w:r>
            <w:r w:rsidR="00840009">
              <w:rPr>
                <w:rFonts w:ascii="Arial Narrow" w:eastAsiaTheme="majorEastAsia" w:hAnsi="Arial Narrow" w:cs="Times New Roman"/>
                <w:bCs/>
                <w:color w:val="000000"/>
                <w:sz w:val="20"/>
                <w:szCs w:val="20"/>
                <w:lang w:eastAsia="zh-CN"/>
              </w:rPr>
              <w:t xml:space="preserve"> </w:t>
            </w:r>
            <w:r w:rsidR="000B0E82">
              <w:rPr>
                <w:rFonts w:ascii="Arial Narrow" w:eastAsiaTheme="majorEastAsia" w:hAnsi="Arial Narrow" w:cs="Times New Roman"/>
                <w:bCs/>
                <w:color w:val="000000"/>
                <w:sz w:val="20"/>
                <w:szCs w:val="20"/>
                <w:lang w:eastAsia="zh-CN"/>
              </w:rPr>
              <w:t>&lt;</w:t>
            </w:r>
            <w:r w:rsidR="00840009">
              <w:rPr>
                <w:rFonts w:ascii="Arial Narrow" w:eastAsiaTheme="majorEastAsia" w:hAnsi="Arial Narrow" w:cs="Times New Roman"/>
                <w:bCs/>
                <w:color w:val="000000"/>
                <w:sz w:val="20"/>
                <w:szCs w:val="20"/>
                <w:lang w:eastAsia="zh-CN"/>
              </w:rPr>
              <w:t> </w:t>
            </w:r>
            <w:r w:rsidR="000B0E82">
              <w:rPr>
                <w:rFonts w:ascii="Arial Narrow" w:eastAsiaTheme="majorEastAsia" w:hAnsi="Arial Narrow" w:cs="Times New Roman"/>
                <w:bCs/>
                <w:color w:val="000000"/>
                <w:sz w:val="20"/>
                <w:szCs w:val="20"/>
                <w:lang w:eastAsia="zh-CN"/>
              </w:rPr>
              <w:t>$35,000</w:t>
            </w:r>
            <w:r w:rsidR="000C29AF" w:rsidRPr="00DA18B6">
              <w:rPr>
                <w:rFonts w:ascii="Arial Narrow" w:eastAsiaTheme="majorEastAsia" w:hAnsi="Arial Narrow" w:cs="Times New Roman"/>
                <w:bCs/>
                <w:color w:val="000000"/>
                <w:sz w:val="20"/>
                <w:szCs w:val="20"/>
                <w:lang w:eastAsia="zh-CN"/>
              </w:rPr>
              <w:t xml:space="preserve">/QALY </w:t>
            </w:r>
            <w:r w:rsidRPr="00DA18B6">
              <w:rPr>
                <w:rFonts w:ascii="Arial Narrow" w:eastAsiaTheme="majorEastAsia" w:hAnsi="Arial Narrow" w:cs="Times New Roman"/>
                <w:bCs/>
                <w:color w:val="000000"/>
                <w:sz w:val="20"/>
                <w:szCs w:val="20"/>
                <w:lang w:eastAsia="zh-CN"/>
              </w:rPr>
              <w:t xml:space="preserve">assuming </w:t>
            </w:r>
            <w:r w:rsidR="00D916A5" w:rsidRPr="00DA18B6">
              <w:rPr>
                <w:rFonts w:ascii="Arial Narrow" w:eastAsiaTheme="majorEastAsia" w:hAnsi="Arial Narrow" w:cs="Times New Roman"/>
                <w:bCs/>
                <w:color w:val="000000"/>
                <w:sz w:val="20"/>
                <w:szCs w:val="20"/>
                <w:lang w:eastAsia="zh-CN"/>
              </w:rPr>
              <w:t xml:space="preserve">12.9% </w:t>
            </w:r>
            <w:r w:rsidRPr="00DA18B6">
              <w:rPr>
                <w:rFonts w:ascii="Arial Narrow" w:eastAsiaTheme="majorEastAsia" w:hAnsi="Arial Narrow" w:cs="Times New Roman"/>
                <w:bCs/>
                <w:color w:val="000000"/>
                <w:sz w:val="20"/>
                <w:szCs w:val="20"/>
                <w:lang w:eastAsia="zh-CN"/>
              </w:rPr>
              <w:t xml:space="preserve">after </w:t>
            </w:r>
            <w:r w:rsidR="00D916A5" w:rsidRPr="00DA18B6">
              <w:rPr>
                <w:rFonts w:ascii="Arial Narrow" w:eastAsiaTheme="majorEastAsia" w:hAnsi="Arial Narrow" w:cstheme="majorBidi"/>
                <w:bCs/>
                <w:iCs/>
                <w:snapToGrid w:val="0"/>
                <w:sz w:val="20"/>
                <w:szCs w:val="22"/>
              </w:rPr>
              <w:t>taking account of all CDI recurrences where patients can have more than one CDI recurrence.</w:t>
            </w:r>
          </w:p>
        </w:tc>
      </w:tr>
      <w:tr w:rsidR="00D916A5" w:rsidRPr="00A64859" w:rsidTr="00920C54">
        <w:tc>
          <w:tcPr>
            <w:tcW w:w="626" w:type="pct"/>
            <w:shd w:val="clear" w:color="auto" w:fill="B8CCE4" w:themeFill="accent1" w:themeFillTint="66"/>
            <w:vAlign w:val="center"/>
          </w:tcPr>
          <w:p w:rsidR="00D916A5" w:rsidRPr="00DA18B6" w:rsidRDefault="00D916A5" w:rsidP="00D916A5">
            <w:pPr>
              <w:keepNext/>
              <w:jc w:val="center"/>
              <w:rPr>
                <w:rFonts w:ascii="Arial Narrow" w:eastAsiaTheme="majorEastAsia" w:hAnsi="Arial Narrow" w:cstheme="majorBidi"/>
                <w:bCs/>
                <w:sz w:val="20"/>
                <w:lang w:val="en-US"/>
              </w:rPr>
            </w:pPr>
            <w:r w:rsidRPr="00DA18B6">
              <w:rPr>
                <w:rFonts w:ascii="Arial Narrow" w:eastAsiaTheme="majorEastAsia" w:hAnsi="Arial Narrow" w:cstheme="majorBidi"/>
                <w:bCs/>
                <w:iCs/>
                <w:sz w:val="20"/>
                <w:lang w:val="en-US"/>
              </w:rPr>
              <w:t>Proportion of mild/moderate CDI requiring hospitalisation</w:t>
            </w:r>
          </w:p>
        </w:tc>
        <w:tc>
          <w:tcPr>
            <w:tcW w:w="2752" w:type="pct"/>
            <w:shd w:val="clear" w:color="auto" w:fill="auto"/>
            <w:vAlign w:val="center"/>
          </w:tcPr>
          <w:p w:rsidR="00D916A5" w:rsidRPr="00DA18B6" w:rsidRDefault="00D314CF" w:rsidP="00D314CF">
            <w:pPr>
              <w:keepNext/>
              <w:jc w:val="left"/>
              <w:rPr>
                <w:rFonts w:ascii="Arial Narrow" w:eastAsiaTheme="majorEastAsia" w:hAnsi="Arial Narrow" w:cstheme="majorBidi"/>
                <w:bCs/>
                <w:sz w:val="20"/>
                <w:lang w:val="en-US"/>
              </w:rPr>
            </w:pPr>
            <w:r w:rsidRPr="00DA18B6">
              <w:rPr>
                <w:rFonts w:ascii="Arial Narrow" w:eastAsiaTheme="majorEastAsia" w:hAnsi="Arial Narrow" w:cstheme="majorBidi"/>
                <w:bCs/>
                <w:sz w:val="20"/>
                <w:lang w:val="en-US"/>
              </w:rPr>
              <w:t xml:space="preserve">Informed </w:t>
            </w:r>
            <w:r w:rsidR="00D916A5" w:rsidRPr="00DA18B6">
              <w:rPr>
                <w:rFonts w:ascii="Arial Narrow" w:eastAsiaTheme="majorEastAsia" w:hAnsi="Arial Narrow" w:cstheme="majorBidi"/>
                <w:bCs/>
                <w:sz w:val="20"/>
              </w:rPr>
              <w:t xml:space="preserve">by post-hoc subgroup analysis of the MODIFY trials (≥1 of 2 risk factors).  </w:t>
            </w:r>
            <w:r w:rsidR="00A66F69" w:rsidRPr="00DA18B6">
              <w:rPr>
                <w:rFonts w:ascii="Arial Narrow" w:eastAsiaTheme="majorEastAsia" w:hAnsi="Arial Narrow" w:cstheme="majorBidi"/>
                <w:bCs/>
                <w:iCs/>
                <w:sz w:val="20"/>
              </w:rPr>
              <w:t>Th</w:t>
            </w:r>
            <w:r w:rsidR="00AA57F3" w:rsidRPr="00DA18B6">
              <w:rPr>
                <w:rFonts w:ascii="Arial Narrow" w:eastAsiaTheme="majorEastAsia" w:hAnsi="Arial Narrow" w:cstheme="majorBidi"/>
                <w:bCs/>
                <w:iCs/>
                <w:sz w:val="20"/>
              </w:rPr>
              <w:t>e ESC noted th</w:t>
            </w:r>
            <w:r w:rsidR="00A66F69" w:rsidRPr="00DA18B6">
              <w:rPr>
                <w:rFonts w:ascii="Arial Narrow" w:eastAsiaTheme="majorEastAsia" w:hAnsi="Arial Narrow" w:cstheme="majorBidi"/>
                <w:bCs/>
                <w:iCs/>
                <w:sz w:val="20"/>
              </w:rPr>
              <w:t xml:space="preserve">is parameter varied across subgroups </w:t>
            </w:r>
            <w:r w:rsidR="00AA57F3" w:rsidRPr="00DA18B6">
              <w:rPr>
                <w:rFonts w:ascii="Arial Narrow" w:eastAsiaTheme="majorEastAsia" w:hAnsi="Arial Narrow" w:cstheme="majorBidi"/>
                <w:bCs/>
                <w:iCs/>
                <w:sz w:val="20"/>
              </w:rPr>
              <w:t xml:space="preserve">and considered this </w:t>
            </w:r>
            <w:r w:rsidR="00A66F69" w:rsidRPr="00DA18B6">
              <w:rPr>
                <w:rFonts w:ascii="Arial Narrow" w:eastAsiaTheme="majorEastAsia" w:hAnsi="Arial Narrow" w:cstheme="majorBidi"/>
                <w:bCs/>
                <w:iCs/>
                <w:sz w:val="20"/>
              </w:rPr>
              <w:t xml:space="preserve">may reflect true differences or random variation. </w:t>
            </w:r>
            <w:r w:rsidR="00D95145" w:rsidRPr="00DA18B6">
              <w:rPr>
                <w:rFonts w:ascii="Arial Narrow" w:eastAsiaTheme="majorEastAsia" w:hAnsi="Arial Narrow" w:cstheme="majorBidi"/>
                <w:bCs/>
                <w:sz w:val="20"/>
              </w:rPr>
              <w:t>The actual proportion of hospitalisations in Australia is unknown</w:t>
            </w:r>
            <w:r w:rsidR="00D916A5" w:rsidRPr="00DA18B6">
              <w:rPr>
                <w:rFonts w:ascii="Arial Narrow" w:eastAsiaTheme="majorEastAsia" w:hAnsi="Arial Narrow" w:cstheme="majorBidi"/>
                <w:bCs/>
                <w:iCs/>
                <w:sz w:val="20"/>
              </w:rPr>
              <w:t>.</w:t>
            </w:r>
          </w:p>
        </w:tc>
        <w:tc>
          <w:tcPr>
            <w:tcW w:w="1622" w:type="pct"/>
            <w:shd w:val="clear" w:color="auto" w:fill="auto"/>
            <w:vAlign w:val="center"/>
          </w:tcPr>
          <w:p w:rsidR="00D916A5" w:rsidRPr="00DA18B6" w:rsidRDefault="00D916A5" w:rsidP="00D22FE9">
            <w:pPr>
              <w:keepNext/>
              <w:jc w:val="center"/>
              <w:rPr>
                <w:rFonts w:ascii="Arial Narrow" w:eastAsiaTheme="majorEastAsia" w:hAnsi="Arial Narrow" w:cstheme="majorBidi"/>
                <w:bCs/>
                <w:iCs/>
                <w:sz w:val="20"/>
                <w:lang w:val="en-US"/>
              </w:rPr>
            </w:pPr>
            <w:r w:rsidRPr="00DA18B6">
              <w:rPr>
                <w:rFonts w:ascii="Arial Narrow" w:eastAsiaTheme="majorEastAsia" w:hAnsi="Arial Narrow" w:cstheme="majorBidi"/>
                <w:bCs/>
                <w:iCs/>
                <w:sz w:val="20"/>
                <w:lang w:val="en-US"/>
              </w:rPr>
              <w:t>High, favours bezlotoxumab.</w:t>
            </w:r>
          </w:p>
          <w:p w:rsidR="00D916A5" w:rsidRPr="00DA18B6" w:rsidRDefault="00D22FE9" w:rsidP="000B0E82">
            <w:pPr>
              <w:keepNext/>
              <w:jc w:val="center"/>
              <w:rPr>
                <w:rFonts w:ascii="Arial Narrow" w:eastAsiaTheme="majorEastAsia" w:hAnsi="Arial Narrow" w:cstheme="majorBidi"/>
                <w:bCs/>
                <w:sz w:val="20"/>
                <w:lang w:val="en-US"/>
              </w:rPr>
            </w:pPr>
            <w:r w:rsidRPr="00DA18B6">
              <w:rPr>
                <w:rFonts w:ascii="Arial Narrow" w:eastAsiaTheme="majorEastAsia" w:hAnsi="Arial Narrow" w:cstheme="majorBidi"/>
                <w:bCs/>
                <w:iCs/>
                <w:sz w:val="20"/>
                <w:lang w:val="en-US"/>
              </w:rPr>
              <w:t xml:space="preserve">The ICER increased to </w:t>
            </w:r>
            <w:r w:rsidR="000B0E82">
              <w:rPr>
                <w:rFonts w:ascii="Arial Narrow" w:eastAsiaTheme="majorEastAsia" w:hAnsi="Arial Narrow" w:cstheme="majorBidi"/>
                <w:bCs/>
                <w:iCs/>
                <w:sz w:val="20"/>
                <w:lang w:val="en-US"/>
              </w:rPr>
              <w:t>$</w:t>
            </w:r>
            <w:r w:rsidR="000B0E82" w:rsidRPr="000B0E82">
              <w:rPr>
                <w:rFonts w:ascii="Arial Narrow" w:eastAsiaTheme="majorEastAsia" w:hAnsi="Arial Narrow" w:cstheme="majorBidi"/>
                <w:bCs/>
                <w:iCs/>
                <w:sz w:val="20"/>
                <w:lang w:val="en-US"/>
              </w:rPr>
              <w:t>55,000 to &lt;</w:t>
            </w:r>
            <w:r w:rsidR="00840009">
              <w:rPr>
                <w:rFonts w:ascii="Arial Narrow" w:eastAsiaTheme="majorEastAsia" w:hAnsi="Arial Narrow" w:cstheme="majorBidi"/>
                <w:bCs/>
                <w:iCs/>
                <w:sz w:val="20"/>
                <w:lang w:val="en-US"/>
              </w:rPr>
              <w:t> </w:t>
            </w:r>
            <w:r w:rsidR="000B0E82" w:rsidRPr="000B0E82">
              <w:rPr>
                <w:rFonts w:ascii="Arial Narrow" w:eastAsiaTheme="majorEastAsia" w:hAnsi="Arial Narrow" w:cstheme="majorBidi"/>
                <w:bCs/>
                <w:iCs/>
                <w:sz w:val="20"/>
                <w:lang w:val="en-US"/>
              </w:rPr>
              <w:t>$75,000</w:t>
            </w:r>
            <w:r w:rsidRPr="00DA18B6">
              <w:rPr>
                <w:rFonts w:ascii="Arial Narrow" w:eastAsiaTheme="majorEastAsia" w:hAnsi="Arial Narrow" w:cstheme="majorBidi"/>
                <w:bCs/>
                <w:iCs/>
                <w:sz w:val="20"/>
                <w:lang w:val="en-US"/>
              </w:rPr>
              <w:t xml:space="preserve">/QALY assuming </w:t>
            </w:r>
            <w:r w:rsidR="00D916A5" w:rsidRPr="00DA18B6">
              <w:rPr>
                <w:rFonts w:ascii="Arial Narrow" w:eastAsiaTheme="majorEastAsia" w:hAnsi="Arial Narrow" w:cstheme="majorBidi"/>
                <w:bCs/>
                <w:iCs/>
                <w:sz w:val="20"/>
                <w:lang w:val="en-US"/>
              </w:rPr>
              <w:t xml:space="preserve">40% </w:t>
            </w:r>
            <w:r w:rsidRPr="00DA18B6">
              <w:rPr>
                <w:rFonts w:ascii="Arial Narrow" w:eastAsiaTheme="majorEastAsia" w:hAnsi="Arial Narrow" w:cstheme="majorBidi"/>
                <w:bCs/>
                <w:iCs/>
                <w:sz w:val="20"/>
                <w:lang w:val="en-US"/>
              </w:rPr>
              <w:t>based on the population requested in the previous resubmission</w:t>
            </w:r>
            <w:r w:rsidR="00D916A5" w:rsidRPr="00DA18B6">
              <w:rPr>
                <w:rFonts w:ascii="Arial Narrow" w:eastAsiaTheme="majorEastAsia" w:hAnsi="Arial Narrow" w:cstheme="majorBidi"/>
                <w:bCs/>
                <w:iCs/>
                <w:sz w:val="20"/>
                <w:lang w:val="en-US"/>
              </w:rPr>
              <w:t>.</w:t>
            </w:r>
          </w:p>
        </w:tc>
      </w:tr>
      <w:tr w:rsidR="00920C54" w:rsidRPr="00A64859" w:rsidTr="00920C54">
        <w:tc>
          <w:tcPr>
            <w:tcW w:w="626" w:type="pct"/>
            <w:shd w:val="clear" w:color="auto" w:fill="auto"/>
            <w:vAlign w:val="center"/>
          </w:tcPr>
          <w:p w:rsidR="00920C54" w:rsidRPr="00DA18B6" w:rsidRDefault="00920C54" w:rsidP="00920C54">
            <w:pPr>
              <w:keepNext/>
              <w:jc w:val="center"/>
              <w:rPr>
                <w:rFonts w:ascii="Arial Narrow" w:eastAsiaTheme="majorEastAsia" w:hAnsi="Arial Narrow" w:cstheme="majorBidi"/>
                <w:bCs/>
                <w:iCs/>
                <w:sz w:val="20"/>
                <w:lang w:val="en-US"/>
              </w:rPr>
            </w:pPr>
            <w:r w:rsidRPr="00DA18B6">
              <w:rPr>
                <w:rFonts w:ascii="Arial Narrow" w:eastAsiaTheme="majorEastAsia" w:hAnsi="Arial Narrow" w:cstheme="majorBidi"/>
                <w:bCs/>
                <w:iCs/>
                <w:sz w:val="20"/>
                <w:lang w:val="en-US"/>
              </w:rPr>
              <w:t>Hazard ratio for CDI recurrence</w:t>
            </w:r>
          </w:p>
        </w:tc>
        <w:tc>
          <w:tcPr>
            <w:tcW w:w="2752" w:type="pct"/>
            <w:shd w:val="clear" w:color="auto" w:fill="auto"/>
            <w:vAlign w:val="center"/>
          </w:tcPr>
          <w:p w:rsidR="00920C54" w:rsidRPr="00DA18B6" w:rsidRDefault="00920C54" w:rsidP="003D3A5C">
            <w:pPr>
              <w:keepNext/>
              <w:jc w:val="left"/>
              <w:rPr>
                <w:rFonts w:ascii="Arial Narrow" w:eastAsiaTheme="majorEastAsia" w:hAnsi="Arial Narrow" w:cstheme="majorBidi"/>
                <w:bCs/>
                <w:sz w:val="20"/>
                <w:lang w:val="en-US"/>
              </w:rPr>
            </w:pPr>
            <w:r w:rsidRPr="00DA18B6">
              <w:rPr>
                <w:rFonts w:ascii="Arial Narrow" w:eastAsiaTheme="majorEastAsia" w:hAnsi="Arial Narrow" w:cstheme="majorBidi"/>
                <w:bCs/>
                <w:sz w:val="20"/>
              </w:rPr>
              <w:t>Informed by results of post-hoc subgroup analysis of the MODIFY trials (≥1 of 2 risk factors).</w:t>
            </w:r>
            <w:r w:rsidRPr="00DA18B6" w:rsidDel="000972AA">
              <w:rPr>
                <w:rFonts w:ascii="Arial Narrow" w:eastAsiaTheme="majorEastAsia" w:hAnsi="Arial Narrow" w:cstheme="majorBidi"/>
                <w:bCs/>
                <w:iCs/>
                <w:sz w:val="20"/>
              </w:rPr>
              <w:t xml:space="preserve"> </w:t>
            </w:r>
            <w:r w:rsidR="003D3A5C" w:rsidRPr="00DA18B6">
              <w:rPr>
                <w:rFonts w:ascii="Arial Narrow" w:eastAsiaTheme="majorEastAsia" w:hAnsi="Arial Narrow" w:cstheme="majorBidi"/>
                <w:bCs/>
                <w:iCs/>
                <w:sz w:val="20"/>
              </w:rPr>
              <w:t>T</w:t>
            </w:r>
            <w:r w:rsidR="00AA57F3" w:rsidRPr="00DA18B6">
              <w:rPr>
                <w:rFonts w:ascii="Arial Narrow" w:eastAsiaTheme="majorEastAsia" w:hAnsi="Arial Narrow" w:cstheme="majorBidi"/>
                <w:bCs/>
                <w:iCs/>
                <w:sz w:val="20"/>
              </w:rPr>
              <w:t>he ESC noted t</w:t>
            </w:r>
            <w:r w:rsidRPr="00DA18B6">
              <w:rPr>
                <w:rFonts w:ascii="Arial Narrow" w:eastAsiaTheme="majorEastAsia" w:hAnsi="Arial Narrow" w:cstheme="majorBidi"/>
                <w:bCs/>
                <w:iCs/>
                <w:sz w:val="20"/>
              </w:rPr>
              <w:t>his parameter varied across subgroups</w:t>
            </w:r>
            <w:r w:rsidR="0085533C" w:rsidRPr="00DA18B6">
              <w:rPr>
                <w:rFonts w:ascii="Arial Narrow" w:eastAsiaTheme="majorEastAsia" w:hAnsi="Arial Narrow" w:cstheme="majorBidi"/>
                <w:bCs/>
                <w:iCs/>
                <w:sz w:val="20"/>
              </w:rPr>
              <w:t xml:space="preserve"> </w:t>
            </w:r>
            <w:r w:rsidR="00AA57F3" w:rsidRPr="00DA18B6">
              <w:rPr>
                <w:rFonts w:ascii="Arial Narrow" w:eastAsiaTheme="majorEastAsia" w:hAnsi="Arial Narrow" w:cstheme="majorBidi"/>
                <w:bCs/>
                <w:iCs/>
                <w:sz w:val="20"/>
              </w:rPr>
              <w:t xml:space="preserve">and considered this </w:t>
            </w:r>
            <w:r w:rsidRPr="00DA18B6">
              <w:rPr>
                <w:rFonts w:ascii="Arial Narrow" w:eastAsiaTheme="majorEastAsia" w:hAnsi="Arial Narrow" w:cstheme="majorBidi"/>
                <w:bCs/>
                <w:iCs/>
                <w:sz w:val="20"/>
              </w:rPr>
              <w:t xml:space="preserve">may reflect </w:t>
            </w:r>
            <w:r w:rsidR="001E2FDE" w:rsidRPr="00DA18B6">
              <w:rPr>
                <w:rFonts w:ascii="Arial Narrow" w:eastAsiaTheme="majorEastAsia" w:hAnsi="Arial Narrow" w:cstheme="majorBidi"/>
                <w:bCs/>
                <w:iCs/>
                <w:sz w:val="20"/>
              </w:rPr>
              <w:t xml:space="preserve">true differences or </w:t>
            </w:r>
            <w:r w:rsidRPr="00DA18B6">
              <w:rPr>
                <w:rFonts w:ascii="Arial Narrow" w:eastAsiaTheme="majorEastAsia" w:hAnsi="Arial Narrow" w:cstheme="majorBidi"/>
                <w:bCs/>
                <w:iCs/>
                <w:sz w:val="20"/>
              </w:rPr>
              <w:t xml:space="preserve">random variation.  </w:t>
            </w:r>
          </w:p>
        </w:tc>
        <w:tc>
          <w:tcPr>
            <w:tcW w:w="1622" w:type="pct"/>
            <w:shd w:val="clear" w:color="auto" w:fill="auto"/>
            <w:vAlign w:val="center"/>
          </w:tcPr>
          <w:p w:rsidR="00920C54" w:rsidRPr="00DA18B6" w:rsidRDefault="00920C54" w:rsidP="00920C54">
            <w:pPr>
              <w:keepNext/>
              <w:jc w:val="center"/>
              <w:rPr>
                <w:rFonts w:ascii="Arial Narrow" w:eastAsiaTheme="majorEastAsia" w:hAnsi="Arial Narrow"/>
                <w:bCs/>
                <w:sz w:val="20"/>
                <w:szCs w:val="20"/>
              </w:rPr>
            </w:pPr>
            <w:r w:rsidRPr="00DA18B6">
              <w:rPr>
                <w:rFonts w:ascii="Arial Narrow" w:eastAsiaTheme="majorEastAsia" w:hAnsi="Arial Narrow" w:cstheme="majorBidi"/>
                <w:bCs/>
                <w:sz w:val="20"/>
                <w:lang w:val="en-US"/>
              </w:rPr>
              <w:t>High, favours bezlotoxumab.</w:t>
            </w:r>
          </w:p>
          <w:p w:rsidR="00920C54" w:rsidRPr="00DA18B6" w:rsidRDefault="00920C54" w:rsidP="00920C54">
            <w:pPr>
              <w:keepNext/>
              <w:jc w:val="center"/>
              <w:rPr>
                <w:rFonts w:ascii="Arial Narrow" w:eastAsiaTheme="majorEastAsia" w:hAnsi="Arial Narrow" w:cstheme="majorBidi"/>
                <w:bCs/>
                <w:iCs/>
                <w:sz w:val="20"/>
                <w:lang w:val="en-US"/>
              </w:rPr>
            </w:pPr>
          </w:p>
        </w:tc>
      </w:tr>
      <w:tr w:rsidR="00920C54" w:rsidRPr="00A64859" w:rsidTr="00920C54">
        <w:tc>
          <w:tcPr>
            <w:tcW w:w="626" w:type="pct"/>
            <w:shd w:val="clear" w:color="auto" w:fill="auto"/>
            <w:vAlign w:val="center"/>
          </w:tcPr>
          <w:p w:rsidR="00920C54" w:rsidRPr="00DA18B6" w:rsidRDefault="00920C54" w:rsidP="00920C54">
            <w:pPr>
              <w:keepNext/>
              <w:jc w:val="center"/>
              <w:rPr>
                <w:rFonts w:ascii="Arial Narrow" w:eastAsiaTheme="majorEastAsia" w:hAnsi="Arial Narrow" w:cstheme="majorBidi"/>
                <w:bCs/>
                <w:iCs/>
                <w:sz w:val="20"/>
                <w:lang w:val="en-US"/>
              </w:rPr>
            </w:pPr>
            <w:r w:rsidRPr="00DA18B6">
              <w:rPr>
                <w:rFonts w:ascii="Arial Narrow" w:eastAsiaTheme="majorEastAsia" w:hAnsi="Arial Narrow" w:cstheme="majorBidi"/>
                <w:bCs/>
                <w:iCs/>
                <w:sz w:val="20"/>
                <w:lang w:val="en-US"/>
              </w:rPr>
              <w:t>Hazard ratio for mortality with CDI recurrence versus no recurrence</w:t>
            </w:r>
          </w:p>
        </w:tc>
        <w:tc>
          <w:tcPr>
            <w:tcW w:w="2752" w:type="pct"/>
            <w:shd w:val="clear" w:color="auto" w:fill="auto"/>
            <w:vAlign w:val="center"/>
          </w:tcPr>
          <w:p w:rsidR="00920C54" w:rsidRPr="00DA18B6" w:rsidRDefault="00920C54" w:rsidP="00920C54">
            <w:pPr>
              <w:keepNext/>
              <w:jc w:val="left"/>
              <w:rPr>
                <w:rFonts w:ascii="Arial Narrow" w:eastAsiaTheme="majorEastAsia" w:hAnsi="Arial Narrow" w:cstheme="majorBidi"/>
                <w:bCs/>
                <w:sz w:val="20"/>
                <w:lang w:val="en-US"/>
              </w:rPr>
            </w:pPr>
            <w:r w:rsidRPr="00DA18B6">
              <w:rPr>
                <w:rFonts w:ascii="Arial Narrow" w:eastAsiaTheme="majorEastAsia" w:hAnsi="Arial Narrow" w:cstheme="majorBidi"/>
                <w:bCs/>
                <w:sz w:val="20"/>
                <w:lang w:val="en-US"/>
              </w:rPr>
              <w:t xml:space="preserve">Informed by lower </w:t>
            </w:r>
            <w:r w:rsidRPr="00DA18B6">
              <w:rPr>
                <w:rFonts w:ascii="Arial Narrow" w:eastAsiaTheme="majorEastAsia" w:hAnsi="Arial Narrow" w:cstheme="majorBidi"/>
                <w:bCs/>
                <w:sz w:val="20"/>
              </w:rPr>
              <w:t>95% CI of the adjusted HR for mortality with CDI recurrence versus no recurrence estimated by Olsen et al 2015 (HR=1.33, 95%CI: 1.12, 1.59), as recommended by PBAC in July 2018.</w:t>
            </w:r>
          </w:p>
        </w:tc>
        <w:tc>
          <w:tcPr>
            <w:tcW w:w="1622" w:type="pct"/>
            <w:shd w:val="clear" w:color="auto" w:fill="auto"/>
            <w:vAlign w:val="center"/>
          </w:tcPr>
          <w:p w:rsidR="00920C54" w:rsidRPr="00DA18B6" w:rsidRDefault="00920C54" w:rsidP="00920C54">
            <w:pPr>
              <w:keepNext/>
              <w:jc w:val="center"/>
              <w:rPr>
                <w:rFonts w:ascii="Arial Narrow" w:eastAsiaTheme="majorEastAsia" w:hAnsi="Arial Narrow" w:cstheme="majorBidi"/>
                <w:bCs/>
                <w:iCs/>
                <w:sz w:val="20"/>
                <w:lang w:val="en-US"/>
              </w:rPr>
            </w:pPr>
            <w:r w:rsidRPr="00DA18B6">
              <w:rPr>
                <w:rFonts w:ascii="Arial Narrow" w:eastAsiaTheme="majorEastAsia" w:hAnsi="Arial Narrow" w:cstheme="majorBidi"/>
                <w:bCs/>
                <w:iCs/>
                <w:sz w:val="20"/>
                <w:lang w:val="en-US"/>
              </w:rPr>
              <w:t>High, favours bezlotoxumab,</w:t>
            </w:r>
          </w:p>
          <w:p w:rsidR="00920C54" w:rsidRPr="00DA18B6" w:rsidRDefault="00920C54" w:rsidP="00920C54">
            <w:pPr>
              <w:keepNext/>
              <w:jc w:val="center"/>
              <w:rPr>
                <w:rFonts w:ascii="Arial Narrow" w:eastAsiaTheme="majorEastAsia" w:hAnsi="Arial Narrow" w:cstheme="majorBidi"/>
                <w:bCs/>
                <w:iCs/>
                <w:sz w:val="20"/>
                <w:lang w:val="en-US"/>
              </w:rPr>
            </w:pPr>
            <w:r w:rsidRPr="00DA18B6">
              <w:rPr>
                <w:rFonts w:ascii="Arial Narrow" w:eastAsiaTheme="majorEastAsia" w:hAnsi="Arial Narrow" w:cstheme="majorBidi"/>
                <w:bCs/>
                <w:iCs/>
                <w:sz w:val="20"/>
                <w:lang w:val="en-US"/>
              </w:rPr>
              <w:t xml:space="preserve">The ICER increased to </w:t>
            </w:r>
            <w:r w:rsidR="000B0E82" w:rsidRPr="000B0E82">
              <w:rPr>
                <w:rFonts w:ascii="Arial Narrow" w:eastAsiaTheme="majorEastAsia" w:hAnsi="Arial Narrow" w:cstheme="majorBidi"/>
                <w:bCs/>
                <w:iCs/>
                <w:sz w:val="20"/>
                <w:lang w:val="en-US"/>
              </w:rPr>
              <w:t>$75,000 to &lt;</w:t>
            </w:r>
            <w:r w:rsidR="00840009">
              <w:rPr>
                <w:rFonts w:ascii="Arial Narrow" w:eastAsiaTheme="majorEastAsia" w:hAnsi="Arial Narrow" w:cstheme="majorBidi"/>
                <w:bCs/>
                <w:iCs/>
                <w:sz w:val="20"/>
                <w:lang w:val="en-US"/>
              </w:rPr>
              <w:t> </w:t>
            </w:r>
            <w:r w:rsidR="000B0E82" w:rsidRPr="000B0E82">
              <w:rPr>
                <w:rFonts w:ascii="Arial Narrow" w:eastAsiaTheme="majorEastAsia" w:hAnsi="Arial Narrow" w:cstheme="majorBidi"/>
                <w:bCs/>
                <w:iCs/>
                <w:sz w:val="20"/>
                <w:lang w:val="en-US"/>
              </w:rPr>
              <w:t>$95,000</w:t>
            </w:r>
            <w:r w:rsidRPr="00DA18B6">
              <w:rPr>
                <w:rFonts w:ascii="Arial Narrow" w:eastAsiaTheme="majorEastAsia" w:hAnsi="Arial Narrow" w:cstheme="majorBidi"/>
                <w:bCs/>
                <w:iCs/>
                <w:sz w:val="20"/>
                <w:lang w:val="en-US"/>
              </w:rPr>
              <w:t xml:space="preserve">/QALY assuming no mortality benefit </w:t>
            </w:r>
            <w:r w:rsidR="009A5502" w:rsidRPr="00DA18B6">
              <w:rPr>
                <w:rFonts w:ascii="Arial Narrow" w:eastAsiaTheme="majorEastAsia" w:hAnsi="Arial Narrow" w:cstheme="majorBidi"/>
                <w:bCs/>
                <w:iCs/>
                <w:sz w:val="20"/>
                <w:lang w:val="en-US"/>
              </w:rPr>
              <w:br/>
            </w:r>
            <w:r w:rsidRPr="00DA18B6">
              <w:rPr>
                <w:rFonts w:ascii="Arial Narrow" w:eastAsiaTheme="majorEastAsia" w:hAnsi="Arial Narrow" w:cstheme="majorBidi"/>
                <w:bCs/>
                <w:iCs/>
                <w:sz w:val="20"/>
                <w:lang w:val="en-US"/>
              </w:rPr>
              <w:t>(i.e. HR = 1).</w:t>
            </w:r>
          </w:p>
        </w:tc>
      </w:tr>
    </w:tbl>
    <w:p w:rsidR="00D916A5" w:rsidRPr="00A64859" w:rsidRDefault="00D916A5" w:rsidP="00D916A5">
      <w:pPr>
        <w:widowControl w:val="0"/>
        <w:rPr>
          <w:rFonts w:ascii="Arial Narrow" w:hAnsi="Arial Narrow"/>
          <w:snapToGrid w:val="0"/>
          <w:sz w:val="18"/>
          <w:szCs w:val="18"/>
          <w:lang w:eastAsia="en-US"/>
        </w:rPr>
      </w:pPr>
      <w:r w:rsidRPr="00A64859">
        <w:rPr>
          <w:rFonts w:ascii="Arial Narrow" w:hAnsi="Arial Narrow"/>
          <w:snapToGrid w:val="0"/>
          <w:sz w:val="18"/>
          <w:szCs w:val="22"/>
          <w:shd w:val="clear" w:color="auto" w:fill="B8CCE4" w:themeFill="accent1" w:themeFillTint="66"/>
          <w:lang w:eastAsia="en-US"/>
        </w:rPr>
        <w:t>Shaded</w:t>
      </w:r>
      <w:r w:rsidRPr="00A64859">
        <w:rPr>
          <w:rFonts w:ascii="Arial Narrow" w:hAnsi="Arial Narrow"/>
          <w:snapToGrid w:val="0"/>
          <w:sz w:val="18"/>
          <w:szCs w:val="22"/>
          <w:lang w:eastAsia="en-US"/>
        </w:rPr>
        <w:t xml:space="preserve"> areas indicate data previously seen by the PBAC.  </w:t>
      </w:r>
    </w:p>
    <w:p w:rsidR="00D916A5" w:rsidRPr="00A64859" w:rsidRDefault="00D916A5" w:rsidP="00D916A5">
      <w:pPr>
        <w:widowControl w:val="0"/>
        <w:rPr>
          <w:rFonts w:ascii="Arial Narrow" w:hAnsi="Arial Narrow"/>
          <w:iCs/>
          <w:snapToGrid w:val="0"/>
          <w:sz w:val="18"/>
          <w:szCs w:val="22"/>
          <w:lang w:eastAsia="en-US"/>
        </w:rPr>
      </w:pPr>
      <w:r w:rsidRPr="00A64859">
        <w:rPr>
          <w:rFonts w:ascii="Arial Narrow" w:hAnsi="Arial Narrow"/>
          <w:iCs/>
          <w:snapToGrid w:val="0"/>
          <w:sz w:val="18"/>
          <w:szCs w:val="22"/>
          <w:lang w:eastAsia="en-US"/>
        </w:rPr>
        <w:t>Source: Constructed during the evaluation.</w:t>
      </w:r>
    </w:p>
    <w:p w:rsidR="00D916A5" w:rsidRPr="00D916A5" w:rsidRDefault="00D916A5" w:rsidP="00D916A5">
      <w:pPr>
        <w:spacing w:after="120"/>
        <w:rPr>
          <w:rFonts w:ascii="Arial Narrow" w:hAnsi="Arial Narrow"/>
          <w:bCs/>
          <w:i/>
          <w:iCs/>
          <w:snapToGrid w:val="0"/>
          <w:sz w:val="18"/>
          <w:szCs w:val="18"/>
        </w:rPr>
      </w:pPr>
    </w:p>
    <w:p w:rsidR="00D916A5" w:rsidRPr="00D916A5" w:rsidRDefault="001764EE" w:rsidP="00104B8E">
      <w:pPr>
        <w:pStyle w:val="3-BodyText"/>
      </w:pPr>
      <w:r w:rsidRPr="001B766C">
        <w:t>Table</w:t>
      </w:r>
      <w:r w:rsidR="00B9401B" w:rsidRPr="001B766C">
        <w:t xml:space="preserve"> </w:t>
      </w:r>
      <w:r w:rsidR="00C07BDB">
        <w:t>11</w:t>
      </w:r>
      <w:r w:rsidR="00B9401B">
        <w:t xml:space="preserve"> </w:t>
      </w:r>
      <w:r w:rsidR="00373572">
        <w:t>presents</w:t>
      </w:r>
      <w:r w:rsidR="00D916A5" w:rsidRPr="00D916A5">
        <w:t xml:space="preserve"> the results of the stepped economic evaluation for the population with </w:t>
      </w:r>
      <w:r w:rsidR="00D916A5" w:rsidRPr="00D916A5">
        <w:rPr>
          <w:rFonts w:cs="Calibri"/>
        </w:rPr>
        <w:t>≥</w:t>
      </w:r>
      <w:r w:rsidR="00D916A5" w:rsidRPr="00D916A5">
        <w:t>1 of 2 risk factors in this resubmission.  The base case ICER was $</w:t>
      </w:r>
      <w:r w:rsidR="00104B8E" w:rsidRPr="00104B8E">
        <w:t>$15,000 to &lt;</w:t>
      </w:r>
      <w:r w:rsidR="00C514FE">
        <w:t> </w:t>
      </w:r>
      <w:r w:rsidR="00104B8E" w:rsidRPr="00104B8E">
        <w:t>$25,000</w:t>
      </w:r>
      <w:r w:rsidR="00D916A5" w:rsidRPr="00D916A5">
        <w:t>/QALY.</w:t>
      </w:r>
    </w:p>
    <w:p w:rsidR="00D916A5" w:rsidRPr="00D916A5" w:rsidRDefault="001764EE" w:rsidP="005B1FDF">
      <w:pPr>
        <w:keepNext/>
        <w:keepLines/>
        <w:jc w:val="left"/>
        <w:rPr>
          <w:rFonts w:ascii="Arial Narrow" w:eastAsiaTheme="majorEastAsia" w:hAnsi="Arial Narrow" w:cstheme="majorBidi"/>
          <w:b/>
          <w:bCs/>
          <w:sz w:val="20"/>
        </w:rPr>
      </w:pPr>
      <w:r w:rsidRPr="001B766C">
        <w:rPr>
          <w:rFonts w:ascii="Arial Narrow" w:eastAsiaTheme="majorEastAsia" w:hAnsi="Arial Narrow" w:cstheme="majorBidi"/>
          <w:b/>
          <w:bCs/>
          <w:sz w:val="20"/>
        </w:rPr>
        <w:lastRenderedPageBreak/>
        <w:t xml:space="preserve">Table </w:t>
      </w:r>
      <w:r w:rsidR="00C07BDB">
        <w:rPr>
          <w:rFonts w:ascii="Arial Narrow" w:eastAsiaTheme="majorEastAsia" w:hAnsi="Arial Narrow" w:cstheme="majorBidi"/>
          <w:b/>
          <w:bCs/>
          <w:sz w:val="20"/>
        </w:rPr>
        <w:t>11</w:t>
      </w:r>
      <w:r w:rsidR="00D916A5" w:rsidRPr="001B766C">
        <w:rPr>
          <w:rFonts w:ascii="Arial Narrow" w:eastAsiaTheme="majorEastAsia" w:hAnsi="Arial Narrow" w:cstheme="majorBidi"/>
          <w:b/>
          <w:bCs/>
          <w:sz w:val="20"/>
        </w:rPr>
        <w:t>:</w:t>
      </w:r>
      <w:r w:rsidR="00D916A5" w:rsidRPr="00D916A5">
        <w:rPr>
          <w:rFonts w:ascii="Arial Narrow" w:eastAsiaTheme="majorEastAsia" w:hAnsi="Arial Narrow" w:cstheme="majorBidi"/>
          <w:b/>
          <w:bCs/>
          <w:sz w:val="20"/>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D916A5" w:rsidRPr="00D916A5" w:rsidTr="00E17CFC">
        <w:trPr>
          <w:tblHeader/>
        </w:trPr>
        <w:tc>
          <w:tcPr>
            <w:tcW w:w="1529" w:type="pct"/>
            <w:vAlign w:val="center"/>
          </w:tcPr>
          <w:p w:rsidR="00D916A5" w:rsidRPr="00D916A5" w:rsidRDefault="00D916A5" w:rsidP="005B1FDF">
            <w:pPr>
              <w:keepNext/>
              <w:keepLines/>
              <w:jc w:val="left"/>
              <w:rPr>
                <w:rFonts w:ascii="Arial Narrow" w:hAnsi="Arial Narrow" w:cs="Times New Roman"/>
                <w:b/>
                <w:sz w:val="20"/>
                <w:szCs w:val="22"/>
                <w:lang w:eastAsia="en-US"/>
              </w:rPr>
            </w:pPr>
            <w:r w:rsidRPr="00D916A5">
              <w:rPr>
                <w:rFonts w:ascii="Arial Narrow" w:hAnsi="Arial Narrow" w:cs="Times New Roman"/>
                <w:b/>
                <w:sz w:val="20"/>
                <w:szCs w:val="22"/>
                <w:lang w:eastAsia="en-US"/>
              </w:rPr>
              <w:t>Step and component</w:t>
            </w:r>
          </w:p>
        </w:tc>
        <w:tc>
          <w:tcPr>
            <w:tcW w:w="1359" w:type="pct"/>
            <w:vAlign w:val="center"/>
          </w:tcPr>
          <w:p w:rsidR="00D916A5" w:rsidRPr="00D916A5" w:rsidRDefault="00D916A5" w:rsidP="005B1FDF">
            <w:pPr>
              <w:keepNext/>
              <w:keepLines/>
              <w:jc w:val="center"/>
              <w:rPr>
                <w:rFonts w:ascii="Arial Narrow" w:hAnsi="Arial Narrow" w:cs="Times New Roman"/>
                <w:b/>
                <w:sz w:val="20"/>
                <w:szCs w:val="22"/>
                <w:lang w:eastAsia="en-US"/>
              </w:rPr>
            </w:pPr>
            <w:r w:rsidRPr="00D916A5">
              <w:rPr>
                <w:rFonts w:ascii="Arial Narrow" w:hAnsi="Arial Narrow" w:cs="Times New Roman"/>
                <w:b/>
                <w:sz w:val="20"/>
                <w:szCs w:val="22"/>
                <w:lang w:eastAsia="en-US"/>
              </w:rPr>
              <w:t>Bezlotoxumab + SoC</w:t>
            </w:r>
          </w:p>
        </w:tc>
        <w:tc>
          <w:tcPr>
            <w:tcW w:w="1274" w:type="pct"/>
            <w:vAlign w:val="center"/>
          </w:tcPr>
          <w:p w:rsidR="00D916A5" w:rsidRPr="00D916A5" w:rsidRDefault="00D916A5" w:rsidP="005B1FDF">
            <w:pPr>
              <w:keepNext/>
              <w:keepLines/>
              <w:jc w:val="center"/>
              <w:rPr>
                <w:rFonts w:ascii="Arial Narrow" w:hAnsi="Arial Narrow" w:cs="Times New Roman"/>
                <w:b/>
                <w:sz w:val="20"/>
                <w:szCs w:val="22"/>
                <w:lang w:eastAsia="en-US"/>
              </w:rPr>
            </w:pPr>
            <w:r w:rsidRPr="00D916A5">
              <w:rPr>
                <w:rFonts w:ascii="Arial Narrow" w:hAnsi="Arial Narrow" w:cs="Times New Roman"/>
                <w:b/>
                <w:sz w:val="20"/>
                <w:szCs w:val="22"/>
                <w:lang w:eastAsia="en-US"/>
              </w:rPr>
              <w:t>SoC only</w:t>
            </w:r>
          </w:p>
        </w:tc>
        <w:tc>
          <w:tcPr>
            <w:tcW w:w="838" w:type="pct"/>
            <w:vAlign w:val="center"/>
          </w:tcPr>
          <w:p w:rsidR="00D916A5" w:rsidRPr="00D916A5" w:rsidRDefault="00D916A5" w:rsidP="005B1FDF">
            <w:pPr>
              <w:keepNext/>
              <w:keepLines/>
              <w:jc w:val="center"/>
              <w:rPr>
                <w:rFonts w:ascii="Arial Narrow" w:hAnsi="Arial Narrow" w:cs="Times New Roman"/>
                <w:b/>
                <w:sz w:val="20"/>
                <w:szCs w:val="22"/>
                <w:lang w:eastAsia="en-US"/>
              </w:rPr>
            </w:pPr>
            <w:r w:rsidRPr="00D916A5">
              <w:rPr>
                <w:rFonts w:ascii="Arial Narrow" w:hAnsi="Arial Narrow" w:cs="Times New Roman"/>
                <w:b/>
                <w:sz w:val="20"/>
                <w:szCs w:val="22"/>
                <w:lang w:eastAsia="en-US"/>
              </w:rPr>
              <w:t>Increment</w:t>
            </w:r>
          </w:p>
        </w:tc>
      </w:tr>
      <w:tr w:rsidR="00D916A5" w:rsidRPr="00D916A5" w:rsidTr="00E17CFC">
        <w:tc>
          <w:tcPr>
            <w:tcW w:w="5000" w:type="pct"/>
            <w:gridSpan w:val="4"/>
            <w:vAlign w:val="center"/>
          </w:tcPr>
          <w:p w:rsidR="00D916A5" w:rsidRPr="00D916A5" w:rsidRDefault="00D916A5" w:rsidP="005B1FDF">
            <w:pPr>
              <w:keepNext/>
              <w:keepLines/>
              <w:jc w:val="left"/>
              <w:rPr>
                <w:rFonts w:ascii="Arial Narrow" w:hAnsi="Arial Narrow" w:cs="Times New Roman"/>
                <w:b/>
                <w:snapToGrid w:val="0"/>
                <w:sz w:val="20"/>
                <w:szCs w:val="22"/>
                <w:lang w:eastAsia="en-US"/>
              </w:rPr>
            </w:pPr>
            <w:r w:rsidRPr="00D916A5">
              <w:rPr>
                <w:rFonts w:ascii="Arial Narrow" w:hAnsi="Arial Narrow" w:cs="Times New Roman"/>
                <w:b/>
                <w:snapToGrid w:val="0"/>
                <w:sz w:val="20"/>
                <w:szCs w:val="22"/>
                <w:lang w:eastAsia="en-US"/>
              </w:rPr>
              <w:t>Step 1: Used subpopulation with ≥1 of 2 risk factors from MODIFY I and MODIFY II</w:t>
            </w:r>
          </w:p>
        </w:tc>
      </w:tr>
      <w:tr w:rsidR="00D916A5" w:rsidRPr="00D916A5" w:rsidTr="00E17CFC">
        <w:tc>
          <w:tcPr>
            <w:tcW w:w="1529" w:type="pct"/>
            <w:vAlign w:val="center"/>
          </w:tcPr>
          <w:p w:rsidR="00D916A5" w:rsidRPr="00D916A5" w:rsidRDefault="00D916A5" w:rsidP="005B1FDF">
            <w:pPr>
              <w:keepNext/>
              <w:keepLines/>
              <w:jc w:val="left"/>
              <w:rPr>
                <w:rFonts w:ascii="Times" w:hAnsi="Times" w:cs="Times New Roman"/>
                <w:sz w:val="20"/>
                <w:szCs w:val="22"/>
                <w:lang w:eastAsia="en-US"/>
              </w:rPr>
            </w:pPr>
            <w:r w:rsidRPr="00D916A5">
              <w:rPr>
                <w:rFonts w:ascii="Arial Narrow" w:hAnsi="Arial Narrow" w:cs="Times New Roman"/>
                <w:sz w:val="20"/>
                <w:szCs w:val="22"/>
                <w:lang w:eastAsia="en-US"/>
              </w:rPr>
              <w:t>Costs</w:t>
            </w:r>
          </w:p>
        </w:tc>
        <w:tc>
          <w:tcPr>
            <w:tcW w:w="1359" w:type="pct"/>
            <w:vAlign w:val="center"/>
          </w:tcPr>
          <w:p w:rsidR="00D916A5" w:rsidRPr="00D916A5" w:rsidRDefault="00D916A5" w:rsidP="005B1FDF">
            <w:pPr>
              <w:keepNext/>
              <w:keepLines/>
              <w:jc w:val="center"/>
              <w:rPr>
                <w:rFonts w:ascii="Times" w:hAnsi="Times" w:cs="Times New Roman"/>
                <w:sz w:val="20"/>
                <w:szCs w:val="22"/>
                <w:lang w:eastAsia="en-US"/>
              </w:rPr>
            </w:pPr>
            <w:r w:rsidRPr="00D916A5">
              <w:rPr>
                <w:rFonts w:ascii="Arial Narrow" w:hAnsi="Arial Narrow" w:cs="Times New Roman"/>
                <w:sz w:val="20"/>
                <w:szCs w:val="22"/>
                <w:lang w:eastAsia="en-US"/>
              </w:rPr>
              <w:t>$</w:t>
            </w:r>
            <w:r w:rsidR="006F551D">
              <w:rPr>
                <w:rFonts w:ascii="Arial Narrow" w:hAnsi="Arial Narrow" w:cs="Times New Roman"/>
                <w:noProof/>
                <w:color w:val="000000"/>
                <w:sz w:val="20"/>
                <w:szCs w:val="22"/>
                <w:highlight w:val="black"/>
                <w:lang w:eastAsia="en-US"/>
              </w:rPr>
              <w:t>'''''''''''''''''''''''</w:t>
            </w:r>
          </w:p>
        </w:tc>
        <w:tc>
          <w:tcPr>
            <w:tcW w:w="1274" w:type="pct"/>
            <w:vAlign w:val="center"/>
          </w:tcPr>
          <w:p w:rsidR="00D916A5" w:rsidRPr="00D916A5" w:rsidRDefault="00D916A5" w:rsidP="005B1FDF">
            <w:pPr>
              <w:keepNext/>
              <w:keepLines/>
              <w:jc w:val="center"/>
              <w:rPr>
                <w:rFonts w:ascii="Times" w:hAnsi="Times" w:cs="Times New Roman"/>
                <w:sz w:val="20"/>
                <w:szCs w:val="22"/>
                <w:lang w:eastAsia="en-US"/>
              </w:rPr>
            </w:pPr>
            <w:r w:rsidRPr="00D916A5">
              <w:rPr>
                <w:rFonts w:ascii="Arial Narrow" w:hAnsi="Arial Narrow" w:cs="Times New Roman"/>
                <w:sz w:val="20"/>
                <w:szCs w:val="22"/>
                <w:lang w:eastAsia="en-US"/>
              </w:rPr>
              <w:t>$0</w:t>
            </w:r>
          </w:p>
        </w:tc>
        <w:tc>
          <w:tcPr>
            <w:tcW w:w="838" w:type="pct"/>
            <w:vAlign w:val="center"/>
          </w:tcPr>
          <w:p w:rsidR="00D916A5" w:rsidRPr="00D916A5" w:rsidRDefault="00D916A5" w:rsidP="005B1FDF">
            <w:pPr>
              <w:keepNext/>
              <w:keepLines/>
              <w:jc w:val="center"/>
              <w:rPr>
                <w:rFonts w:ascii="Times" w:hAnsi="Times" w:cs="Times New Roman"/>
                <w:sz w:val="20"/>
                <w:szCs w:val="22"/>
                <w:lang w:eastAsia="en-US"/>
              </w:rPr>
            </w:pPr>
            <w:r w:rsidRPr="00D916A5">
              <w:rPr>
                <w:rFonts w:ascii="Arial Narrow" w:hAnsi="Arial Narrow" w:cs="Times New Roman"/>
                <w:sz w:val="20"/>
                <w:szCs w:val="22"/>
                <w:lang w:eastAsia="en-US"/>
              </w:rPr>
              <w:t>$</w:t>
            </w:r>
            <w:r w:rsidR="006F551D">
              <w:rPr>
                <w:rFonts w:ascii="Arial Narrow" w:hAnsi="Arial Narrow" w:cs="Times New Roman"/>
                <w:noProof/>
                <w:color w:val="000000"/>
                <w:sz w:val="20"/>
                <w:szCs w:val="22"/>
                <w:highlight w:val="black"/>
                <w:lang w:eastAsia="en-US"/>
              </w:rPr>
              <w:t>'''''''''''''''''''''</w:t>
            </w:r>
          </w:p>
        </w:tc>
      </w:tr>
      <w:tr w:rsidR="00D916A5" w:rsidRPr="00D916A5" w:rsidTr="00E17CFC">
        <w:tc>
          <w:tcPr>
            <w:tcW w:w="1529" w:type="pct"/>
            <w:vAlign w:val="center"/>
          </w:tcPr>
          <w:p w:rsidR="00D916A5" w:rsidRPr="00D916A5" w:rsidRDefault="00D916A5" w:rsidP="005B1FDF">
            <w:pPr>
              <w:keepNext/>
              <w:keepLines/>
              <w:jc w:val="left"/>
              <w:rPr>
                <w:rFonts w:ascii="Times" w:hAnsi="Times" w:cs="Times New Roman"/>
                <w:sz w:val="20"/>
                <w:szCs w:val="22"/>
                <w:lang w:eastAsia="en-US"/>
              </w:rPr>
            </w:pPr>
            <w:r w:rsidRPr="00D916A5">
              <w:rPr>
                <w:rFonts w:ascii="Arial Narrow" w:hAnsi="Arial Narrow" w:cs="Times New Roman"/>
                <w:sz w:val="20"/>
                <w:szCs w:val="22"/>
                <w:lang w:eastAsia="en-US"/>
              </w:rPr>
              <w:t>Outcomes (CDI recurrence rate)</w:t>
            </w:r>
          </w:p>
        </w:tc>
        <w:tc>
          <w:tcPr>
            <w:tcW w:w="1359" w:type="pct"/>
            <w:vAlign w:val="center"/>
          </w:tcPr>
          <w:p w:rsidR="00D916A5" w:rsidRPr="00D916A5" w:rsidRDefault="00D916A5" w:rsidP="005B1FDF">
            <w:pPr>
              <w:keepNext/>
              <w:keepLines/>
              <w:jc w:val="center"/>
              <w:rPr>
                <w:rFonts w:ascii="Times" w:hAnsi="Times" w:cs="Times New Roman"/>
                <w:sz w:val="20"/>
                <w:szCs w:val="22"/>
                <w:lang w:eastAsia="en-US"/>
              </w:rPr>
            </w:pPr>
            <w:r w:rsidRPr="00D916A5">
              <w:rPr>
                <w:rFonts w:ascii="Arial Narrow" w:hAnsi="Arial Narrow" w:cs="Times New Roman"/>
                <w:sz w:val="20"/>
                <w:szCs w:val="22"/>
                <w:lang w:eastAsia="en-US"/>
              </w:rPr>
              <w:t>11.96%</w:t>
            </w:r>
          </w:p>
        </w:tc>
        <w:tc>
          <w:tcPr>
            <w:tcW w:w="1274" w:type="pct"/>
            <w:vAlign w:val="center"/>
          </w:tcPr>
          <w:p w:rsidR="00D916A5" w:rsidRPr="00D916A5" w:rsidRDefault="00D916A5" w:rsidP="005B1FDF">
            <w:pPr>
              <w:keepNext/>
              <w:keepLines/>
              <w:jc w:val="center"/>
              <w:rPr>
                <w:rFonts w:ascii="Times" w:hAnsi="Times" w:cs="Times New Roman"/>
                <w:sz w:val="20"/>
                <w:szCs w:val="22"/>
                <w:lang w:eastAsia="en-US"/>
              </w:rPr>
            </w:pPr>
            <w:r w:rsidRPr="00D916A5">
              <w:rPr>
                <w:rFonts w:ascii="Arial Narrow" w:hAnsi="Arial Narrow" w:cs="Times New Roman"/>
                <w:sz w:val="20"/>
                <w:szCs w:val="22"/>
                <w:lang w:eastAsia="en-US"/>
              </w:rPr>
              <w:t>23.95%</w:t>
            </w:r>
          </w:p>
        </w:tc>
        <w:tc>
          <w:tcPr>
            <w:tcW w:w="838" w:type="pct"/>
            <w:vAlign w:val="center"/>
          </w:tcPr>
          <w:p w:rsidR="00D916A5" w:rsidRPr="00D916A5" w:rsidRDefault="00D916A5" w:rsidP="005B1FDF">
            <w:pPr>
              <w:keepNext/>
              <w:keepLines/>
              <w:jc w:val="center"/>
              <w:rPr>
                <w:rFonts w:ascii="Arial Narrow" w:hAnsi="Arial Narrow" w:cs="Times New Roman"/>
                <w:sz w:val="20"/>
                <w:szCs w:val="22"/>
                <w:lang w:eastAsia="en-US"/>
              </w:rPr>
            </w:pPr>
            <w:r w:rsidRPr="00D916A5">
              <w:rPr>
                <w:rFonts w:ascii="Arial Narrow" w:hAnsi="Arial Narrow" w:cs="Times New Roman"/>
                <w:sz w:val="20"/>
                <w:szCs w:val="22"/>
                <w:lang w:eastAsia="en-US"/>
              </w:rPr>
              <w:t>11.99%</w:t>
            </w:r>
          </w:p>
        </w:tc>
      </w:tr>
      <w:tr w:rsidR="00D916A5" w:rsidRPr="00D916A5" w:rsidTr="00E17CFC">
        <w:tc>
          <w:tcPr>
            <w:tcW w:w="4162" w:type="pct"/>
            <w:gridSpan w:val="3"/>
            <w:vAlign w:val="center"/>
          </w:tcPr>
          <w:p w:rsidR="00D916A5" w:rsidRPr="00D916A5" w:rsidRDefault="00D916A5" w:rsidP="005B1FDF">
            <w:pPr>
              <w:keepNext/>
              <w:keepLines/>
              <w:jc w:val="left"/>
              <w:rPr>
                <w:rFonts w:ascii="Times" w:hAnsi="Times" w:cs="Times New Roman"/>
                <w:snapToGrid w:val="0"/>
                <w:sz w:val="20"/>
                <w:szCs w:val="22"/>
                <w:lang w:eastAsia="en-US"/>
              </w:rPr>
            </w:pPr>
            <w:r w:rsidRPr="00D916A5">
              <w:rPr>
                <w:rFonts w:ascii="Arial Narrow" w:hAnsi="Arial Narrow" w:cs="Times New Roman"/>
                <w:sz w:val="20"/>
                <w:szCs w:val="22"/>
                <w:lang w:eastAsia="en-US"/>
              </w:rPr>
              <w:t>Cost per CDI recurrence avoided</w:t>
            </w:r>
          </w:p>
        </w:tc>
        <w:tc>
          <w:tcPr>
            <w:tcW w:w="838" w:type="pct"/>
            <w:vAlign w:val="center"/>
          </w:tcPr>
          <w:p w:rsidR="00D916A5" w:rsidRPr="00D916A5" w:rsidRDefault="00D916A5" w:rsidP="005B1FDF">
            <w:pPr>
              <w:keepNext/>
              <w:keepLines/>
              <w:jc w:val="center"/>
              <w:rPr>
                <w:rFonts w:ascii="Arial Narrow" w:hAnsi="Arial Narrow" w:cs="Times New Roman"/>
                <w:sz w:val="20"/>
                <w:szCs w:val="22"/>
                <w:lang w:eastAsia="en-US"/>
              </w:rPr>
            </w:pPr>
            <w:r w:rsidRPr="00D916A5">
              <w:rPr>
                <w:rFonts w:ascii="Arial Narrow" w:hAnsi="Arial Narrow" w:cs="Times New Roman"/>
                <w:sz w:val="20"/>
                <w:szCs w:val="22"/>
                <w:lang w:eastAsia="en-US"/>
              </w:rPr>
              <w:t>$</w:t>
            </w:r>
            <w:r w:rsidR="006F551D">
              <w:rPr>
                <w:rFonts w:ascii="Arial Narrow" w:hAnsi="Arial Narrow" w:cs="Times New Roman"/>
                <w:noProof/>
                <w:color w:val="000000"/>
                <w:sz w:val="20"/>
                <w:szCs w:val="22"/>
                <w:highlight w:val="black"/>
                <w:lang w:eastAsia="en-US"/>
              </w:rPr>
              <w:t>'''''''''''''</w:t>
            </w:r>
            <w:r w:rsidR="006F551D">
              <w:rPr>
                <w:rFonts w:ascii="Arial Narrow" w:hAnsi="Arial Narrow" w:cs="Times New Roman"/>
                <w:i/>
                <w:iCs/>
                <w:noProof/>
                <w:color w:val="000000"/>
                <w:sz w:val="20"/>
                <w:szCs w:val="22"/>
                <w:highlight w:val="black"/>
                <w:lang w:eastAsia="en-US"/>
              </w:rPr>
              <w:t>'''</w:t>
            </w:r>
          </w:p>
        </w:tc>
      </w:tr>
      <w:tr w:rsidR="00D916A5" w:rsidRPr="00D916A5" w:rsidTr="00E17CFC">
        <w:tc>
          <w:tcPr>
            <w:tcW w:w="5000" w:type="pct"/>
            <w:gridSpan w:val="4"/>
            <w:vAlign w:val="center"/>
          </w:tcPr>
          <w:p w:rsidR="00D916A5" w:rsidRPr="00D916A5" w:rsidRDefault="00D916A5" w:rsidP="005B1FDF">
            <w:pPr>
              <w:keepNext/>
              <w:keepLines/>
              <w:jc w:val="left"/>
              <w:rPr>
                <w:rFonts w:ascii="Arial Narrow" w:hAnsi="Arial Narrow" w:cs="Times New Roman"/>
                <w:b/>
                <w:snapToGrid w:val="0"/>
                <w:sz w:val="20"/>
                <w:szCs w:val="22"/>
                <w:lang w:eastAsia="en-US"/>
              </w:rPr>
            </w:pPr>
            <w:r w:rsidRPr="00D916A5">
              <w:rPr>
                <w:rFonts w:ascii="Arial Narrow" w:hAnsi="Arial Narrow" w:cs="Times New Roman"/>
                <w:b/>
                <w:snapToGrid w:val="0"/>
                <w:sz w:val="20"/>
                <w:szCs w:val="22"/>
                <w:lang w:eastAsia="en-US"/>
              </w:rPr>
              <w:t xml:space="preserve">Step 2: Used Markov model to determine </w:t>
            </w:r>
            <w:r w:rsidRPr="00D916A5">
              <w:rPr>
                <w:rFonts w:ascii="Arial Narrow" w:hAnsi="Arial Narrow" w:cs="Times New Roman"/>
                <w:b/>
                <w:sz w:val="20"/>
                <w:szCs w:val="22"/>
                <w:lang w:eastAsia="en-US"/>
              </w:rPr>
              <w:t>life years</w:t>
            </w:r>
          </w:p>
        </w:tc>
      </w:tr>
      <w:tr w:rsidR="00D916A5" w:rsidRPr="00D916A5" w:rsidTr="00E17CFC">
        <w:tc>
          <w:tcPr>
            <w:tcW w:w="1529" w:type="pct"/>
            <w:vAlign w:val="center"/>
          </w:tcPr>
          <w:p w:rsidR="00D916A5" w:rsidRPr="00D916A5" w:rsidRDefault="00D916A5" w:rsidP="005B1FDF">
            <w:pPr>
              <w:keepNext/>
              <w:keepLines/>
              <w:jc w:val="left"/>
              <w:rPr>
                <w:rFonts w:ascii="Times" w:hAnsi="Times" w:cs="Times New Roman"/>
                <w:sz w:val="20"/>
                <w:szCs w:val="22"/>
                <w:lang w:eastAsia="en-US"/>
              </w:rPr>
            </w:pPr>
            <w:r w:rsidRPr="00D916A5">
              <w:rPr>
                <w:rFonts w:ascii="Arial Narrow" w:hAnsi="Arial Narrow" w:cs="Times New Roman"/>
                <w:sz w:val="20"/>
                <w:szCs w:val="22"/>
                <w:lang w:eastAsia="en-US"/>
              </w:rPr>
              <w:t>Costs</w:t>
            </w:r>
          </w:p>
        </w:tc>
        <w:tc>
          <w:tcPr>
            <w:tcW w:w="1359" w:type="pct"/>
            <w:vAlign w:val="center"/>
          </w:tcPr>
          <w:p w:rsidR="00D916A5" w:rsidRPr="00D916A5" w:rsidRDefault="00D916A5" w:rsidP="005B1FDF">
            <w:pPr>
              <w:keepNext/>
              <w:keepLines/>
              <w:jc w:val="center"/>
              <w:rPr>
                <w:rFonts w:ascii="Times" w:hAnsi="Times" w:cs="Times New Roman"/>
                <w:sz w:val="20"/>
                <w:szCs w:val="22"/>
                <w:lang w:eastAsia="en-US"/>
              </w:rPr>
            </w:pPr>
            <w:r w:rsidRPr="00D916A5">
              <w:rPr>
                <w:rFonts w:ascii="Arial Narrow" w:hAnsi="Arial Narrow" w:cs="Times New Roman"/>
                <w:sz w:val="20"/>
                <w:szCs w:val="22"/>
                <w:lang w:eastAsia="en-US"/>
              </w:rPr>
              <w:t>$</w:t>
            </w:r>
            <w:r w:rsidR="006F551D">
              <w:rPr>
                <w:rFonts w:ascii="Arial Narrow" w:hAnsi="Arial Narrow" w:cs="Times New Roman"/>
                <w:noProof/>
                <w:color w:val="000000"/>
                <w:sz w:val="20"/>
                <w:szCs w:val="22"/>
                <w:highlight w:val="black"/>
                <w:lang w:eastAsia="en-US"/>
              </w:rPr>
              <w:t>'''''''''''''''''''</w:t>
            </w:r>
          </w:p>
        </w:tc>
        <w:tc>
          <w:tcPr>
            <w:tcW w:w="1274" w:type="pct"/>
            <w:vAlign w:val="center"/>
          </w:tcPr>
          <w:p w:rsidR="00D916A5" w:rsidRPr="00D916A5" w:rsidRDefault="00D916A5" w:rsidP="005B1FDF">
            <w:pPr>
              <w:keepNext/>
              <w:keepLines/>
              <w:jc w:val="center"/>
              <w:rPr>
                <w:rFonts w:ascii="Times" w:hAnsi="Times" w:cs="Times New Roman"/>
                <w:sz w:val="20"/>
                <w:szCs w:val="22"/>
                <w:lang w:eastAsia="en-US"/>
              </w:rPr>
            </w:pPr>
            <w:r w:rsidRPr="00D916A5">
              <w:rPr>
                <w:rFonts w:ascii="Arial Narrow" w:hAnsi="Arial Narrow" w:cs="Times New Roman"/>
                <w:sz w:val="20"/>
                <w:szCs w:val="22"/>
                <w:lang w:eastAsia="en-US"/>
              </w:rPr>
              <w:t>$</w:t>
            </w:r>
            <w:r w:rsidR="006F551D">
              <w:rPr>
                <w:rFonts w:ascii="Arial Narrow" w:hAnsi="Arial Narrow" w:cs="Times New Roman"/>
                <w:noProof/>
                <w:color w:val="000000"/>
                <w:sz w:val="20"/>
                <w:szCs w:val="22"/>
                <w:highlight w:val="black"/>
                <w:lang w:eastAsia="en-US"/>
              </w:rPr>
              <w:t>'''''''''''''''''''</w:t>
            </w:r>
          </w:p>
        </w:tc>
        <w:tc>
          <w:tcPr>
            <w:tcW w:w="838" w:type="pct"/>
            <w:vAlign w:val="center"/>
          </w:tcPr>
          <w:p w:rsidR="00D916A5" w:rsidRPr="00D916A5" w:rsidRDefault="00D916A5" w:rsidP="005B1FDF">
            <w:pPr>
              <w:keepNext/>
              <w:keepLines/>
              <w:jc w:val="center"/>
              <w:rPr>
                <w:rFonts w:ascii="Times" w:hAnsi="Times" w:cs="Times New Roman"/>
                <w:sz w:val="20"/>
                <w:szCs w:val="22"/>
                <w:lang w:eastAsia="en-US"/>
              </w:rPr>
            </w:pPr>
            <w:r w:rsidRPr="00D916A5">
              <w:rPr>
                <w:rFonts w:ascii="Arial Narrow" w:hAnsi="Arial Narrow" w:cs="Times New Roman"/>
                <w:sz w:val="20"/>
                <w:szCs w:val="22"/>
                <w:lang w:eastAsia="en-US"/>
              </w:rPr>
              <w:t>$</w:t>
            </w:r>
            <w:r w:rsidR="006F551D">
              <w:rPr>
                <w:rFonts w:ascii="Arial Narrow" w:hAnsi="Arial Narrow" w:cs="Times New Roman"/>
                <w:noProof/>
                <w:color w:val="000000"/>
                <w:sz w:val="20"/>
                <w:szCs w:val="22"/>
                <w:highlight w:val="black"/>
                <w:lang w:eastAsia="en-US"/>
              </w:rPr>
              <w:t>'''''''''''''''</w:t>
            </w:r>
          </w:p>
        </w:tc>
      </w:tr>
      <w:tr w:rsidR="00D916A5" w:rsidRPr="00D916A5" w:rsidTr="00E17CFC">
        <w:tc>
          <w:tcPr>
            <w:tcW w:w="1529" w:type="pct"/>
            <w:vAlign w:val="center"/>
          </w:tcPr>
          <w:p w:rsidR="00D916A5" w:rsidRPr="00D916A5" w:rsidRDefault="00D916A5" w:rsidP="005B1FDF">
            <w:pPr>
              <w:keepNext/>
              <w:keepLines/>
              <w:jc w:val="left"/>
              <w:rPr>
                <w:rFonts w:ascii="Times" w:hAnsi="Times" w:cs="Times New Roman"/>
                <w:sz w:val="20"/>
                <w:szCs w:val="22"/>
                <w:lang w:eastAsia="en-US"/>
              </w:rPr>
            </w:pPr>
            <w:r w:rsidRPr="00D916A5">
              <w:rPr>
                <w:rFonts w:ascii="Arial Narrow" w:hAnsi="Arial Narrow" w:cs="Times New Roman"/>
                <w:sz w:val="20"/>
                <w:szCs w:val="22"/>
                <w:lang w:eastAsia="en-US"/>
              </w:rPr>
              <w:t>Outcomes (life years)</w:t>
            </w:r>
          </w:p>
        </w:tc>
        <w:tc>
          <w:tcPr>
            <w:tcW w:w="1359" w:type="pct"/>
            <w:vAlign w:val="center"/>
          </w:tcPr>
          <w:p w:rsidR="00D916A5" w:rsidRPr="00D916A5" w:rsidRDefault="00D916A5" w:rsidP="005B1FDF">
            <w:pPr>
              <w:keepNext/>
              <w:keepLines/>
              <w:jc w:val="center"/>
              <w:rPr>
                <w:rFonts w:ascii="Times" w:hAnsi="Times" w:cs="Times New Roman"/>
                <w:sz w:val="20"/>
                <w:szCs w:val="22"/>
                <w:lang w:eastAsia="en-US"/>
              </w:rPr>
            </w:pPr>
            <w:r w:rsidRPr="00D916A5">
              <w:rPr>
                <w:rFonts w:ascii="Arial Narrow" w:hAnsi="Arial Narrow" w:cs="Times New Roman"/>
                <w:sz w:val="20"/>
                <w:szCs w:val="22"/>
                <w:lang w:eastAsia="en-US"/>
              </w:rPr>
              <w:t>5.8613</w:t>
            </w:r>
          </w:p>
        </w:tc>
        <w:tc>
          <w:tcPr>
            <w:tcW w:w="1274" w:type="pct"/>
            <w:vAlign w:val="center"/>
          </w:tcPr>
          <w:p w:rsidR="00D916A5" w:rsidRPr="00D916A5" w:rsidRDefault="00D916A5" w:rsidP="005B1FDF">
            <w:pPr>
              <w:keepNext/>
              <w:keepLines/>
              <w:jc w:val="center"/>
              <w:rPr>
                <w:rFonts w:ascii="Times" w:hAnsi="Times" w:cs="Times New Roman"/>
                <w:sz w:val="20"/>
                <w:szCs w:val="22"/>
                <w:lang w:eastAsia="en-US"/>
              </w:rPr>
            </w:pPr>
            <w:r w:rsidRPr="00D916A5">
              <w:rPr>
                <w:rFonts w:ascii="Arial Narrow" w:hAnsi="Arial Narrow" w:cs="Times New Roman"/>
                <w:sz w:val="20"/>
                <w:szCs w:val="22"/>
                <w:lang w:eastAsia="en-US"/>
              </w:rPr>
              <w:t>5.8527</w:t>
            </w:r>
          </w:p>
        </w:tc>
        <w:tc>
          <w:tcPr>
            <w:tcW w:w="838" w:type="pct"/>
            <w:vAlign w:val="center"/>
          </w:tcPr>
          <w:p w:rsidR="00D916A5" w:rsidRPr="00D916A5" w:rsidRDefault="00D916A5" w:rsidP="005B1FDF">
            <w:pPr>
              <w:keepNext/>
              <w:keepLines/>
              <w:jc w:val="center"/>
              <w:rPr>
                <w:rFonts w:ascii="Arial Narrow" w:hAnsi="Arial Narrow" w:cs="Times New Roman"/>
                <w:sz w:val="20"/>
                <w:szCs w:val="22"/>
                <w:lang w:eastAsia="en-US"/>
              </w:rPr>
            </w:pPr>
            <w:r w:rsidRPr="00D916A5">
              <w:rPr>
                <w:rFonts w:ascii="Arial Narrow" w:hAnsi="Arial Narrow" w:cs="Times New Roman"/>
                <w:sz w:val="20"/>
                <w:szCs w:val="22"/>
                <w:lang w:eastAsia="en-US"/>
              </w:rPr>
              <w:t>0.0086</w:t>
            </w:r>
          </w:p>
        </w:tc>
      </w:tr>
      <w:tr w:rsidR="00D916A5" w:rsidRPr="00D916A5" w:rsidTr="00E17CFC">
        <w:tc>
          <w:tcPr>
            <w:tcW w:w="4162" w:type="pct"/>
            <w:gridSpan w:val="3"/>
            <w:vAlign w:val="center"/>
          </w:tcPr>
          <w:p w:rsidR="00D916A5" w:rsidRPr="00D916A5" w:rsidRDefault="00D916A5" w:rsidP="005B1FDF">
            <w:pPr>
              <w:keepNext/>
              <w:keepLines/>
              <w:jc w:val="left"/>
              <w:rPr>
                <w:rFonts w:ascii="Times" w:hAnsi="Times" w:cs="Times New Roman"/>
                <w:snapToGrid w:val="0"/>
                <w:sz w:val="20"/>
                <w:szCs w:val="22"/>
                <w:lang w:eastAsia="en-US"/>
              </w:rPr>
            </w:pPr>
            <w:r w:rsidRPr="00D916A5">
              <w:rPr>
                <w:rFonts w:ascii="Arial Narrow" w:hAnsi="Arial Narrow" w:cs="Times New Roman"/>
                <w:sz w:val="20"/>
                <w:szCs w:val="22"/>
                <w:lang w:eastAsia="en-US"/>
              </w:rPr>
              <w:t>Cost per life year gained</w:t>
            </w:r>
          </w:p>
        </w:tc>
        <w:tc>
          <w:tcPr>
            <w:tcW w:w="838" w:type="pct"/>
            <w:vAlign w:val="center"/>
          </w:tcPr>
          <w:p w:rsidR="00D916A5" w:rsidRPr="00D916A5" w:rsidRDefault="00D916A5" w:rsidP="005B1FDF">
            <w:pPr>
              <w:keepNext/>
              <w:keepLines/>
              <w:jc w:val="center"/>
              <w:rPr>
                <w:rFonts w:ascii="Times" w:hAnsi="Times" w:cs="Times New Roman"/>
                <w:sz w:val="20"/>
                <w:szCs w:val="22"/>
                <w:lang w:eastAsia="en-US"/>
              </w:rPr>
            </w:pPr>
            <w:r w:rsidRPr="00D916A5">
              <w:rPr>
                <w:rFonts w:ascii="Arial Narrow" w:hAnsi="Arial Narrow" w:cs="Times New Roman"/>
                <w:sz w:val="20"/>
                <w:szCs w:val="22"/>
                <w:lang w:eastAsia="en-US"/>
              </w:rPr>
              <w:t>$</w:t>
            </w:r>
            <w:r w:rsidR="006F551D">
              <w:rPr>
                <w:rFonts w:ascii="Arial Narrow" w:hAnsi="Arial Narrow" w:cs="Times New Roman"/>
                <w:noProof/>
                <w:color w:val="000000"/>
                <w:sz w:val="20"/>
                <w:szCs w:val="22"/>
                <w:highlight w:val="black"/>
                <w:lang w:eastAsia="en-US"/>
              </w:rPr>
              <w:t>''''''''''''''''</w:t>
            </w:r>
          </w:p>
        </w:tc>
      </w:tr>
      <w:tr w:rsidR="00D916A5" w:rsidRPr="00D916A5" w:rsidTr="00E17CFC">
        <w:tc>
          <w:tcPr>
            <w:tcW w:w="5000" w:type="pct"/>
            <w:gridSpan w:val="4"/>
            <w:vAlign w:val="center"/>
          </w:tcPr>
          <w:p w:rsidR="00D916A5" w:rsidRPr="00D916A5" w:rsidRDefault="00D916A5" w:rsidP="005B1FDF">
            <w:pPr>
              <w:keepNext/>
              <w:keepLines/>
              <w:jc w:val="left"/>
              <w:rPr>
                <w:rFonts w:ascii="Arial Narrow" w:hAnsi="Arial Narrow" w:cs="Times New Roman"/>
                <w:b/>
                <w:snapToGrid w:val="0"/>
                <w:sz w:val="20"/>
                <w:szCs w:val="22"/>
                <w:lang w:eastAsia="en-US"/>
              </w:rPr>
            </w:pPr>
            <w:r w:rsidRPr="00D916A5">
              <w:rPr>
                <w:rFonts w:ascii="Arial Narrow" w:hAnsi="Arial Narrow" w:cs="Times New Roman"/>
                <w:b/>
                <w:snapToGrid w:val="0"/>
                <w:sz w:val="20"/>
                <w:szCs w:val="22"/>
                <w:lang w:eastAsia="en-US"/>
              </w:rPr>
              <w:t>Step 3: Applied utility weights to Markov model to determine QALYs</w:t>
            </w:r>
          </w:p>
        </w:tc>
      </w:tr>
      <w:tr w:rsidR="00D916A5" w:rsidRPr="00D916A5" w:rsidTr="00E17CFC">
        <w:tc>
          <w:tcPr>
            <w:tcW w:w="1529" w:type="pct"/>
            <w:vAlign w:val="center"/>
          </w:tcPr>
          <w:p w:rsidR="00D916A5" w:rsidRPr="00D916A5" w:rsidRDefault="00D916A5" w:rsidP="005B1FDF">
            <w:pPr>
              <w:keepNext/>
              <w:keepLines/>
              <w:jc w:val="left"/>
              <w:rPr>
                <w:rFonts w:ascii="Times" w:hAnsi="Times" w:cs="Times New Roman"/>
                <w:sz w:val="20"/>
                <w:szCs w:val="22"/>
                <w:lang w:eastAsia="en-US"/>
              </w:rPr>
            </w:pPr>
            <w:r w:rsidRPr="00D916A5">
              <w:rPr>
                <w:rFonts w:ascii="Arial Narrow" w:hAnsi="Arial Narrow" w:cs="Times New Roman"/>
                <w:sz w:val="20"/>
                <w:szCs w:val="22"/>
                <w:lang w:eastAsia="en-US"/>
              </w:rPr>
              <w:t>Costs</w:t>
            </w:r>
          </w:p>
        </w:tc>
        <w:tc>
          <w:tcPr>
            <w:tcW w:w="1359" w:type="pct"/>
            <w:vAlign w:val="center"/>
          </w:tcPr>
          <w:p w:rsidR="00D916A5" w:rsidRPr="00D916A5" w:rsidRDefault="00D916A5" w:rsidP="005B1FDF">
            <w:pPr>
              <w:keepNext/>
              <w:keepLines/>
              <w:jc w:val="center"/>
              <w:rPr>
                <w:rFonts w:ascii="Times" w:hAnsi="Times" w:cs="Times New Roman"/>
                <w:sz w:val="20"/>
                <w:szCs w:val="22"/>
                <w:lang w:eastAsia="en-US"/>
              </w:rPr>
            </w:pPr>
            <w:r w:rsidRPr="00D916A5">
              <w:rPr>
                <w:rFonts w:ascii="Arial Narrow" w:hAnsi="Arial Narrow" w:cs="Times New Roman"/>
                <w:sz w:val="20"/>
                <w:szCs w:val="22"/>
                <w:lang w:eastAsia="en-US"/>
              </w:rPr>
              <w:t>$</w:t>
            </w:r>
            <w:r w:rsidR="006F551D">
              <w:rPr>
                <w:rFonts w:ascii="Arial Narrow" w:hAnsi="Arial Narrow" w:cs="Times New Roman"/>
                <w:noProof/>
                <w:color w:val="000000"/>
                <w:sz w:val="20"/>
                <w:szCs w:val="22"/>
                <w:highlight w:val="black"/>
                <w:lang w:eastAsia="en-US"/>
              </w:rPr>
              <w:t>''''''''''''''''''''</w:t>
            </w:r>
          </w:p>
        </w:tc>
        <w:tc>
          <w:tcPr>
            <w:tcW w:w="1274" w:type="pct"/>
            <w:vAlign w:val="center"/>
          </w:tcPr>
          <w:p w:rsidR="00D916A5" w:rsidRPr="00D916A5" w:rsidRDefault="00D916A5" w:rsidP="005B1FDF">
            <w:pPr>
              <w:keepNext/>
              <w:keepLines/>
              <w:jc w:val="center"/>
              <w:rPr>
                <w:rFonts w:ascii="Times" w:hAnsi="Times" w:cs="Times New Roman"/>
                <w:sz w:val="20"/>
                <w:szCs w:val="22"/>
                <w:lang w:eastAsia="en-US"/>
              </w:rPr>
            </w:pPr>
            <w:r w:rsidRPr="00D916A5">
              <w:rPr>
                <w:rFonts w:ascii="Arial Narrow" w:hAnsi="Arial Narrow" w:cs="Times New Roman"/>
                <w:sz w:val="20"/>
                <w:szCs w:val="22"/>
                <w:lang w:eastAsia="en-US"/>
              </w:rPr>
              <w:t>$</w:t>
            </w:r>
            <w:r w:rsidR="006F551D">
              <w:rPr>
                <w:rFonts w:ascii="Arial Narrow" w:hAnsi="Arial Narrow" w:cs="Times New Roman"/>
                <w:noProof/>
                <w:color w:val="000000"/>
                <w:sz w:val="20"/>
                <w:szCs w:val="22"/>
                <w:highlight w:val="black"/>
                <w:lang w:eastAsia="en-US"/>
              </w:rPr>
              <w:t>'''''''''''''''''''</w:t>
            </w:r>
          </w:p>
        </w:tc>
        <w:tc>
          <w:tcPr>
            <w:tcW w:w="838" w:type="pct"/>
            <w:vAlign w:val="center"/>
          </w:tcPr>
          <w:p w:rsidR="00D916A5" w:rsidRPr="00D916A5" w:rsidRDefault="00D916A5" w:rsidP="005B1FDF">
            <w:pPr>
              <w:keepNext/>
              <w:keepLines/>
              <w:jc w:val="center"/>
              <w:rPr>
                <w:rFonts w:ascii="Times" w:hAnsi="Times" w:cs="Times New Roman"/>
                <w:sz w:val="20"/>
                <w:szCs w:val="22"/>
                <w:lang w:eastAsia="en-US"/>
              </w:rPr>
            </w:pPr>
            <w:r w:rsidRPr="00D916A5">
              <w:rPr>
                <w:rFonts w:ascii="Arial Narrow" w:hAnsi="Arial Narrow" w:cs="Times New Roman"/>
                <w:sz w:val="20"/>
                <w:szCs w:val="22"/>
                <w:lang w:eastAsia="en-US"/>
              </w:rPr>
              <w:t>$</w:t>
            </w:r>
            <w:r w:rsidR="006F551D">
              <w:rPr>
                <w:rFonts w:ascii="Arial Narrow" w:hAnsi="Arial Narrow" w:cs="Times New Roman"/>
                <w:noProof/>
                <w:color w:val="000000"/>
                <w:sz w:val="20"/>
                <w:szCs w:val="22"/>
                <w:highlight w:val="black"/>
                <w:lang w:eastAsia="en-US"/>
              </w:rPr>
              <w:t>''''''''''''''''</w:t>
            </w:r>
          </w:p>
        </w:tc>
      </w:tr>
      <w:tr w:rsidR="00D916A5" w:rsidRPr="00D916A5" w:rsidTr="00E17CFC">
        <w:tc>
          <w:tcPr>
            <w:tcW w:w="1529" w:type="pct"/>
            <w:vAlign w:val="center"/>
          </w:tcPr>
          <w:p w:rsidR="00D916A5" w:rsidRPr="00D916A5" w:rsidRDefault="00D916A5" w:rsidP="005B1FDF">
            <w:pPr>
              <w:keepNext/>
              <w:keepLines/>
              <w:jc w:val="left"/>
              <w:rPr>
                <w:rFonts w:ascii="Times" w:hAnsi="Times" w:cs="Times New Roman"/>
                <w:sz w:val="20"/>
                <w:szCs w:val="22"/>
                <w:lang w:eastAsia="en-US"/>
              </w:rPr>
            </w:pPr>
            <w:r w:rsidRPr="00D916A5">
              <w:rPr>
                <w:rFonts w:ascii="Arial Narrow" w:hAnsi="Arial Narrow" w:cs="Times New Roman"/>
                <w:sz w:val="20"/>
                <w:szCs w:val="22"/>
                <w:lang w:eastAsia="en-US"/>
              </w:rPr>
              <w:t>QALYs</w:t>
            </w:r>
          </w:p>
        </w:tc>
        <w:tc>
          <w:tcPr>
            <w:tcW w:w="1359" w:type="pct"/>
            <w:vAlign w:val="center"/>
          </w:tcPr>
          <w:p w:rsidR="00D916A5" w:rsidRPr="00D916A5" w:rsidRDefault="00D916A5" w:rsidP="005B1FDF">
            <w:pPr>
              <w:keepNext/>
              <w:keepLines/>
              <w:jc w:val="center"/>
              <w:rPr>
                <w:rFonts w:ascii="Times" w:hAnsi="Times" w:cs="Times New Roman"/>
                <w:sz w:val="20"/>
                <w:szCs w:val="22"/>
                <w:lang w:eastAsia="en-US"/>
              </w:rPr>
            </w:pPr>
            <w:r w:rsidRPr="00D916A5">
              <w:rPr>
                <w:rFonts w:ascii="Arial Narrow" w:hAnsi="Arial Narrow" w:cs="Times New Roman"/>
                <w:sz w:val="20"/>
                <w:szCs w:val="22"/>
                <w:lang w:eastAsia="en-US"/>
              </w:rPr>
              <w:t>4.5402</w:t>
            </w:r>
          </w:p>
        </w:tc>
        <w:tc>
          <w:tcPr>
            <w:tcW w:w="1274" w:type="pct"/>
            <w:vAlign w:val="center"/>
          </w:tcPr>
          <w:p w:rsidR="00D916A5" w:rsidRPr="00D916A5" w:rsidRDefault="00D916A5" w:rsidP="005B1FDF">
            <w:pPr>
              <w:keepNext/>
              <w:keepLines/>
              <w:jc w:val="center"/>
              <w:rPr>
                <w:rFonts w:ascii="Times" w:hAnsi="Times" w:cs="Times New Roman"/>
                <w:sz w:val="20"/>
                <w:szCs w:val="22"/>
                <w:lang w:eastAsia="en-US"/>
              </w:rPr>
            </w:pPr>
            <w:r w:rsidRPr="00D916A5">
              <w:rPr>
                <w:rFonts w:ascii="Arial Narrow" w:hAnsi="Arial Narrow" w:cs="Times New Roman"/>
                <w:sz w:val="20"/>
                <w:szCs w:val="22"/>
                <w:lang w:eastAsia="en-US"/>
              </w:rPr>
              <w:t>4.5317</w:t>
            </w:r>
          </w:p>
        </w:tc>
        <w:tc>
          <w:tcPr>
            <w:tcW w:w="838" w:type="pct"/>
            <w:vAlign w:val="center"/>
          </w:tcPr>
          <w:p w:rsidR="00D916A5" w:rsidRPr="00D916A5" w:rsidRDefault="00D916A5" w:rsidP="005B1FDF">
            <w:pPr>
              <w:keepNext/>
              <w:keepLines/>
              <w:jc w:val="center"/>
              <w:rPr>
                <w:rFonts w:ascii="Arial Narrow" w:hAnsi="Arial Narrow" w:cs="Times New Roman"/>
                <w:sz w:val="20"/>
                <w:szCs w:val="22"/>
                <w:lang w:eastAsia="en-US"/>
              </w:rPr>
            </w:pPr>
            <w:r w:rsidRPr="00D916A5">
              <w:rPr>
                <w:rFonts w:ascii="Arial Narrow" w:hAnsi="Arial Narrow" w:cs="Times New Roman"/>
                <w:sz w:val="20"/>
                <w:szCs w:val="22"/>
                <w:lang w:eastAsia="en-US"/>
              </w:rPr>
              <w:t>0.0085</w:t>
            </w:r>
          </w:p>
        </w:tc>
      </w:tr>
      <w:tr w:rsidR="00D916A5" w:rsidRPr="00D916A5" w:rsidTr="00E17CFC">
        <w:tc>
          <w:tcPr>
            <w:tcW w:w="4162" w:type="pct"/>
            <w:gridSpan w:val="3"/>
            <w:vAlign w:val="center"/>
          </w:tcPr>
          <w:p w:rsidR="00D916A5" w:rsidRPr="00D916A5" w:rsidRDefault="00D916A5" w:rsidP="005B1FDF">
            <w:pPr>
              <w:keepNext/>
              <w:keepLines/>
              <w:jc w:val="left"/>
              <w:rPr>
                <w:rFonts w:ascii="Arial Narrow" w:hAnsi="Arial Narrow" w:cs="Times New Roman"/>
                <w:sz w:val="20"/>
                <w:szCs w:val="22"/>
                <w:lang w:eastAsia="en-US"/>
              </w:rPr>
            </w:pPr>
            <w:r w:rsidRPr="00D916A5">
              <w:rPr>
                <w:rFonts w:ascii="Arial Narrow" w:hAnsi="Arial Narrow" w:cs="Times New Roman"/>
                <w:b/>
                <w:sz w:val="20"/>
                <w:szCs w:val="22"/>
                <w:lang w:eastAsia="en-US"/>
              </w:rPr>
              <w:t>Cost per QALY gained (base case)</w:t>
            </w:r>
          </w:p>
        </w:tc>
        <w:tc>
          <w:tcPr>
            <w:tcW w:w="838" w:type="pct"/>
            <w:vAlign w:val="center"/>
          </w:tcPr>
          <w:p w:rsidR="00D916A5" w:rsidRPr="00D916A5" w:rsidRDefault="00D916A5" w:rsidP="005B1FDF">
            <w:pPr>
              <w:keepNext/>
              <w:keepLines/>
              <w:jc w:val="center"/>
              <w:rPr>
                <w:rFonts w:ascii="Arial Narrow" w:hAnsi="Arial Narrow" w:cs="Times New Roman"/>
                <w:sz w:val="20"/>
                <w:szCs w:val="22"/>
                <w:lang w:eastAsia="en-US"/>
              </w:rPr>
            </w:pPr>
            <w:r w:rsidRPr="00D916A5">
              <w:rPr>
                <w:rFonts w:ascii="Arial Narrow" w:hAnsi="Arial Narrow" w:cs="Times New Roman"/>
                <w:b/>
                <w:sz w:val="20"/>
                <w:szCs w:val="22"/>
                <w:lang w:eastAsia="en-US"/>
              </w:rPr>
              <w:t>$</w:t>
            </w:r>
            <w:r w:rsidR="006F551D">
              <w:rPr>
                <w:rFonts w:ascii="Arial Narrow" w:hAnsi="Arial Narrow" w:cs="Times New Roman"/>
                <w:b/>
                <w:noProof/>
                <w:color w:val="000000"/>
                <w:sz w:val="20"/>
                <w:szCs w:val="22"/>
                <w:highlight w:val="black"/>
                <w:lang w:eastAsia="en-US"/>
              </w:rPr>
              <w:t>'''''''''''''</w:t>
            </w:r>
          </w:p>
        </w:tc>
      </w:tr>
      <w:tr w:rsidR="00D916A5" w:rsidRPr="00EF7DC0" w:rsidTr="00E17CFC">
        <w:tc>
          <w:tcPr>
            <w:tcW w:w="5000" w:type="pct"/>
            <w:gridSpan w:val="4"/>
            <w:shd w:val="clear" w:color="auto" w:fill="B8CCE4" w:themeFill="accent1" w:themeFillTint="66"/>
            <w:vAlign w:val="center"/>
          </w:tcPr>
          <w:p w:rsidR="00D916A5" w:rsidRPr="00D916A5" w:rsidRDefault="00D916A5" w:rsidP="005B1FDF">
            <w:pPr>
              <w:keepNext/>
              <w:keepLines/>
              <w:jc w:val="left"/>
              <w:rPr>
                <w:rFonts w:ascii="Arial Narrow" w:hAnsi="Arial Narrow" w:cs="Times New Roman"/>
                <w:sz w:val="20"/>
                <w:szCs w:val="22"/>
                <w:lang w:eastAsia="en-US"/>
              </w:rPr>
            </w:pPr>
            <w:r w:rsidRPr="00D916A5">
              <w:rPr>
                <w:rFonts w:ascii="Arial Narrow" w:hAnsi="Arial Narrow" w:cs="Times New Roman"/>
                <w:b/>
                <w:snapToGrid w:val="0"/>
                <w:sz w:val="20"/>
                <w:szCs w:val="22"/>
                <w:lang w:eastAsia="en-US"/>
              </w:rPr>
              <w:t>Step 3: Applied utility weights to Markov model to determine QALYs – July 2019 resubmission</w:t>
            </w:r>
          </w:p>
        </w:tc>
      </w:tr>
      <w:tr w:rsidR="00D916A5" w:rsidRPr="00EF7DC0" w:rsidTr="00E17CFC">
        <w:tc>
          <w:tcPr>
            <w:tcW w:w="1529" w:type="pct"/>
            <w:shd w:val="clear" w:color="auto" w:fill="B8CCE4" w:themeFill="accent1" w:themeFillTint="66"/>
            <w:vAlign w:val="center"/>
          </w:tcPr>
          <w:p w:rsidR="00D916A5" w:rsidRPr="00D916A5" w:rsidRDefault="00D916A5" w:rsidP="005B1FDF">
            <w:pPr>
              <w:keepNext/>
              <w:keepLines/>
              <w:jc w:val="left"/>
              <w:rPr>
                <w:rFonts w:ascii="Arial Narrow" w:hAnsi="Arial Narrow" w:cs="Times New Roman"/>
                <w:sz w:val="20"/>
                <w:szCs w:val="20"/>
                <w:lang w:eastAsia="en-US"/>
              </w:rPr>
            </w:pPr>
            <w:r w:rsidRPr="00D916A5">
              <w:rPr>
                <w:rFonts w:ascii="Arial Narrow" w:hAnsi="Arial Narrow"/>
                <w:sz w:val="20"/>
                <w:szCs w:val="20"/>
              </w:rPr>
              <w:t>Costs</w:t>
            </w:r>
          </w:p>
        </w:tc>
        <w:tc>
          <w:tcPr>
            <w:tcW w:w="1359" w:type="pct"/>
            <w:shd w:val="clear" w:color="auto" w:fill="B8CCE4" w:themeFill="accent1" w:themeFillTint="66"/>
            <w:vAlign w:val="center"/>
          </w:tcPr>
          <w:p w:rsidR="00D916A5" w:rsidRPr="00D916A5" w:rsidRDefault="00D916A5" w:rsidP="005B1FDF">
            <w:pPr>
              <w:keepNext/>
              <w:keepLines/>
              <w:jc w:val="center"/>
              <w:rPr>
                <w:rFonts w:ascii="Arial Narrow" w:hAnsi="Arial Narrow" w:cs="Times New Roman"/>
                <w:sz w:val="20"/>
                <w:szCs w:val="20"/>
                <w:lang w:eastAsia="en-US"/>
              </w:rPr>
            </w:pPr>
            <w:r w:rsidRPr="00D916A5">
              <w:rPr>
                <w:rFonts w:ascii="Arial Narrow" w:hAnsi="Arial Narrow"/>
                <w:sz w:val="20"/>
                <w:szCs w:val="20"/>
              </w:rPr>
              <w:t>$</w:t>
            </w:r>
            <w:r w:rsidR="006F551D">
              <w:rPr>
                <w:rFonts w:ascii="Arial Narrow" w:hAnsi="Arial Narrow"/>
                <w:noProof/>
                <w:color w:val="000000"/>
                <w:sz w:val="20"/>
                <w:szCs w:val="20"/>
                <w:highlight w:val="black"/>
              </w:rPr>
              <w:t>'''''''''''''''''''''</w:t>
            </w:r>
          </w:p>
        </w:tc>
        <w:tc>
          <w:tcPr>
            <w:tcW w:w="1274" w:type="pct"/>
            <w:shd w:val="clear" w:color="auto" w:fill="B8CCE4" w:themeFill="accent1" w:themeFillTint="66"/>
            <w:vAlign w:val="center"/>
          </w:tcPr>
          <w:p w:rsidR="00D916A5" w:rsidRPr="00D916A5" w:rsidRDefault="00D916A5" w:rsidP="005B1FDF">
            <w:pPr>
              <w:keepNext/>
              <w:keepLines/>
              <w:jc w:val="center"/>
              <w:rPr>
                <w:rFonts w:ascii="Arial Narrow" w:hAnsi="Arial Narrow" w:cs="Times New Roman"/>
                <w:sz w:val="20"/>
                <w:szCs w:val="20"/>
                <w:lang w:eastAsia="en-US"/>
              </w:rPr>
            </w:pPr>
            <w:r w:rsidRPr="00D916A5">
              <w:rPr>
                <w:rFonts w:ascii="Arial Narrow" w:hAnsi="Arial Narrow"/>
                <w:sz w:val="20"/>
                <w:szCs w:val="20"/>
              </w:rPr>
              <w:t>$</w:t>
            </w:r>
            <w:r w:rsidR="006F551D">
              <w:rPr>
                <w:rFonts w:ascii="Arial Narrow" w:hAnsi="Arial Narrow"/>
                <w:noProof/>
                <w:color w:val="000000"/>
                <w:sz w:val="20"/>
                <w:szCs w:val="20"/>
                <w:highlight w:val="black"/>
              </w:rPr>
              <w:t>'''''''''''''''''''''</w:t>
            </w:r>
          </w:p>
        </w:tc>
        <w:tc>
          <w:tcPr>
            <w:tcW w:w="838" w:type="pct"/>
            <w:shd w:val="clear" w:color="auto" w:fill="B8CCE4" w:themeFill="accent1" w:themeFillTint="66"/>
            <w:vAlign w:val="center"/>
          </w:tcPr>
          <w:p w:rsidR="00D916A5" w:rsidRPr="00D916A5" w:rsidRDefault="00D916A5" w:rsidP="005B1FDF">
            <w:pPr>
              <w:keepNext/>
              <w:keepLines/>
              <w:jc w:val="center"/>
              <w:rPr>
                <w:rFonts w:ascii="Arial Narrow" w:hAnsi="Arial Narrow" w:cs="Times New Roman"/>
                <w:sz w:val="20"/>
                <w:szCs w:val="20"/>
                <w:lang w:eastAsia="en-US"/>
              </w:rPr>
            </w:pPr>
            <w:r w:rsidRPr="00D916A5">
              <w:rPr>
                <w:rFonts w:ascii="Arial Narrow" w:hAnsi="Arial Narrow"/>
                <w:sz w:val="20"/>
                <w:szCs w:val="20"/>
              </w:rPr>
              <w:t>$</w:t>
            </w:r>
            <w:r w:rsidR="006F551D">
              <w:rPr>
                <w:rFonts w:ascii="Arial Narrow" w:hAnsi="Arial Narrow"/>
                <w:noProof/>
                <w:color w:val="000000"/>
                <w:sz w:val="20"/>
                <w:szCs w:val="20"/>
                <w:highlight w:val="black"/>
              </w:rPr>
              <w:t>'''''''''''''''</w:t>
            </w:r>
          </w:p>
        </w:tc>
      </w:tr>
      <w:tr w:rsidR="00D916A5" w:rsidRPr="00EF7DC0" w:rsidTr="00E17CFC">
        <w:tc>
          <w:tcPr>
            <w:tcW w:w="1529" w:type="pct"/>
            <w:shd w:val="clear" w:color="auto" w:fill="B8CCE4" w:themeFill="accent1" w:themeFillTint="66"/>
            <w:vAlign w:val="center"/>
          </w:tcPr>
          <w:p w:rsidR="00D916A5" w:rsidRPr="00D916A5" w:rsidRDefault="00D916A5" w:rsidP="005B1FDF">
            <w:pPr>
              <w:keepNext/>
              <w:keepLines/>
              <w:jc w:val="left"/>
              <w:rPr>
                <w:rFonts w:ascii="Arial Narrow" w:hAnsi="Arial Narrow" w:cs="Times New Roman"/>
                <w:sz w:val="20"/>
                <w:szCs w:val="20"/>
                <w:lang w:eastAsia="en-US"/>
              </w:rPr>
            </w:pPr>
            <w:r w:rsidRPr="00D916A5">
              <w:rPr>
                <w:rFonts w:ascii="Arial Narrow" w:hAnsi="Arial Narrow"/>
                <w:sz w:val="20"/>
                <w:szCs w:val="20"/>
              </w:rPr>
              <w:t>QALYs</w:t>
            </w:r>
          </w:p>
        </w:tc>
        <w:tc>
          <w:tcPr>
            <w:tcW w:w="1359" w:type="pct"/>
            <w:shd w:val="clear" w:color="auto" w:fill="B8CCE4" w:themeFill="accent1" w:themeFillTint="66"/>
            <w:vAlign w:val="center"/>
          </w:tcPr>
          <w:p w:rsidR="00D916A5" w:rsidRPr="00D916A5" w:rsidRDefault="00D916A5" w:rsidP="005B1FDF">
            <w:pPr>
              <w:keepNext/>
              <w:keepLines/>
              <w:jc w:val="center"/>
              <w:rPr>
                <w:rFonts w:ascii="Arial Narrow" w:hAnsi="Arial Narrow" w:cs="Times New Roman"/>
                <w:sz w:val="20"/>
                <w:szCs w:val="20"/>
                <w:lang w:eastAsia="en-US"/>
              </w:rPr>
            </w:pPr>
            <w:r w:rsidRPr="00D916A5">
              <w:rPr>
                <w:rFonts w:ascii="Arial Narrow" w:hAnsi="Arial Narrow"/>
                <w:sz w:val="20"/>
                <w:szCs w:val="20"/>
              </w:rPr>
              <w:t>4.3320</w:t>
            </w:r>
          </w:p>
        </w:tc>
        <w:tc>
          <w:tcPr>
            <w:tcW w:w="1274" w:type="pct"/>
            <w:shd w:val="clear" w:color="auto" w:fill="B8CCE4" w:themeFill="accent1" w:themeFillTint="66"/>
            <w:vAlign w:val="center"/>
          </w:tcPr>
          <w:p w:rsidR="00D916A5" w:rsidRPr="00D916A5" w:rsidRDefault="00D916A5" w:rsidP="005B1FDF">
            <w:pPr>
              <w:keepNext/>
              <w:keepLines/>
              <w:jc w:val="center"/>
              <w:rPr>
                <w:rFonts w:ascii="Arial Narrow" w:hAnsi="Arial Narrow" w:cs="Times New Roman"/>
                <w:sz w:val="20"/>
                <w:szCs w:val="20"/>
                <w:lang w:eastAsia="en-US"/>
              </w:rPr>
            </w:pPr>
            <w:r w:rsidRPr="00D916A5">
              <w:rPr>
                <w:rFonts w:ascii="Arial Narrow" w:hAnsi="Arial Narrow"/>
                <w:sz w:val="20"/>
                <w:szCs w:val="20"/>
              </w:rPr>
              <w:t>4.3202</w:t>
            </w:r>
          </w:p>
        </w:tc>
        <w:tc>
          <w:tcPr>
            <w:tcW w:w="838" w:type="pct"/>
            <w:shd w:val="clear" w:color="auto" w:fill="B8CCE4" w:themeFill="accent1" w:themeFillTint="66"/>
            <w:vAlign w:val="center"/>
          </w:tcPr>
          <w:p w:rsidR="00D916A5" w:rsidRPr="00D916A5" w:rsidRDefault="00D916A5" w:rsidP="005B1FDF">
            <w:pPr>
              <w:keepNext/>
              <w:keepLines/>
              <w:jc w:val="center"/>
              <w:rPr>
                <w:rFonts w:ascii="Arial Narrow" w:hAnsi="Arial Narrow" w:cs="Times New Roman"/>
                <w:sz w:val="20"/>
                <w:szCs w:val="20"/>
                <w:lang w:eastAsia="en-US"/>
              </w:rPr>
            </w:pPr>
            <w:r w:rsidRPr="00D916A5">
              <w:rPr>
                <w:rFonts w:ascii="Arial Narrow" w:hAnsi="Arial Narrow"/>
                <w:sz w:val="20"/>
                <w:szCs w:val="20"/>
              </w:rPr>
              <w:t>0.0118</w:t>
            </w:r>
          </w:p>
        </w:tc>
      </w:tr>
      <w:tr w:rsidR="00D916A5" w:rsidRPr="00EF7DC0" w:rsidTr="00E17CFC">
        <w:tc>
          <w:tcPr>
            <w:tcW w:w="4162" w:type="pct"/>
            <w:gridSpan w:val="3"/>
            <w:shd w:val="clear" w:color="auto" w:fill="B8CCE4" w:themeFill="accent1" w:themeFillTint="66"/>
            <w:vAlign w:val="center"/>
          </w:tcPr>
          <w:p w:rsidR="00D916A5" w:rsidRPr="00D916A5" w:rsidRDefault="00D916A5" w:rsidP="005B1FDF">
            <w:pPr>
              <w:keepNext/>
              <w:keepLines/>
              <w:jc w:val="left"/>
              <w:rPr>
                <w:rFonts w:ascii="Arial Narrow" w:hAnsi="Arial Narrow" w:cs="Times New Roman"/>
                <w:b/>
                <w:sz w:val="20"/>
                <w:szCs w:val="20"/>
                <w:lang w:eastAsia="en-US"/>
              </w:rPr>
            </w:pPr>
            <w:r w:rsidRPr="00D916A5">
              <w:rPr>
                <w:rFonts w:ascii="Arial Narrow" w:hAnsi="Arial Narrow"/>
                <w:b/>
                <w:sz w:val="20"/>
                <w:szCs w:val="20"/>
              </w:rPr>
              <w:t>Cost per QALY gained (base case)</w:t>
            </w:r>
          </w:p>
        </w:tc>
        <w:tc>
          <w:tcPr>
            <w:tcW w:w="838" w:type="pct"/>
            <w:shd w:val="clear" w:color="auto" w:fill="B8CCE4" w:themeFill="accent1" w:themeFillTint="66"/>
            <w:vAlign w:val="center"/>
          </w:tcPr>
          <w:p w:rsidR="00D916A5" w:rsidRPr="00D916A5" w:rsidRDefault="00D916A5" w:rsidP="005B1FDF">
            <w:pPr>
              <w:keepNext/>
              <w:keepLines/>
              <w:jc w:val="center"/>
              <w:rPr>
                <w:rFonts w:ascii="Arial Narrow" w:hAnsi="Arial Narrow" w:cs="Times New Roman"/>
                <w:b/>
                <w:sz w:val="20"/>
                <w:szCs w:val="20"/>
                <w:lang w:eastAsia="en-US"/>
              </w:rPr>
            </w:pPr>
            <w:r w:rsidRPr="00D916A5">
              <w:rPr>
                <w:rFonts w:ascii="Arial Narrow" w:hAnsi="Arial Narrow"/>
                <w:b/>
                <w:sz w:val="20"/>
                <w:szCs w:val="20"/>
              </w:rPr>
              <w:t>$</w:t>
            </w:r>
            <w:r w:rsidR="006F551D">
              <w:rPr>
                <w:rFonts w:ascii="Arial Narrow" w:hAnsi="Arial Narrow"/>
                <w:b/>
                <w:noProof/>
                <w:color w:val="000000"/>
                <w:sz w:val="20"/>
                <w:szCs w:val="20"/>
                <w:highlight w:val="black"/>
              </w:rPr>
              <w:t>'''''''''''''</w:t>
            </w:r>
          </w:p>
        </w:tc>
      </w:tr>
    </w:tbl>
    <w:p w:rsidR="00D916A5" w:rsidRPr="00D916A5" w:rsidRDefault="00D916A5" w:rsidP="00D916A5">
      <w:pPr>
        <w:widowControl w:val="0"/>
        <w:rPr>
          <w:rFonts w:ascii="Arial Narrow" w:hAnsi="Arial Narrow"/>
          <w:snapToGrid w:val="0"/>
          <w:sz w:val="18"/>
          <w:szCs w:val="18"/>
          <w:lang w:eastAsia="en-US"/>
        </w:rPr>
      </w:pPr>
      <w:r w:rsidRPr="00D916A5">
        <w:rPr>
          <w:rFonts w:ascii="Arial Narrow" w:hAnsi="Arial Narrow"/>
          <w:snapToGrid w:val="0"/>
          <w:sz w:val="18"/>
          <w:szCs w:val="22"/>
          <w:shd w:val="clear" w:color="auto" w:fill="B8CCE4" w:themeFill="accent1" w:themeFillTint="66"/>
          <w:lang w:eastAsia="en-US"/>
        </w:rPr>
        <w:t>Shaded</w:t>
      </w:r>
      <w:r w:rsidRPr="00D916A5">
        <w:rPr>
          <w:rFonts w:ascii="Arial Narrow" w:hAnsi="Arial Narrow"/>
          <w:snapToGrid w:val="0"/>
          <w:sz w:val="18"/>
          <w:szCs w:val="22"/>
          <w:lang w:eastAsia="en-US"/>
        </w:rPr>
        <w:t xml:space="preserve"> areas indicate data previously seen by the PBAC.  </w:t>
      </w:r>
    </w:p>
    <w:p w:rsidR="00D916A5" w:rsidRPr="00D916A5" w:rsidRDefault="00D916A5" w:rsidP="00D916A5">
      <w:pPr>
        <w:widowControl w:val="0"/>
        <w:rPr>
          <w:rFonts w:ascii="Arial Narrow" w:hAnsi="Arial Narrow"/>
          <w:snapToGrid w:val="0"/>
          <w:sz w:val="18"/>
          <w:szCs w:val="22"/>
          <w:lang w:eastAsia="en-US"/>
        </w:rPr>
      </w:pPr>
      <w:r w:rsidRPr="00D916A5">
        <w:rPr>
          <w:rFonts w:ascii="Arial Narrow" w:hAnsi="Arial Narrow"/>
          <w:snapToGrid w:val="0"/>
          <w:sz w:val="18"/>
          <w:szCs w:val="22"/>
          <w:lang w:eastAsia="en-US"/>
        </w:rPr>
        <w:t>Abbreviations: SoC=standard of care; QALY=quality adjusted life years</w:t>
      </w:r>
    </w:p>
    <w:p w:rsidR="00D916A5" w:rsidRPr="00D916A5" w:rsidRDefault="00D916A5" w:rsidP="00D916A5">
      <w:pPr>
        <w:widowControl w:val="0"/>
        <w:rPr>
          <w:rFonts w:ascii="Arial Narrow" w:hAnsi="Arial Narrow"/>
          <w:snapToGrid w:val="0"/>
          <w:sz w:val="20"/>
          <w:szCs w:val="22"/>
          <w:lang w:eastAsia="en-US"/>
        </w:rPr>
      </w:pPr>
      <w:r w:rsidRPr="00D916A5">
        <w:rPr>
          <w:rFonts w:ascii="Arial Narrow" w:hAnsi="Arial Narrow"/>
          <w:snapToGrid w:val="0"/>
          <w:sz w:val="18"/>
          <w:szCs w:val="22"/>
          <w:lang w:eastAsia="en-US"/>
        </w:rPr>
        <w:t>Source: Table 3-29, p159 and</w:t>
      </w:r>
      <w:r w:rsidRPr="00D916A5">
        <w:rPr>
          <w:rFonts w:ascii="Arial Narrow" w:hAnsi="Arial Narrow"/>
          <w:snapToGrid w:val="0"/>
          <w:sz w:val="18"/>
          <w:szCs w:val="18"/>
          <w:lang w:eastAsia="en-US"/>
        </w:rPr>
        <w:t xml:space="preserve"> Bezlotoxumab Section 3 Workbook of the resubmission</w:t>
      </w:r>
    </w:p>
    <w:p w:rsidR="00D916A5" w:rsidRPr="00D916A5" w:rsidRDefault="00D916A5" w:rsidP="00D916A5">
      <w:pPr>
        <w:spacing w:after="120"/>
        <w:contextualSpacing/>
        <w:rPr>
          <w:rFonts w:ascii="Arial Narrow" w:eastAsia="Calibri" w:hAnsi="Arial Narrow"/>
          <w:snapToGrid w:val="0"/>
          <w:sz w:val="18"/>
          <w:szCs w:val="20"/>
        </w:rPr>
      </w:pPr>
    </w:p>
    <w:p w:rsidR="00D916A5" w:rsidRPr="00373572" w:rsidRDefault="00D916A5" w:rsidP="00104B8E">
      <w:pPr>
        <w:pStyle w:val="3-BodyText"/>
      </w:pPr>
      <w:r w:rsidRPr="00373572">
        <w:rPr>
          <w:lang w:eastAsia="en-US"/>
        </w:rPr>
        <w:t xml:space="preserve">In July 2019, the PBAC considered that the ICER was uncertain for several reasons including the requested population being poorly justified, the assumed CDI recurrence rates for SoC being unreliable, the magnitude of the treatment effect being inconsistent with the data from the MODIFY trials (difference of approximately -18% compared to -10% across the MODIFY ITT population) and the assumed mortality benefit not being supported by trial data. </w:t>
      </w:r>
      <w:r w:rsidR="00373572">
        <w:rPr>
          <w:lang w:eastAsia="en-US"/>
        </w:rPr>
        <w:t xml:space="preserve"> </w:t>
      </w:r>
      <w:r w:rsidRPr="00373572">
        <w:rPr>
          <w:lang w:eastAsia="en-US"/>
        </w:rPr>
        <w:t>The PBAC also noted the lower effective price proposed in the pre-PBAC response (DPMQ of $</w:t>
      </w:r>
      <w:r w:rsidR="006F551D">
        <w:rPr>
          <w:noProof/>
          <w:color w:val="000000"/>
          <w:highlight w:val="black"/>
          <w:lang w:eastAsia="en-US"/>
        </w:rPr>
        <w:t>''''''''''''</w:t>
      </w:r>
      <w:r w:rsidRPr="00373572">
        <w:rPr>
          <w:lang w:eastAsia="en-US"/>
        </w:rPr>
        <w:t>), however considered the resulting ICER</w:t>
      </w:r>
      <w:r w:rsidR="002E123A">
        <w:rPr>
          <w:noProof/>
          <w:color w:val="000000"/>
          <w:lang w:eastAsia="en-US"/>
        </w:rPr>
        <w:t xml:space="preserve"> </w:t>
      </w:r>
      <w:bookmarkStart w:id="22" w:name="_GoBack"/>
      <w:bookmarkEnd w:id="22"/>
      <w:r w:rsidR="002E123A">
        <w:rPr>
          <w:noProof/>
          <w:color w:val="000000"/>
          <w:lang w:eastAsia="en-US"/>
        </w:rPr>
        <w:t>(</w:t>
      </w:r>
      <w:r w:rsidR="00104B8E" w:rsidRPr="00104B8E">
        <w:rPr>
          <w:lang w:eastAsia="en-US"/>
        </w:rPr>
        <w:t>$15,000 to &lt;</w:t>
      </w:r>
      <w:r w:rsidR="00840009">
        <w:rPr>
          <w:lang w:eastAsia="en-US"/>
        </w:rPr>
        <w:t> </w:t>
      </w:r>
      <w:r w:rsidR="00104B8E" w:rsidRPr="00104B8E">
        <w:rPr>
          <w:lang w:eastAsia="en-US"/>
        </w:rPr>
        <w:t>$25,000</w:t>
      </w:r>
      <w:r w:rsidRPr="00373572">
        <w:rPr>
          <w:lang w:eastAsia="en-US"/>
        </w:rPr>
        <w:t>/QALY) unreliable for the aforementioned reasons (paragraphs 6.44, 7.2, 7.6 and 7.9, bezlotoxumab, Public Summary Document, July 2019 PBAC meeting).</w:t>
      </w:r>
    </w:p>
    <w:p w:rsidR="00D916A5" w:rsidRPr="00142AA9" w:rsidRDefault="00D916A5" w:rsidP="00006346">
      <w:pPr>
        <w:pStyle w:val="3-BodyText"/>
      </w:pPr>
      <w:r w:rsidRPr="00142AA9">
        <w:rPr>
          <w:iCs/>
          <w:szCs w:val="22"/>
          <w:lang w:eastAsia="en-US"/>
        </w:rPr>
        <w:t>The model remained sensitive to a number of para</w:t>
      </w:r>
      <w:r w:rsidRPr="00A873A2">
        <w:rPr>
          <w:iCs/>
          <w:szCs w:val="22"/>
          <w:lang w:eastAsia="en-US"/>
        </w:rPr>
        <w:t xml:space="preserve">meters (see </w:t>
      </w:r>
      <w:r w:rsidR="008E1B1A" w:rsidRPr="00A873A2">
        <w:rPr>
          <w:iCs/>
          <w:szCs w:val="22"/>
          <w:lang w:eastAsia="en-US"/>
        </w:rPr>
        <w:t>Table 10</w:t>
      </w:r>
      <w:r w:rsidRPr="00A873A2">
        <w:rPr>
          <w:iCs/>
          <w:szCs w:val="22"/>
          <w:lang w:eastAsia="en-US"/>
        </w:rPr>
        <w:t xml:space="preserve">), but the </w:t>
      </w:r>
      <w:r w:rsidR="00F13772" w:rsidRPr="00A873A2">
        <w:rPr>
          <w:iCs/>
          <w:szCs w:val="22"/>
          <w:lang w:eastAsia="en-US"/>
        </w:rPr>
        <w:t xml:space="preserve">ESC considered that the </w:t>
      </w:r>
      <w:r w:rsidRPr="00142AA9">
        <w:rPr>
          <w:iCs/>
          <w:szCs w:val="22"/>
          <w:lang w:eastAsia="en-US"/>
        </w:rPr>
        <w:t xml:space="preserve">ICER presented in the current resubmission was </w:t>
      </w:r>
      <w:r w:rsidR="00B80741">
        <w:rPr>
          <w:iCs/>
          <w:szCs w:val="22"/>
          <w:lang w:eastAsia="en-US"/>
        </w:rPr>
        <w:t>probably</w:t>
      </w:r>
      <w:r w:rsidR="007F2171" w:rsidRPr="00142AA9">
        <w:rPr>
          <w:iCs/>
          <w:szCs w:val="22"/>
          <w:lang w:eastAsia="en-US"/>
        </w:rPr>
        <w:t xml:space="preserve"> </w:t>
      </w:r>
      <w:r w:rsidR="00B80741">
        <w:rPr>
          <w:iCs/>
          <w:szCs w:val="22"/>
          <w:lang w:eastAsia="en-US"/>
        </w:rPr>
        <w:t>more robust</w:t>
      </w:r>
      <w:r w:rsidRPr="00142AA9">
        <w:rPr>
          <w:iCs/>
          <w:szCs w:val="22"/>
          <w:lang w:eastAsia="en-US"/>
        </w:rPr>
        <w:t xml:space="preserve"> given the Sponsor attempted to address </w:t>
      </w:r>
      <w:r w:rsidR="00D314CF" w:rsidRPr="00142AA9">
        <w:rPr>
          <w:iCs/>
          <w:szCs w:val="22"/>
          <w:lang w:eastAsia="en-US"/>
        </w:rPr>
        <w:t>most</w:t>
      </w:r>
      <w:r w:rsidRPr="00142AA9">
        <w:rPr>
          <w:iCs/>
          <w:szCs w:val="22"/>
          <w:lang w:eastAsia="en-US"/>
        </w:rPr>
        <w:t xml:space="preserve"> of these concerns:</w:t>
      </w:r>
    </w:p>
    <w:p w:rsidR="00D916A5" w:rsidRPr="00142AA9" w:rsidRDefault="00D916A5" w:rsidP="000735EA">
      <w:pPr>
        <w:pStyle w:val="3-BodyText"/>
        <w:numPr>
          <w:ilvl w:val="1"/>
          <w:numId w:val="13"/>
        </w:numPr>
        <w:ind w:left="1134" w:hanging="425"/>
        <w:rPr>
          <w:iCs/>
          <w:szCs w:val="22"/>
          <w:lang w:eastAsia="en-US"/>
        </w:rPr>
      </w:pPr>
      <w:r w:rsidRPr="00142AA9">
        <w:rPr>
          <w:iCs/>
          <w:szCs w:val="22"/>
          <w:lang w:eastAsia="en-US"/>
        </w:rPr>
        <w:t xml:space="preserve">The population in the model was restricted to patients </w:t>
      </w:r>
      <w:r w:rsidRPr="00142AA9">
        <w:rPr>
          <w:rFonts w:cstheme="minorHAnsi"/>
          <w:iCs/>
          <w:szCs w:val="22"/>
          <w:lang w:eastAsia="en-US"/>
        </w:rPr>
        <w:t>≥</w:t>
      </w:r>
      <w:r w:rsidRPr="00142AA9">
        <w:rPr>
          <w:iCs/>
          <w:szCs w:val="22"/>
          <w:lang w:eastAsia="en-US"/>
        </w:rPr>
        <w:t>65 years of age or with a history of CDI in the past 6 months, consistent with the recommendations by the PBAC;</w:t>
      </w:r>
    </w:p>
    <w:p w:rsidR="00D916A5" w:rsidRPr="00142AA9" w:rsidRDefault="00D916A5" w:rsidP="000735EA">
      <w:pPr>
        <w:pStyle w:val="3-BodyText"/>
        <w:numPr>
          <w:ilvl w:val="1"/>
          <w:numId w:val="13"/>
        </w:numPr>
        <w:ind w:left="1134" w:hanging="425"/>
        <w:rPr>
          <w:iCs/>
          <w:szCs w:val="22"/>
          <w:lang w:eastAsia="en-US"/>
        </w:rPr>
      </w:pPr>
      <w:r w:rsidRPr="00142AA9">
        <w:t>The model assumed a more conservative estimate for CDI recurrence with SoC compared to the previous resubmission in July 2019 (23.9% vs 34.0%), and presented more reliable Australian data (</w:t>
      </w:r>
      <w:r w:rsidRPr="00142AA9">
        <w:rPr>
          <w:iCs/>
          <w:szCs w:val="22"/>
          <w:lang w:eastAsia="en-US"/>
        </w:rPr>
        <w:t>Alfayyadh et al 2019</w:t>
      </w:r>
      <w:r w:rsidRPr="00142AA9">
        <w:t>) suggesting that the recurrence rate including relapse and re-infection is higher in practice</w:t>
      </w:r>
      <w:r w:rsidR="008B521D" w:rsidRPr="00142AA9">
        <w:t xml:space="preserve"> than used in the resubmission</w:t>
      </w:r>
      <w:r w:rsidRPr="00142AA9">
        <w:t>.</w:t>
      </w:r>
    </w:p>
    <w:p w:rsidR="00D916A5" w:rsidRPr="00A873A2" w:rsidRDefault="00D916A5" w:rsidP="000735EA">
      <w:pPr>
        <w:pStyle w:val="3-BodyText"/>
        <w:numPr>
          <w:ilvl w:val="1"/>
          <w:numId w:val="13"/>
        </w:numPr>
        <w:ind w:left="1134" w:hanging="425"/>
        <w:rPr>
          <w:iCs/>
          <w:szCs w:val="22"/>
          <w:lang w:eastAsia="en-US"/>
        </w:rPr>
      </w:pPr>
      <w:r w:rsidRPr="00142AA9">
        <w:rPr>
          <w:iCs/>
          <w:lang w:eastAsia="en-US"/>
        </w:rPr>
        <w:t xml:space="preserve">The model assumed a more conservative difference in the CDI recurrence rates for SoC and bezlotoxumab (approximately -12% vs -18%) as a result of assuming </w:t>
      </w:r>
      <w:r w:rsidRPr="00142AA9">
        <w:rPr>
          <w:iCs/>
          <w:lang w:eastAsia="en-US"/>
        </w:rPr>
        <w:lastRenderedPageBreak/>
        <w:t>a lower CDI recurrence rate for SoC</w:t>
      </w:r>
      <w:r w:rsidR="00C0406E">
        <w:rPr>
          <w:iCs/>
          <w:lang w:eastAsia="en-US"/>
        </w:rPr>
        <w:t xml:space="preserve">, </w:t>
      </w:r>
      <w:r w:rsidR="00C0406E" w:rsidRPr="00A873A2">
        <w:rPr>
          <w:iCs/>
          <w:lang w:eastAsia="en-US"/>
        </w:rPr>
        <w:t xml:space="preserve">though </w:t>
      </w:r>
      <w:r w:rsidR="00B14CDB" w:rsidRPr="00A873A2">
        <w:rPr>
          <w:iCs/>
          <w:lang w:eastAsia="en-US"/>
        </w:rPr>
        <w:t>the applied hazard ratio</w:t>
      </w:r>
      <w:r w:rsidR="008012A0" w:rsidRPr="00A873A2">
        <w:rPr>
          <w:iCs/>
          <w:lang w:eastAsia="en-US"/>
        </w:rPr>
        <w:t xml:space="preserve"> may not be conservative</w:t>
      </w:r>
      <w:r w:rsidR="006E72EB" w:rsidRPr="00A873A2">
        <w:rPr>
          <w:iCs/>
          <w:lang w:eastAsia="en-US"/>
        </w:rPr>
        <w:t xml:space="preserve">, i.e. it was lower than the hazard ratio for </w:t>
      </w:r>
      <w:r w:rsidR="00EC340D" w:rsidRPr="00A873A2">
        <w:rPr>
          <w:iCs/>
          <w:lang w:eastAsia="en-US"/>
        </w:rPr>
        <w:t>the full trial population and for other (larger) sub-groups.</w:t>
      </w:r>
    </w:p>
    <w:p w:rsidR="00D916A5" w:rsidRPr="00A873A2" w:rsidRDefault="00D916A5" w:rsidP="000735EA">
      <w:pPr>
        <w:pStyle w:val="3-BodyText"/>
        <w:numPr>
          <w:ilvl w:val="1"/>
          <w:numId w:val="13"/>
        </w:numPr>
        <w:ind w:left="1134" w:hanging="425"/>
        <w:rPr>
          <w:iCs/>
          <w:szCs w:val="22"/>
          <w:lang w:eastAsia="en-US"/>
        </w:rPr>
      </w:pPr>
      <w:r w:rsidRPr="00A873A2">
        <w:rPr>
          <w:iCs/>
          <w:lang w:eastAsia="en-US"/>
        </w:rPr>
        <w:t>The resubmission noted that the model applied the mortality assumptions recommended by the PBAC in July 2018 and the model only estimated improved survival of approximately 3 days (discounted) for the treated cohort.  The ICER however remained sensitive to the assumed small mortality benefit, increasing to $</w:t>
      </w:r>
      <w:r w:rsidR="00243B63">
        <w:rPr>
          <w:iCs/>
          <w:lang w:eastAsia="en-US"/>
        </w:rPr>
        <w:t>75,000 to &lt;</w:t>
      </w:r>
      <w:r w:rsidR="00840009">
        <w:rPr>
          <w:iCs/>
          <w:lang w:eastAsia="en-US"/>
        </w:rPr>
        <w:t> </w:t>
      </w:r>
      <w:r w:rsidR="00243B63">
        <w:rPr>
          <w:iCs/>
          <w:lang w:eastAsia="en-US"/>
        </w:rPr>
        <w:t>$95,000</w:t>
      </w:r>
      <w:r w:rsidR="00E46D15" w:rsidRPr="00A873A2">
        <w:rPr>
          <w:iCs/>
          <w:lang w:eastAsia="en-US"/>
        </w:rPr>
        <w:t>/QALY</w:t>
      </w:r>
      <w:r w:rsidRPr="00A873A2">
        <w:rPr>
          <w:iCs/>
          <w:lang w:eastAsia="en-US"/>
        </w:rPr>
        <w:t xml:space="preserve"> assuming no advantage.</w:t>
      </w:r>
    </w:p>
    <w:p w:rsidR="00D916A5" w:rsidRPr="00A873A2" w:rsidRDefault="00D916A5" w:rsidP="000735EA">
      <w:pPr>
        <w:pStyle w:val="3-BodyText"/>
        <w:numPr>
          <w:ilvl w:val="1"/>
          <w:numId w:val="13"/>
        </w:numPr>
        <w:ind w:left="1134" w:hanging="425"/>
        <w:rPr>
          <w:iCs/>
          <w:szCs w:val="22"/>
          <w:lang w:eastAsia="en-US"/>
        </w:rPr>
      </w:pPr>
      <w:r w:rsidRPr="00A873A2">
        <w:rPr>
          <w:iCs/>
          <w:lang w:eastAsia="en-US"/>
        </w:rPr>
        <w:t>The Sponsor proposed a lower effective price of $</w:t>
      </w:r>
      <w:r w:rsidR="006F551D">
        <w:rPr>
          <w:iCs/>
          <w:noProof/>
          <w:color w:val="000000"/>
          <w:highlight w:val="black"/>
          <w:lang w:eastAsia="en-US"/>
        </w:rPr>
        <w:t>''''''''''</w:t>
      </w:r>
      <w:r w:rsidRPr="00A873A2">
        <w:rPr>
          <w:iCs/>
          <w:lang w:eastAsia="en-US"/>
        </w:rPr>
        <w:t xml:space="preserve"> per bezlotoxumab vial compared to $</w:t>
      </w:r>
      <w:r w:rsidR="006F551D">
        <w:rPr>
          <w:iCs/>
          <w:noProof/>
          <w:color w:val="000000"/>
          <w:highlight w:val="black"/>
          <w:lang w:eastAsia="en-US"/>
        </w:rPr>
        <w:t>''''''''''</w:t>
      </w:r>
      <w:r w:rsidRPr="00A873A2">
        <w:rPr>
          <w:iCs/>
          <w:lang w:eastAsia="en-US"/>
        </w:rPr>
        <w:t xml:space="preserve"> per vial in the previous pre-PBAC response and $</w:t>
      </w:r>
      <w:r w:rsidR="006F551D">
        <w:rPr>
          <w:iCs/>
          <w:noProof/>
          <w:color w:val="000000"/>
          <w:highlight w:val="black"/>
          <w:lang w:eastAsia="en-US"/>
        </w:rPr>
        <w:t>''''''''''</w:t>
      </w:r>
      <w:r w:rsidRPr="00A873A2">
        <w:rPr>
          <w:iCs/>
          <w:lang w:eastAsia="en-US"/>
        </w:rPr>
        <w:t xml:space="preserve"> in the July 2019 resubmission.</w:t>
      </w:r>
    </w:p>
    <w:p w:rsidR="00847788" w:rsidRPr="00A873A2" w:rsidRDefault="00847788" w:rsidP="00607E07">
      <w:pPr>
        <w:pStyle w:val="3-BodyText"/>
        <w:rPr>
          <w:iCs/>
          <w:szCs w:val="22"/>
          <w:lang w:eastAsia="en-US"/>
        </w:rPr>
      </w:pPr>
      <w:r w:rsidRPr="00A873A2">
        <w:rPr>
          <w:iCs/>
          <w:lang w:eastAsia="en-US"/>
        </w:rPr>
        <w:t xml:space="preserve">The ESC considered that as patients immunocompromised due to a history of HSCT or SOT were not specifically included in the model the cost-effectiveness of bezlotoxumab in this population remains unknown. In addition, the ESC considered that </w:t>
      </w:r>
      <w:r w:rsidR="00EE1A81" w:rsidRPr="00A873A2">
        <w:rPr>
          <w:iCs/>
          <w:lang w:eastAsia="en-US"/>
        </w:rPr>
        <w:t xml:space="preserve">the variation in the proportion of mild/moderate CDI cases requiring hospitalisation evident across submissions also remains a key area of uncertainty. </w:t>
      </w:r>
    </w:p>
    <w:p w:rsidR="000E20D9" w:rsidRPr="00A873A2" w:rsidRDefault="000E20D9" w:rsidP="00104B8E">
      <w:pPr>
        <w:pStyle w:val="3-BodyText"/>
        <w:rPr>
          <w:lang w:eastAsia="en-US"/>
        </w:rPr>
      </w:pPr>
      <w:r w:rsidRPr="00A873A2">
        <w:rPr>
          <w:lang w:eastAsia="en-US"/>
        </w:rPr>
        <w:t>The PSCR (p</w:t>
      </w:r>
      <w:r w:rsidR="00E51A85" w:rsidRPr="00A873A2">
        <w:rPr>
          <w:lang w:eastAsia="en-US"/>
        </w:rPr>
        <w:t>2-</w:t>
      </w:r>
      <w:r w:rsidRPr="00A873A2">
        <w:rPr>
          <w:lang w:eastAsia="en-US"/>
        </w:rPr>
        <w:t>3) updated the public</w:t>
      </w:r>
      <w:r w:rsidR="00BD5974" w:rsidRPr="00A873A2">
        <w:rPr>
          <w:lang w:eastAsia="en-US"/>
        </w:rPr>
        <w:t>/private</w:t>
      </w:r>
      <w:r w:rsidRPr="00A873A2">
        <w:rPr>
          <w:lang w:eastAsia="en-US"/>
        </w:rPr>
        <w:t xml:space="preserve"> split for use of bezlotoxumab, to ensure consistency across the economic analysis and financial implications of the resubmission.  The split for the economic analysis was updated from 100% private use to 68:32 for public and private use, based on AIHW data of total hospital days across public and private hospitals</w:t>
      </w:r>
      <w:r w:rsidR="00E12738" w:rsidRPr="00A873A2">
        <w:rPr>
          <w:lang w:eastAsia="en-US"/>
        </w:rPr>
        <w:t xml:space="preserve"> (see paragraph 6.</w:t>
      </w:r>
      <w:r w:rsidR="007E5C9A">
        <w:rPr>
          <w:lang w:eastAsia="en-US"/>
        </w:rPr>
        <w:t>44</w:t>
      </w:r>
      <w:r w:rsidR="00E12738" w:rsidRPr="00A873A2">
        <w:rPr>
          <w:lang w:eastAsia="en-US"/>
        </w:rPr>
        <w:t>)</w:t>
      </w:r>
      <w:r w:rsidRPr="00A873A2">
        <w:rPr>
          <w:lang w:eastAsia="en-US"/>
        </w:rPr>
        <w:t>. Using the updated split, the weighted price of bezlotoxumab (including administration fees and an additional specialist visit for a proportion of patients) reduced from $</w:t>
      </w:r>
      <w:r w:rsidR="006F551D">
        <w:rPr>
          <w:noProof/>
          <w:color w:val="000000"/>
          <w:highlight w:val="black"/>
          <w:lang w:eastAsia="en-US"/>
        </w:rPr>
        <w:t>''''''''''''''''''</w:t>
      </w:r>
      <w:r w:rsidRPr="00A873A2">
        <w:rPr>
          <w:lang w:eastAsia="en-US"/>
        </w:rPr>
        <w:t xml:space="preserve"> to</w:t>
      </w:r>
      <w:r w:rsidR="00E51A85" w:rsidRPr="00A873A2">
        <w:rPr>
          <w:lang w:eastAsia="en-US"/>
        </w:rPr>
        <w:t xml:space="preserve"> $</w:t>
      </w:r>
      <w:r w:rsidR="006F551D">
        <w:rPr>
          <w:noProof/>
          <w:color w:val="000000"/>
          <w:highlight w:val="black"/>
          <w:lang w:eastAsia="en-US"/>
        </w:rPr>
        <w:t>'''''''''''''''''</w:t>
      </w:r>
      <w:r w:rsidR="00E51A85" w:rsidRPr="00A873A2">
        <w:rPr>
          <w:lang w:eastAsia="en-US"/>
        </w:rPr>
        <w:t xml:space="preserve"> resulting in a</w:t>
      </w:r>
      <w:r w:rsidRPr="00A873A2">
        <w:rPr>
          <w:lang w:eastAsia="en-US"/>
        </w:rPr>
        <w:t xml:space="preserve"> reduction in the ICER from </w:t>
      </w:r>
      <w:r w:rsidR="00104B8E" w:rsidRPr="00104B8E">
        <w:rPr>
          <w:lang w:eastAsia="en-US"/>
        </w:rPr>
        <w:t>$15,000 to &lt;</w:t>
      </w:r>
      <w:r w:rsidR="00840009">
        <w:rPr>
          <w:lang w:eastAsia="en-US"/>
        </w:rPr>
        <w:t> </w:t>
      </w:r>
      <w:r w:rsidR="00104B8E" w:rsidRPr="00104B8E">
        <w:rPr>
          <w:lang w:eastAsia="en-US"/>
        </w:rPr>
        <w:t>$25,000</w:t>
      </w:r>
      <w:r w:rsidR="001834DA" w:rsidRPr="00A873A2">
        <w:rPr>
          <w:lang w:eastAsia="en-US"/>
        </w:rPr>
        <w:t>/QALY</w:t>
      </w:r>
      <w:r w:rsidRPr="00A873A2">
        <w:rPr>
          <w:lang w:eastAsia="en-US"/>
        </w:rPr>
        <w:t xml:space="preserve"> to </w:t>
      </w:r>
      <w:r w:rsidR="00104B8E" w:rsidRPr="00B1026A">
        <w:rPr>
          <w:rFonts w:cstheme="minorHAnsi"/>
        </w:rPr>
        <w:t>$15,000 to &lt;</w:t>
      </w:r>
      <w:r w:rsidR="00840009">
        <w:rPr>
          <w:rFonts w:cstheme="minorHAnsi"/>
        </w:rPr>
        <w:t> </w:t>
      </w:r>
      <w:r w:rsidR="00104B8E" w:rsidRPr="00B1026A">
        <w:rPr>
          <w:rFonts w:cstheme="minorHAnsi"/>
        </w:rPr>
        <w:t>$25,000</w:t>
      </w:r>
      <w:r w:rsidR="00E46D15" w:rsidRPr="00A873A2">
        <w:rPr>
          <w:lang w:eastAsia="en-US"/>
        </w:rPr>
        <w:t>/QALY</w:t>
      </w:r>
      <w:r w:rsidRPr="00A873A2">
        <w:rPr>
          <w:lang w:eastAsia="en-US"/>
        </w:rPr>
        <w:t>.</w:t>
      </w:r>
    </w:p>
    <w:p w:rsidR="00D94865" w:rsidRPr="00A873A2" w:rsidRDefault="00D94865" w:rsidP="00006346">
      <w:pPr>
        <w:pStyle w:val="3-BodyText"/>
        <w:widowControl w:val="0"/>
        <w:numPr>
          <w:ilvl w:val="1"/>
          <w:numId w:val="5"/>
        </w:numPr>
        <w:rPr>
          <w:rFonts w:ascii="Arial Narrow" w:hAnsi="Arial Narrow"/>
          <w:b/>
          <w:sz w:val="20"/>
          <w:szCs w:val="22"/>
          <w:lang w:eastAsia="en-US"/>
        </w:rPr>
      </w:pPr>
      <w:r w:rsidRPr="00A873A2">
        <w:t>T</w:t>
      </w:r>
      <w:r w:rsidR="00393192" w:rsidRPr="00A873A2">
        <w:t>able 1</w:t>
      </w:r>
      <w:r w:rsidR="00C07BDB" w:rsidRPr="00A873A2">
        <w:t>2</w:t>
      </w:r>
      <w:r w:rsidR="00393192" w:rsidRPr="00A873A2">
        <w:t xml:space="preserve"> presents t</w:t>
      </w:r>
      <w:r w:rsidRPr="00A873A2">
        <w:t>he results of key univariate sensitivity analyses.</w:t>
      </w:r>
      <w:r w:rsidR="000E20D9" w:rsidRPr="00A873A2">
        <w:t xml:space="preserve"> The ESC noted that the sensitivity analyses used the</w:t>
      </w:r>
      <w:r w:rsidR="00620A14">
        <w:t xml:space="preserve"> resubmission</w:t>
      </w:r>
      <w:r w:rsidR="000E20D9" w:rsidRPr="00A873A2">
        <w:t xml:space="preserve"> base case ICER of </w:t>
      </w:r>
      <w:r w:rsidR="00104B8E" w:rsidRPr="00B1026A">
        <w:rPr>
          <w:rFonts w:cstheme="minorHAnsi"/>
        </w:rPr>
        <w:t>$15,000 to &lt;</w:t>
      </w:r>
      <w:r w:rsidR="00840009">
        <w:rPr>
          <w:rFonts w:cstheme="minorHAnsi"/>
        </w:rPr>
        <w:t> </w:t>
      </w:r>
      <w:r w:rsidR="00104B8E" w:rsidRPr="00B1026A">
        <w:rPr>
          <w:rFonts w:cstheme="minorHAnsi"/>
        </w:rPr>
        <w:t>$25,000</w:t>
      </w:r>
      <w:r w:rsidR="001834DA" w:rsidRPr="00A873A2">
        <w:t>/QALY</w:t>
      </w:r>
      <w:r w:rsidR="000E20D9" w:rsidRPr="00A873A2">
        <w:t xml:space="preserve">. </w:t>
      </w:r>
    </w:p>
    <w:p w:rsidR="00D94865" w:rsidRPr="00AE6AE0" w:rsidRDefault="001764EE" w:rsidP="005C7B8C">
      <w:pPr>
        <w:keepNext/>
        <w:keepLines/>
        <w:jc w:val="left"/>
        <w:rPr>
          <w:rFonts w:ascii="Arial Narrow" w:hAnsi="Arial Narrow" w:cs="Times New Roman"/>
          <w:b/>
          <w:sz w:val="20"/>
          <w:szCs w:val="16"/>
          <w:lang w:eastAsia="en-US"/>
        </w:rPr>
      </w:pPr>
      <w:r w:rsidRPr="00AE6AE0">
        <w:rPr>
          <w:rFonts w:ascii="Arial Narrow" w:hAnsi="Arial Narrow" w:cs="Times New Roman"/>
          <w:b/>
          <w:sz w:val="20"/>
          <w:szCs w:val="16"/>
          <w:lang w:eastAsia="en-US"/>
        </w:rPr>
        <w:lastRenderedPageBreak/>
        <w:t>Table 1</w:t>
      </w:r>
      <w:r w:rsidR="00C07BDB">
        <w:rPr>
          <w:rFonts w:ascii="Arial Narrow" w:hAnsi="Arial Narrow" w:cs="Times New Roman"/>
          <w:b/>
          <w:sz w:val="20"/>
          <w:szCs w:val="16"/>
          <w:lang w:eastAsia="en-US"/>
        </w:rPr>
        <w:t>2</w:t>
      </w:r>
      <w:r w:rsidR="00D94865" w:rsidRPr="00AE6AE0">
        <w:rPr>
          <w:rFonts w:ascii="Arial Narrow" w:hAnsi="Arial Narrow" w:cs="Times New Roman"/>
          <w:b/>
          <w:sz w:val="20"/>
          <w:szCs w:val="16"/>
          <w:lang w:eastAsia="en-US"/>
        </w:rPr>
        <w:t>: Results of key sensitivity analyses</w:t>
      </w:r>
    </w:p>
    <w:tbl>
      <w:tblPr>
        <w:tblW w:w="0" w:type="auto"/>
        <w:tblCellMar>
          <w:left w:w="28" w:type="dxa"/>
          <w:right w:w="28" w:type="dxa"/>
        </w:tblCellMar>
        <w:tblLook w:val="04A0" w:firstRow="1" w:lastRow="0" w:firstColumn="1" w:lastColumn="0" w:noHBand="0" w:noVBand="1"/>
      </w:tblPr>
      <w:tblGrid>
        <w:gridCol w:w="5695"/>
        <w:gridCol w:w="1158"/>
        <w:gridCol w:w="1169"/>
        <w:gridCol w:w="995"/>
      </w:tblGrid>
      <w:tr w:rsidR="00D94865" w:rsidRPr="00416632" w:rsidTr="00E17CFC">
        <w:trPr>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4865" w:rsidRPr="00416632" w:rsidRDefault="00D94865" w:rsidP="005C7B8C">
            <w:pPr>
              <w:keepNext/>
              <w:keepLines/>
              <w:jc w:val="left"/>
              <w:rPr>
                <w:rFonts w:ascii="Arial Narrow" w:hAnsi="Arial Narrow" w:cs="Times New Roman"/>
                <w:b/>
                <w:bCs/>
                <w:color w:val="000000"/>
                <w:sz w:val="20"/>
                <w:szCs w:val="20"/>
                <w:lang w:eastAsia="zh-CN"/>
              </w:rPr>
            </w:pPr>
            <w:r w:rsidRPr="00416632">
              <w:rPr>
                <w:rFonts w:ascii="Arial Narrow" w:hAnsi="Arial Narrow" w:cs="Times New Roman"/>
                <w:b/>
                <w:bCs/>
                <w:color w:val="000000"/>
                <w:sz w:val="20"/>
                <w:szCs w:val="20"/>
                <w:lang w:eastAsia="zh-CN"/>
              </w:rPr>
              <w:t>Univariate analyses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94865" w:rsidRPr="00416632" w:rsidRDefault="00D94865" w:rsidP="005C7B8C">
            <w:pPr>
              <w:keepNext/>
              <w:keepLines/>
              <w:jc w:val="center"/>
              <w:rPr>
                <w:rFonts w:ascii="Arial Narrow" w:hAnsi="Arial Narrow" w:cs="Times New Roman"/>
                <w:b/>
                <w:bCs/>
                <w:color w:val="000000"/>
                <w:sz w:val="20"/>
                <w:szCs w:val="20"/>
                <w:lang w:eastAsia="zh-CN"/>
              </w:rPr>
            </w:pPr>
            <w:r w:rsidRPr="00416632">
              <w:rPr>
                <w:rFonts w:ascii="Arial Narrow" w:hAnsi="Arial Narrow" w:cs="Times New Roman"/>
                <w:b/>
                <w:bCs/>
                <w:color w:val="000000"/>
                <w:sz w:val="20"/>
                <w:szCs w:val="20"/>
                <w:lang w:eastAsia="zh-CN"/>
              </w:rPr>
              <w:t>Incremental costs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94865" w:rsidRPr="00416632" w:rsidRDefault="00D94865" w:rsidP="005C7B8C">
            <w:pPr>
              <w:keepNext/>
              <w:keepLines/>
              <w:jc w:val="center"/>
              <w:rPr>
                <w:rFonts w:ascii="Arial Narrow" w:hAnsi="Arial Narrow" w:cs="Times New Roman"/>
                <w:b/>
                <w:bCs/>
                <w:color w:val="000000"/>
                <w:sz w:val="20"/>
                <w:szCs w:val="20"/>
                <w:lang w:eastAsia="zh-CN"/>
              </w:rPr>
            </w:pPr>
            <w:r w:rsidRPr="00416632">
              <w:rPr>
                <w:rFonts w:ascii="Arial Narrow" w:hAnsi="Arial Narrow" w:cs="Times New Roman"/>
                <w:b/>
                <w:bCs/>
                <w:color w:val="000000"/>
                <w:sz w:val="20"/>
                <w:szCs w:val="20"/>
                <w:lang w:eastAsia="zh-CN"/>
              </w:rPr>
              <w:t>Incremental QALY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94865" w:rsidRPr="00416632" w:rsidRDefault="00D94865" w:rsidP="005C7B8C">
            <w:pPr>
              <w:keepNext/>
              <w:keepLines/>
              <w:jc w:val="center"/>
              <w:rPr>
                <w:rFonts w:ascii="Arial Narrow" w:hAnsi="Arial Narrow" w:cs="Times New Roman"/>
                <w:b/>
                <w:bCs/>
                <w:color w:val="000000"/>
                <w:sz w:val="20"/>
                <w:szCs w:val="20"/>
                <w:lang w:eastAsia="zh-CN"/>
              </w:rPr>
            </w:pPr>
            <w:r w:rsidRPr="00416632">
              <w:rPr>
                <w:rFonts w:ascii="Arial Narrow" w:hAnsi="Arial Narrow" w:cs="Times New Roman"/>
                <w:b/>
                <w:bCs/>
                <w:color w:val="000000"/>
                <w:sz w:val="20"/>
                <w:szCs w:val="20"/>
                <w:lang w:eastAsia="zh-CN"/>
              </w:rPr>
              <w:t xml:space="preserve">Cost per QALY </w:t>
            </w:r>
          </w:p>
        </w:tc>
      </w:tr>
      <w:tr w:rsidR="00D94865" w:rsidRPr="00416632" w:rsidTr="00E17CFC">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94865" w:rsidRPr="00416632" w:rsidRDefault="00D94865" w:rsidP="005C7B8C">
            <w:pPr>
              <w:keepNext/>
              <w:keepLines/>
              <w:jc w:val="left"/>
              <w:rPr>
                <w:rFonts w:ascii="Arial Narrow" w:hAnsi="Arial Narrow" w:cs="Times New Roman"/>
                <w:b/>
                <w:bCs/>
                <w:color w:val="000000"/>
                <w:sz w:val="20"/>
                <w:szCs w:val="20"/>
                <w:lang w:eastAsia="zh-CN"/>
              </w:rPr>
            </w:pPr>
            <w:r w:rsidRPr="00416632">
              <w:rPr>
                <w:rFonts w:ascii="Arial Narrow" w:hAnsi="Arial Narrow" w:cs="Times New Roman"/>
                <w:b/>
                <w:bCs/>
                <w:color w:val="000000"/>
                <w:sz w:val="20"/>
                <w:szCs w:val="20"/>
                <w:lang w:eastAsia="zh-CN"/>
              </w:rPr>
              <w:t>Changes in 30 day first CDI recurrence rate from index CDI episode</w:t>
            </w:r>
          </w:p>
        </w:tc>
      </w:tr>
      <w:tr w:rsidR="008B3EA1" w:rsidRPr="00416632" w:rsidTr="00E17CFC">
        <w:tc>
          <w:tcPr>
            <w:tcW w:w="0" w:type="auto"/>
            <w:tcBorders>
              <w:top w:val="single" w:sz="4" w:space="0" w:color="auto"/>
              <w:left w:val="single" w:sz="4" w:space="0" w:color="auto"/>
              <w:right w:val="single" w:sz="4" w:space="0" w:color="auto"/>
            </w:tcBorders>
            <w:shd w:val="clear" w:color="auto" w:fill="auto"/>
            <w:vAlign w:val="center"/>
            <w:hideMark/>
          </w:tcPr>
          <w:p w:rsidR="008B3EA1" w:rsidRPr="00416632" w:rsidRDefault="008B3EA1" w:rsidP="005C7B8C">
            <w:pPr>
              <w:keepNext/>
              <w:keepLines/>
              <w:widowControl w:val="0"/>
              <w:numPr>
                <w:ilvl w:val="0"/>
                <w:numId w:val="10"/>
              </w:numPr>
              <w:ind w:left="254" w:hanging="142"/>
              <w:jc w:val="left"/>
              <w:rPr>
                <w:rFonts w:ascii="Arial Narrow" w:hAnsi="Arial Narrow" w:cs="Times New Roman"/>
                <w:b/>
                <w:bCs/>
                <w:color w:val="000000"/>
                <w:sz w:val="20"/>
                <w:szCs w:val="20"/>
                <w:lang w:eastAsia="zh-CN"/>
              </w:rPr>
            </w:pPr>
            <w:r w:rsidRPr="00416632">
              <w:rPr>
                <w:rFonts w:ascii="Arial Narrow" w:hAnsi="Arial Narrow" w:cs="Times New Roman"/>
                <w:b/>
                <w:bCs/>
                <w:color w:val="000000"/>
                <w:sz w:val="20"/>
                <w:szCs w:val="20"/>
                <w:lang w:eastAsia="zh-CN"/>
              </w:rPr>
              <w:t xml:space="preserve">Base case: Bezlotoxumab </w:t>
            </w:r>
            <w:r>
              <w:rPr>
                <w:rFonts w:ascii="Arial Narrow" w:hAnsi="Arial Narrow" w:cs="Times New Roman"/>
                <w:b/>
                <w:bCs/>
                <w:color w:val="000000"/>
                <w:sz w:val="20"/>
                <w:szCs w:val="20"/>
                <w:lang w:eastAsia="zh-CN"/>
              </w:rPr>
              <w:t>12.0%, SoC 23.9%</w:t>
            </w:r>
          </w:p>
        </w:tc>
        <w:tc>
          <w:tcPr>
            <w:tcW w:w="0" w:type="auto"/>
            <w:tcBorders>
              <w:top w:val="single" w:sz="4" w:space="0" w:color="auto"/>
              <w:left w:val="nil"/>
              <w:right w:val="single" w:sz="4" w:space="0" w:color="auto"/>
            </w:tcBorders>
            <w:shd w:val="clear" w:color="auto" w:fill="auto"/>
            <w:vAlign w:val="center"/>
            <w:hideMark/>
          </w:tcPr>
          <w:p w:rsidR="008B3EA1" w:rsidRPr="00416632" w:rsidRDefault="008B3EA1" w:rsidP="005C7B8C">
            <w:pPr>
              <w:keepNext/>
              <w:keepLines/>
              <w:jc w:val="center"/>
              <w:rPr>
                <w:rFonts w:ascii="Arial Narrow" w:hAnsi="Arial Narrow" w:cs="Times New Roman"/>
                <w:b/>
                <w:bCs/>
                <w:color w:val="000000"/>
                <w:sz w:val="20"/>
                <w:szCs w:val="20"/>
                <w:lang w:eastAsia="zh-CN"/>
              </w:rPr>
            </w:pPr>
            <w:r>
              <w:rPr>
                <w:rFonts w:ascii="Arial Narrow" w:hAnsi="Arial Narrow" w:cs="Times New Roman"/>
                <w:b/>
                <w:bCs/>
                <w:color w:val="000000"/>
                <w:sz w:val="20"/>
                <w:szCs w:val="20"/>
                <w:lang w:eastAsia="zh-CN"/>
              </w:rPr>
              <w:t>$</w:t>
            </w:r>
            <w:r w:rsidR="006F551D">
              <w:rPr>
                <w:rFonts w:ascii="Arial Narrow" w:hAnsi="Arial Narrow" w:cs="Times New Roman"/>
                <w:b/>
                <w:bCs/>
                <w:noProof/>
                <w:color w:val="000000"/>
                <w:sz w:val="20"/>
                <w:szCs w:val="20"/>
                <w:highlight w:val="black"/>
                <w:lang w:eastAsia="zh-CN"/>
              </w:rPr>
              <w:t>'''''''''''''</w:t>
            </w:r>
          </w:p>
        </w:tc>
        <w:tc>
          <w:tcPr>
            <w:tcW w:w="0" w:type="auto"/>
            <w:tcBorders>
              <w:top w:val="single" w:sz="4" w:space="0" w:color="auto"/>
              <w:left w:val="nil"/>
              <w:right w:val="single" w:sz="4" w:space="0" w:color="auto"/>
            </w:tcBorders>
            <w:shd w:val="clear" w:color="auto" w:fill="auto"/>
            <w:vAlign w:val="center"/>
            <w:hideMark/>
          </w:tcPr>
          <w:p w:rsidR="008B3EA1" w:rsidRPr="00416632" w:rsidRDefault="008B3EA1" w:rsidP="005C7B8C">
            <w:pPr>
              <w:keepNext/>
              <w:keepLines/>
              <w:jc w:val="center"/>
              <w:rPr>
                <w:rFonts w:ascii="Arial Narrow" w:hAnsi="Arial Narrow" w:cs="Times New Roman"/>
                <w:b/>
                <w:bCs/>
                <w:color w:val="000000"/>
                <w:sz w:val="20"/>
                <w:szCs w:val="20"/>
                <w:lang w:eastAsia="zh-CN"/>
              </w:rPr>
            </w:pPr>
            <w:r>
              <w:rPr>
                <w:rFonts w:ascii="Arial Narrow" w:hAnsi="Arial Narrow" w:cs="Times New Roman"/>
                <w:b/>
                <w:bCs/>
                <w:color w:val="000000"/>
                <w:sz w:val="20"/>
                <w:szCs w:val="20"/>
                <w:lang w:eastAsia="zh-CN"/>
              </w:rPr>
              <w:t>0.0085</w:t>
            </w:r>
          </w:p>
        </w:tc>
        <w:tc>
          <w:tcPr>
            <w:tcW w:w="0" w:type="auto"/>
            <w:tcBorders>
              <w:top w:val="single" w:sz="4" w:space="0" w:color="auto"/>
              <w:left w:val="nil"/>
              <w:right w:val="single" w:sz="4" w:space="0" w:color="auto"/>
            </w:tcBorders>
            <w:shd w:val="clear" w:color="auto" w:fill="auto"/>
            <w:vAlign w:val="center"/>
            <w:hideMark/>
          </w:tcPr>
          <w:p w:rsidR="008B3EA1" w:rsidRPr="00416632" w:rsidRDefault="008B3EA1" w:rsidP="005C7B8C">
            <w:pPr>
              <w:keepNext/>
              <w:keepLines/>
              <w:jc w:val="center"/>
              <w:rPr>
                <w:rFonts w:ascii="Arial Narrow" w:hAnsi="Arial Narrow" w:cs="Times New Roman"/>
                <w:b/>
                <w:bCs/>
                <w:color w:val="000000"/>
                <w:sz w:val="20"/>
                <w:szCs w:val="20"/>
                <w:lang w:eastAsia="zh-CN"/>
              </w:rPr>
            </w:pPr>
            <w:r>
              <w:rPr>
                <w:rFonts w:ascii="Arial Narrow" w:hAnsi="Arial Narrow" w:cs="Times New Roman"/>
                <w:b/>
                <w:bCs/>
                <w:color w:val="000000"/>
                <w:sz w:val="20"/>
                <w:szCs w:val="20"/>
                <w:lang w:eastAsia="zh-CN"/>
              </w:rPr>
              <w:t>$</w:t>
            </w:r>
            <w:r w:rsidR="006F551D">
              <w:rPr>
                <w:rFonts w:ascii="Arial Narrow" w:hAnsi="Arial Narrow" w:cs="Times New Roman"/>
                <w:b/>
                <w:bCs/>
                <w:noProof/>
                <w:color w:val="000000"/>
                <w:sz w:val="20"/>
                <w:szCs w:val="20"/>
                <w:highlight w:val="black"/>
                <w:lang w:eastAsia="zh-CN"/>
              </w:rPr>
              <w:t>''''''''''''</w:t>
            </w:r>
          </w:p>
        </w:tc>
      </w:tr>
      <w:tr w:rsidR="008B3EA1" w:rsidRPr="00416632" w:rsidTr="00E17CFC">
        <w:trPr>
          <w:trHeight w:val="70"/>
        </w:trPr>
        <w:tc>
          <w:tcPr>
            <w:tcW w:w="0" w:type="auto"/>
            <w:tcBorders>
              <w:left w:val="single" w:sz="4" w:space="0" w:color="auto"/>
              <w:right w:val="single" w:sz="4" w:space="0" w:color="auto"/>
            </w:tcBorders>
            <w:shd w:val="clear" w:color="auto" w:fill="auto"/>
            <w:vAlign w:val="center"/>
          </w:tcPr>
          <w:p w:rsidR="008B3EA1" w:rsidRPr="00416632" w:rsidRDefault="008B3EA1" w:rsidP="005C7B8C">
            <w:pPr>
              <w:keepNext/>
              <w:keepLines/>
              <w:widowControl w:val="0"/>
              <w:numPr>
                <w:ilvl w:val="0"/>
                <w:numId w:val="10"/>
              </w:numPr>
              <w:ind w:left="254" w:hanging="142"/>
              <w:jc w:val="left"/>
              <w:rPr>
                <w:rFonts w:ascii="Arial Narrow" w:hAnsi="Arial Narrow" w:cs="Times New Roman"/>
                <w:iCs/>
                <w:color w:val="000000"/>
                <w:sz w:val="20"/>
                <w:szCs w:val="20"/>
                <w:lang w:eastAsia="zh-CN"/>
              </w:rPr>
            </w:pPr>
            <w:r>
              <w:rPr>
                <w:rFonts w:ascii="Arial Narrow" w:hAnsi="Arial Narrow" w:cs="Times New Roman"/>
                <w:iCs/>
                <w:color w:val="000000"/>
                <w:sz w:val="20"/>
                <w:szCs w:val="20"/>
                <w:lang w:eastAsia="zh-CN"/>
              </w:rPr>
              <w:t xml:space="preserve">Assuming recurrence rate for SoC based on Western Australia data from Alfayyadh et al 2019: </w:t>
            </w:r>
            <w:r w:rsidR="000C500F">
              <w:rPr>
                <w:rFonts w:ascii="Arial Narrow" w:hAnsi="Arial Narrow" w:cs="Times New Roman"/>
                <w:iCs/>
                <w:color w:val="000000"/>
                <w:sz w:val="20"/>
                <w:szCs w:val="20"/>
                <w:lang w:eastAsia="zh-CN"/>
              </w:rPr>
              <w:t>Bezlotoxumab</w:t>
            </w:r>
            <w:r>
              <w:rPr>
                <w:rFonts w:ascii="Arial Narrow" w:hAnsi="Arial Narrow" w:cs="Times New Roman"/>
                <w:iCs/>
                <w:color w:val="000000"/>
                <w:sz w:val="20"/>
                <w:szCs w:val="20"/>
                <w:lang w:eastAsia="zh-CN"/>
              </w:rPr>
              <w:t xml:space="preserve"> 15.9% (assuming same relative risk reduction); SoC 31.9%</w:t>
            </w:r>
          </w:p>
        </w:tc>
        <w:tc>
          <w:tcPr>
            <w:tcW w:w="0" w:type="auto"/>
            <w:tcBorders>
              <w:left w:val="nil"/>
              <w:right w:val="single" w:sz="4" w:space="0" w:color="auto"/>
            </w:tcBorders>
            <w:shd w:val="clear" w:color="auto" w:fill="auto"/>
            <w:vAlign w:val="center"/>
          </w:tcPr>
          <w:p w:rsidR="008B3EA1" w:rsidRPr="00416632" w:rsidRDefault="008B3EA1" w:rsidP="005C7B8C">
            <w:pPr>
              <w:keepNext/>
              <w:keepLines/>
              <w:jc w:val="center"/>
              <w:rPr>
                <w:rFonts w:ascii="Arial Narrow" w:hAnsi="Arial Narrow" w:cs="Times New Roman"/>
                <w:i/>
                <w:color w:val="000000"/>
                <w:sz w:val="20"/>
                <w:szCs w:val="20"/>
                <w:lang w:eastAsia="zh-CN"/>
              </w:rPr>
            </w:pPr>
            <w:r>
              <w:rPr>
                <w:rFonts w:ascii="Arial Narrow" w:hAnsi="Arial Narrow" w:cs="Times New Roman"/>
                <w:i/>
                <w:color w:val="000000"/>
                <w:sz w:val="20"/>
                <w:szCs w:val="20"/>
                <w:lang w:eastAsia="zh-CN"/>
              </w:rPr>
              <w:t>-$</w:t>
            </w:r>
            <w:r w:rsidR="006F551D">
              <w:rPr>
                <w:rFonts w:ascii="Arial Narrow" w:hAnsi="Arial Narrow" w:cs="Times New Roman"/>
                <w:i/>
                <w:noProof/>
                <w:color w:val="000000"/>
                <w:sz w:val="20"/>
                <w:szCs w:val="20"/>
                <w:highlight w:val="black"/>
                <w:lang w:eastAsia="zh-CN"/>
              </w:rPr>
              <w:t>'''''''''''''''''</w:t>
            </w:r>
          </w:p>
        </w:tc>
        <w:tc>
          <w:tcPr>
            <w:tcW w:w="0" w:type="auto"/>
            <w:tcBorders>
              <w:left w:val="nil"/>
              <w:right w:val="single" w:sz="4" w:space="0" w:color="auto"/>
            </w:tcBorders>
            <w:shd w:val="clear" w:color="auto" w:fill="auto"/>
            <w:vAlign w:val="center"/>
          </w:tcPr>
          <w:p w:rsidR="008B3EA1" w:rsidRPr="00416632" w:rsidRDefault="008B3EA1" w:rsidP="005C7B8C">
            <w:pPr>
              <w:keepNext/>
              <w:keepLines/>
              <w:jc w:val="center"/>
              <w:rPr>
                <w:rFonts w:ascii="Arial Narrow" w:hAnsi="Arial Narrow" w:cs="Times New Roman"/>
                <w:i/>
                <w:color w:val="000000"/>
                <w:sz w:val="20"/>
                <w:szCs w:val="20"/>
                <w:lang w:eastAsia="zh-CN"/>
              </w:rPr>
            </w:pPr>
            <w:r>
              <w:rPr>
                <w:rFonts w:ascii="Arial Narrow" w:hAnsi="Arial Narrow" w:cs="Times New Roman"/>
                <w:i/>
                <w:color w:val="000000"/>
                <w:sz w:val="20"/>
                <w:szCs w:val="20"/>
                <w:lang w:eastAsia="zh-CN"/>
              </w:rPr>
              <w:t>0.0113</w:t>
            </w:r>
          </w:p>
        </w:tc>
        <w:tc>
          <w:tcPr>
            <w:tcW w:w="0" w:type="auto"/>
            <w:tcBorders>
              <w:left w:val="nil"/>
              <w:right w:val="single" w:sz="4" w:space="0" w:color="auto"/>
            </w:tcBorders>
            <w:shd w:val="clear" w:color="auto" w:fill="auto"/>
            <w:vAlign w:val="center"/>
          </w:tcPr>
          <w:p w:rsidR="008B3EA1" w:rsidRPr="00416632" w:rsidRDefault="008B3EA1" w:rsidP="005C7B8C">
            <w:pPr>
              <w:keepNext/>
              <w:keepLines/>
              <w:jc w:val="center"/>
              <w:rPr>
                <w:rFonts w:ascii="Arial Narrow" w:hAnsi="Arial Narrow" w:cs="Times New Roman"/>
                <w:iCs/>
                <w:color w:val="000000"/>
                <w:sz w:val="20"/>
                <w:szCs w:val="20"/>
                <w:lang w:eastAsia="zh-CN"/>
              </w:rPr>
            </w:pPr>
            <w:r>
              <w:rPr>
                <w:rFonts w:ascii="Arial Narrow" w:hAnsi="Arial Narrow" w:cs="Times New Roman"/>
                <w:iCs/>
                <w:color w:val="000000"/>
                <w:sz w:val="20"/>
                <w:szCs w:val="20"/>
                <w:lang w:eastAsia="zh-CN"/>
              </w:rPr>
              <w:t>Domina</w:t>
            </w:r>
            <w:r w:rsidR="008310FA">
              <w:rPr>
                <w:rFonts w:ascii="Arial Narrow" w:hAnsi="Arial Narrow" w:cs="Times New Roman"/>
                <w:iCs/>
                <w:color w:val="000000"/>
                <w:sz w:val="20"/>
                <w:szCs w:val="20"/>
                <w:lang w:eastAsia="zh-CN"/>
              </w:rPr>
              <w:t>nt</w:t>
            </w:r>
          </w:p>
        </w:tc>
      </w:tr>
      <w:tr w:rsidR="00FE3E81" w:rsidRPr="00416632" w:rsidTr="00E5753D">
        <w:trPr>
          <w:trHeight w:val="70"/>
        </w:trPr>
        <w:tc>
          <w:tcPr>
            <w:tcW w:w="0" w:type="auto"/>
            <w:tcBorders>
              <w:left w:val="single" w:sz="4" w:space="0" w:color="auto"/>
              <w:bottom w:val="single" w:sz="4" w:space="0" w:color="auto"/>
              <w:right w:val="single" w:sz="4" w:space="0" w:color="auto"/>
            </w:tcBorders>
            <w:shd w:val="clear" w:color="auto" w:fill="auto"/>
            <w:vAlign w:val="center"/>
          </w:tcPr>
          <w:p w:rsidR="00FE3E81" w:rsidRPr="00480AD8" w:rsidRDefault="00FE3E81" w:rsidP="005C7B8C">
            <w:pPr>
              <w:keepNext/>
              <w:keepLines/>
              <w:widowControl w:val="0"/>
              <w:numPr>
                <w:ilvl w:val="0"/>
                <w:numId w:val="10"/>
              </w:numPr>
              <w:ind w:left="254" w:hanging="142"/>
              <w:jc w:val="left"/>
              <w:rPr>
                <w:rFonts w:ascii="Arial Narrow" w:hAnsi="Arial Narrow" w:cs="Times New Roman"/>
                <w:iCs/>
                <w:color w:val="000000"/>
                <w:sz w:val="20"/>
                <w:szCs w:val="20"/>
                <w:lang w:eastAsia="zh-CN"/>
              </w:rPr>
            </w:pPr>
            <w:r w:rsidRPr="00480AD8">
              <w:rPr>
                <w:rFonts w:ascii="Arial Narrow" w:hAnsi="Arial Narrow" w:cs="Times New Roman"/>
                <w:color w:val="000000"/>
                <w:sz w:val="20"/>
                <w:szCs w:val="20"/>
                <w:lang w:eastAsia="zh-CN"/>
              </w:rPr>
              <w:t xml:space="preserve">Assuming recurrence rate for SoC based on data from MODIFY trial subgroup ≥1 of 2 risk factors: </w:t>
            </w:r>
            <w:r w:rsidR="000C500F" w:rsidRPr="00480AD8">
              <w:rPr>
                <w:rFonts w:ascii="Arial Narrow" w:hAnsi="Arial Narrow" w:cs="Times New Roman"/>
                <w:color w:val="000000"/>
                <w:sz w:val="20"/>
                <w:szCs w:val="20"/>
                <w:lang w:eastAsia="zh-CN"/>
              </w:rPr>
              <w:t>Bezlotoxumab</w:t>
            </w:r>
            <w:r w:rsidRPr="00480AD8">
              <w:rPr>
                <w:rFonts w:ascii="Arial Narrow" w:hAnsi="Arial Narrow" w:cs="Times New Roman"/>
                <w:color w:val="000000"/>
                <w:sz w:val="20"/>
                <w:szCs w:val="20"/>
                <w:lang w:eastAsia="zh-CN"/>
              </w:rPr>
              <w:t xml:space="preserve"> 16.1%; SoC 32.3%</w:t>
            </w:r>
          </w:p>
        </w:tc>
        <w:tc>
          <w:tcPr>
            <w:tcW w:w="0" w:type="auto"/>
            <w:tcBorders>
              <w:left w:val="nil"/>
              <w:bottom w:val="single" w:sz="4" w:space="0" w:color="auto"/>
              <w:right w:val="single" w:sz="4" w:space="0" w:color="auto"/>
            </w:tcBorders>
            <w:shd w:val="clear" w:color="auto" w:fill="auto"/>
            <w:vAlign w:val="center"/>
          </w:tcPr>
          <w:p w:rsidR="00FE3E81" w:rsidRPr="00480AD8" w:rsidRDefault="00FE3E81" w:rsidP="005C7B8C">
            <w:pPr>
              <w:keepNext/>
              <w:keepLines/>
              <w:jc w:val="center"/>
              <w:rPr>
                <w:rFonts w:ascii="Arial Narrow" w:hAnsi="Arial Narrow" w:cs="Times New Roman"/>
                <w:color w:val="000000"/>
                <w:sz w:val="20"/>
                <w:szCs w:val="20"/>
                <w:lang w:eastAsia="zh-CN"/>
              </w:rPr>
            </w:pPr>
            <w:r w:rsidRPr="00480AD8">
              <w:rPr>
                <w:rFonts w:ascii="Arial Narrow" w:hAnsi="Arial Narrow" w:cs="Times New Roman"/>
                <w:color w:val="000000"/>
                <w:sz w:val="20"/>
                <w:szCs w:val="20"/>
                <w:lang w:eastAsia="zh-CN"/>
              </w:rPr>
              <w:t>-$</w:t>
            </w:r>
            <w:r w:rsidR="006F551D">
              <w:rPr>
                <w:rFonts w:ascii="Arial Narrow" w:hAnsi="Arial Narrow" w:cs="Times New Roman"/>
                <w:noProof/>
                <w:color w:val="000000"/>
                <w:sz w:val="20"/>
                <w:szCs w:val="20"/>
                <w:highlight w:val="black"/>
                <w:lang w:eastAsia="zh-CN"/>
              </w:rPr>
              <w:t>'''''''''''''''''</w:t>
            </w:r>
          </w:p>
        </w:tc>
        <w:tc>
          <w:tcPr>
            <w:tcW w:w="0" w:type="auto"/>
            <w:tcBorders>
              <w:left w:val="nil"/>
              <w:bottom w:val="single" w:sz="4" w:space="0" w:color="auto"/>
              <w:right w:val="single" w:sz="4" w:space="0" w:color="auto"/>
            </w:tcBorders>
            <w:shd w:val="clear" w:color="auto" w:fill="auto"/>
            <w:vAlign w:val="center"/>
          </w:tcPr>
          <w:p w:rsidR="00FE3E81" w:rsidRPr="00480AD8" w:rsidRDefault="00FE3E81" w:rsidP="005C7B8C">
            <w:pPr>
              <w:keepNext/>
              <w:keepLines/>
              <w:jc w:val="center"/>
              <w:rPr>
                <w:rFonts w:ascii="Arial Narrow" w:hAnsi="Arial Narrow" w:cs="Times New Roman"/>
                <w:color w:val="000000"/>
                <w:sz w:val="20"/>
                <w:szCs w:val="20"/>
                <w:lang w:eastAsia="zh-CN"/>
              </w:rPr>
            </w:pPr>
            <w:r w:rsidRPr="00480AD8">
              <w:rPr>
                <w:rFonts w:ascii="Arial Narrow" w:hAnsi="Arial Narrow" w:cs="Times New Roman"/>
                <w:color w:val="000000"/>
                <w:sz w:val="20"/>
                <w:szCs w:val="20"/>
                <w:lang w:eastAsia="zh-CN"/>
              </w:rPr>
              <w:t>0.0114</w:t>
            </w:r>
          </w:p>
        </w:tc>
        <w:tc>
          <w:tcPr>
            <w:tcW w:w="0" w:type="auto"/>
            <w:tcBorders>
              <w:left w:val="nil"/>
              <w:bottom w:val="single" w:sz="4" w:space="0" w:color="auto"/>
              <w:right w:val="single" w:sz="4" w:space="0" w:color="auto"/>
            </w:tcBorders>
            <w:shd w:val="clear" w:color="auto" w:fill="auto"/>
            <w:vAlign w:val="center"/>
          </w:tcPr>
          <w:p w:rsidR="00FE3E81" w:rsidRPr="00480AD8" w:rsidRDefault="00FE3E81" w:rsidP="005C7B8C">
            <w:pPr>
              <w:keepNext/>
              <w:keepLines/>
              <w:jc w:val="center"/>
              <w:rPr>
                <w:rFonts w:ascii="Arial Narrow" w:hAnsi="Arial Narrow" w:cs="Times New Roman"/>
                <w:iCs/>
                <w:color w:val="000000"/>
                <w:sz w:val="20"/>
                <w:szCs w:val="20"/>
                <w:lang w:eastAsia="zh-CN"/>
              </w:rPr>
            </w:pPr>
            <w:r w:rsidRPr="00480AD8">
              <w:rPr>
                <w:rFonts w:ascii="Arial Narrow" w:hAnsi="Arial Narrow" w:cs="Times New Roman"/>
                <w:color w:val="000000"/>
                <w:sz w:val="20"/>
                <w:szCs w:val="20"/>
                <w:lang w:eastAsia="zh-CN"/>
              </w:rPr>
              <w:t>Domina</w:t>
            </w:r>
            <w:r w:rsidR="008310FA" w:rsidRPr="00480AD8">
              <w:rPr>
                <w:rFonts w:ascii="Arial Narrow" w:hAnsi="Arial Narrow" w:cs="Times New Roman"/>
                <w:color w:val="000000"/>
                <w:sz w:val="20"/>
                <w:szCs w:val="20"/>
                <w:lang w:eastAsia="zh-CN"/>
              </w:rPr>
              <w:t>nt</w:t>
            </w:r>
            <w:r w:rsidR="00480AD8">
              <w:rPr>
                <w:rFonts w:ascii="Arial Narrow" w:hAnsi="Arial Narrow" w:cs="Times New Roman"/>
                <w:color w:val="000000"/>
                <w:sz w:val="20"/>
                <w:szCs w:val="20"/>
                <w:lang w:eastAsia="zh-CN"/>
              </w:rPr>
              <w:t>*</w:t>
            </w:r>
          </w:p>
        </w:tc>
      </w:tr>
      <w:tr w:rsidR="00D94865" w:rsidRPr="00416632" w:rsidTr="00E5753D">
        <w:trPr>
          <w:trHeight w:val="92"/>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D94865" w:rsidRPr="00416632" w:rsidRDefault="00D94865" w:rsidP="005C7B8C">
            <w:pPr>
              <w:keepNext/>
              <w:keepLines/>
              <w:jc w:val="left"/>
              <w:rPr>
                <w:rFonts w:ascii="Arial Narrow" w:hAnsi="Arial Narrow" w:cs="Times New Roman"/>
                <w:b/>
                <w:bCs/>
                <w:iCs/>
                <w:color w:val="000000"/>
                <w:sz w:val="20"/>
                <w:szCs w:val="20"/>
                <w:lang w:eastAsia="zh-CN"/>
              </w:rPr>
            </w:pPr>
            <w:r w:rsidRPr="00416632">
              <w:rPr>
                <w:rFonts w:ascii="Arial Narrow" w:hAnsi="Arial Narrow" w:cs="Times New Roman"/>
                <w:b/>
                <w:bCs/>
                <w:iCs/>
                <w:color w:val="000000"/>
                <w:sz w:val="20"/>
                <w:szCs w:val="20"/>
                <w:lang w:eastAsia="zh-CN"/>
              </w:rPr>
              <w:t>Proportion of recurrences which are severe</w:t>
            </w:r>
          </w:p>
        </w:tc>
      </w:tr>
      <w:tr w:rsidR="00D94865" w:rsidRPr="00416632" w:rsidTr="00E17CFC">
        <w:trPr>
          <w:trHeight w:val="241"/>
        </w:trPr>
        <w:tc>
          <w:tcPr>
            <w:tcW w:w="0" w:type="auto"/>
            <w:tcBorders>
              <w:top w:val="single" w:sz="4" w:space="0" w:color="auto"/>
              <w:left w:val="single" w:sz="4" w:space="0" w:color="auto"/>
              <w:right w:val="single" w:sz="4" w:space="0" w:color="auto"/>
            </w:tcBorders>
            <w:shd w:val="clear" w:color="auto" w:fill="auto"/>
            <w:vAlign w:val="center"/>
          </w:tcPr>
          <w:p w:rsidR="00D94865" w:rsidRPr="00416632" w:rsidRDefault="00D94865" w:rsidP="005C7B8C">
            <w:pPr>
              <w:keepNext/>
              <w:keepLines/>
              <w:widowControl w:val="0"/>
              <w:numPr>
                <w:ilvl w:val="0"/>
                <w:numId w:val="10"/>
              </w:numPr>
              <w:ind w:left="254" w:hanging="142"/>
              <w:jc w:val="left"/>
              <w:rPr>
                <w:rFonts w:ascii="Arial Narrow" w:hAnsi="Arial Narrow" w:cs="Times New Roman"/>
                <w:i/>
                <w:color w:val="000000"/>
                <w:sz w:val="20"/>
                <w:szCs w:val="20"/>
                <w:lang w:eastAsia="zh-CN"/>
              </w:rPr>
            </w:pPr>
            <w:r w:rsidRPr="00416632">
              <w:rPr>
                <w:rFonts w:ascii="Arial Narrow" w:hAnsi="Arial Narrow" w:cs="Times New Roman"/>
                <w:b/>
                <w:bCs/>
                <w:color w:val="000000"/>
                <w:sz w:val="20"/>
                <w:szCs w:val="20"/>
                <w:lang w:eastAsia="zh-CN"/>
              </w:rPr>
              <w:t>Base ca</w:t>
            </w:r>
            <w:r>
              <w:rPr>
                <w:rFonts w:ascii="Arial Narrow" w:hAnsi="Arial Narrow" w:cs="Times New Roman"/>
                <w:b/>
                <w:bCs/>
                <w:color w:val="000000"/>
                <w:sz w:val="20"/>
                <w:szCs w:val="20"/>
                <w:lang w:eastAsia="zh-CN"/>
              </w:rPr>
              <w:t>se: 15.0</w:t>
            </w:r>
            <w:r w:rsidRPr="00416632">
              <w:rPr>
                <w:rFonts w:ascii="Arial Narrow" w:hAnsi="Arial Narrow" w:cs="Times New Roman"/>
                <w:b/>
                <w:bCs/>
                <w:color w:val="000000"/>
                <w:sz w:val="20"/>
                <w:szCs w:val="20"/>
                <w:lang w:eastAsia="zh-CN"/>
              </w:rPr>
              <w:t>%</w:t>
            </w:r>
          </w:p>
        </w:tc>
        <w:tc>
          <w:tcPr>
            <w:tcW w:w="0" w:type="auto"/>
            <w:tcBorders>
              <w:top w:val="single" w:sz="4" w:space="0" w:color="auto"/>
              <w:left w:val="nil"/>
              <w:right w:val="single" w:sz="4" w:space="0" w:color="auto"/>
            </w:tcBorders>
            <w:shd w:val="clear" w:color="auto" w:fill="auto"/>
            <w:vAlign w:val="center"/>
          </w:tcPr>
          <w:p w:rsidR="00D94865" w:rsidRPr="00416632" w:rsidRDefault="00D94865" w:rsidP="005C7B8C">
            <w:pPr>
              <w:keepNext/>
              <w:keepLines/>
              <w:jc w:val="center"/>
              <w:rPr>
                <w:rFonts w:ascii="Arial Narrow" w:hAnsi="Arial Narrow" w:cs="Times New Roman"/>
                <w:i/>
                <w:color w:val="000000"/>
                <w:sz w:val="20"/>
                <w:szCs w:val="20"/>
                <w:lang w:eastAsia="zh-CN"/>
              </w:rPr>
            </w:pPr>
            <w:r>
              <w:rPr>
                <w:rFonts w:ascii="Arial Narrow" w:hAnsi="Arial Narrow" w:cs="Times New Roman"/>
                <w:b/>
                <w:bCs/>
                <w:color w:val="000000"/>
                <w:sz w:val="20"/>
                <w:szCs w:val="20"/>
                <w:lang w:eastAsia="zh-CN"/>
              </w:rPr>
              <w:t>$</w:t>
            </w:r>
            <w:r w:rsidR="006F551D">
              <w:rPr>
                <w:rFonts w:ascii="Arial Narrow" w:hAnsi="Arial Narrow" w:cs="Times New Roman"/>
                <w:b/>
                <w:bCs/>
                <w:noProof/>
                <w:color w:val="000000"/>
                <w:sz w:val="20"/>
                <w:szCs w:val="20"/>
                <w:highlight w:val="black"/>
                <w:lang w:eastAsia="zh-CN"/>
              </w:rPr>
              <w:t>''''''''''''''</w:t>
            </w:r>
          </w:p>
        </w:tc>
        <w:tc>
          <w:tcPr>
            <w:tcW w:w="0" w:type="auto"/>
            <w:tcBorders>
              <w:top w:val="single" w:sz="4" w:space="0" w:color="auto"/>
              <w:left w:val="nil"/>
              <w:right w:val="single" w:sz="4" w:space="0" w:color="auto"/>
            </w:tcBorders>
            <w:shd w:val="clear" w:color="auto" w:fill="auto"/>
            <w:vAlign w:val="center"/>
          </w:tcPr>
          <w:p w:rsidR="00D94865" w:rsidRPr="00416632" w:rsidRDefault="00D94865" w:rsidP="005C7B8C">
            <w:pPr>
              <w:keepNext/>
              <w:keepLines/>
              <w:jc w:val="center"/>
              <w:rPr>
                <w:rFonts w:ascii="Arial Narrow" w:hAnsi="Arial Narrow" w:cs="Times New Roman"/>
                <w:i/>
                <w:color w:val="000000"/>
                <w:sz w:val="20"/>
                <w:szCs w:val="20"/>
                <w:lang w:eastAsia="zh-CN"/>
              </w:rPr>
            </w:pPr>
            <w:r>
              <w:rPr>
                <w:rFonts w:ascii="Arial Narrow" w:hAnsi="Arial Narrow" w:cs="Times New Roman"/>
                <w:b/>
                <w:bCs/>
                <w:color w:val="000000"/>
                <w:sz w:val="20"/>
                <w:szCs w:val="20"/>
                <w:lang w:eastAsia="zh-CN"/>
              </w:rPr>
              <w:t>0.0085</w:t>
            </w:r>
          </w:p>
        </w:tc>
        <w:tc>
          <w:tcPr>
            <w:tcW w:w="0" w:type="auto"/>
            <w:tcBorders>
              <w:top w:val="single" w:sz="4" w:space="0" w:color="auto"/>
              <w:left w:val="nil"/>
              <w:right w:val="single" w:sz="4" w:space="0" w:color="auto"/>
            </w:tcBorders>
            <w:shd w:val="clear" w:color="auto" w:fill="auto"/>
            <w:vAlign w:val="center"/>
          </w:tcPr>
          <w:p w:rsidR="00D94865" w:rsidRPr="00416632" w:rsidRDefault="00D94865" w:rsidP="005C7B8C">
            <w:pPr>
              <w:keepNext/>
              <w:keepLines/>
              <w:jc w:val="center"/>
              <w:rPr>
                <w:rFonts w:ascii="Arial Narrow" w:hAnsi="Arial Narrow" w:cs="Times New Roman"/>
                <w:i/>
                <w:color w:val="000000"/>
                <w:sz w:val="20"/>
                <w:szCs w:val="20"/>
                <w:lang w:eastAsia="zh-CN"/>
              </w:rPr>
            </w:pPr>
            <w:r>
              <w:rPr>
                <w:rFonts w:ascii="Arial Narrow" w:hAnsi="Arial Narrow" w:cs="Times New Roman"/>
                <w:b/>
                <w:bCs/>
                <w:color w:val="000000"/>
                <w:sz w:val="20"/>
                <w:szCs w:val="20"/>
                <w:lang w:eastAsia="zh-CN"/>
              </w:rPr>
              <w:t>$</w:t>
            </w:r>
            <w:r w:rsidR="006F551D">
              <w:rPr>
                <w:rFonts w:ascii="Arial Narrow" w:hAnsi="Arial Narrow" w:cs="Times New Roman"/>
                <w:b/>
                <w:bCs/>
                <w:noProof/>
                <w:color w:val="000000"/>
                <w:sz w:val="20"/>
                <w:szCs w:val="20"/>
                <w:highlight w:val="black"/>
                <w:lang w:eastAsia="zh-CN"/>
              </w:rPr>
              <w:t>'''''''''''''</w:t>
            </w:r>
          </w:p>
        </w:tc>
      </w:tr>
      <w:tr w:rsidR="00D94865" w:rsidRPr="00416632" w:rsidTr="004811FE">
        <w:trPr>
          <w:cantSplit/>
          <w:trHeight w:val="70"/>
        </w:trPr>
        <w:tc>
          <w:tcPr>
            <w:tcW w:w="0" w:type="auto"/>
            <w:tcBorders>
              <w:left w:val="single" w:sz="4" w:space="0" w:color="auto"/>
              <w:right w:val="single" w:sz="4" w:space="0" w:color="auto"/>
            </w:tcBorders>
            <w:shd w:val="clear" w:color="auto" w:fill="auto"/>
            <w:vAlign w:val="center"/>
          </w:tcPr>
          <w:p w:rsidR="00D94865" w:rsidRPr="00480AD8" w:rsidRDefault="00D94865" w:rsidP="005C7B8C">
            <w:pPr>
              <w:keepNext/>
              <w:keepLines/>
              <w:widowControl w:val="0"/>
              <w:numPr>
                <w:ilvl w:val="0"/>
                <w:numId w:val="10"/>
              </w:numPr>
              <w:ind w:left="254" w:hanging="142"/>
              <w:jc w:val="left"/>
              <w:rPr>
                <w:rFonts w:ascii="Arial Narrow" w:hAnsi="Arial Narrow" w:cs="Times New Roman"/>
                <w:color w:val="000000"/>
                <w:sz w:val="20"/>
                <w:szCs w:val="20"/>
                <w:lang w:val="fr-FR" w:eastAsia="zh-CN"/>
              </w:rPr>
            </w:pPr>
            <w:r w:rsidRPr="00480AD8">
              <w:rPr>
                <w:rFonts w:ascii="Arial Narrow" w:hAnsi="Arial Narrow" w:cs="Times New Roman"/>
                <w:color w:val="000000"/>
                <w:sz w:val="20"/>
                <w:szCs w:val="20"/>
                <w:lang w:val="fr-FR" w:eastAsia="zh-CN"/>
              </w:rPr>
              <w:t>8.3% based on Salavert et al 2018</w:t>
            </w:r>
          </w:p>
        </w:tc>
        <w:tc>
          <w:tcPr>
            <w:tcW w:w="0" w:type="auto"/>
            <w:tcBorders>
              <w:left w:val="nil"/>
              <w:right w:val="single" w:sz="4" w:space="0" w:color="auto"/>
            </w:tcBorders>
            <w:shd w:val="clear" w:color="auto" w:fill="auto"/>
            <w:vAlign w:val="center"/>
          </w:tcPr>
          <w:p w:rsidR="00D94865" w:rsidRPr="00480AD8" w:rsidRDefault="00D94865" w:rsidP="005C7B8C">
            <w:pPr>
              <w:keepNext/>
              <w:keepLines/>
              <w:jc w:val="center"/>
              <w:rPr>
                <w:rFonts w:ascii="Arial Narrow" w:hAnsi="Arial Narrow" w:cs="Times New Roman"/>
                <w:color w:val="000000"/>
                <w:sz w:val="20"/>
                <w:szCs w:val="20"/>
                <w:lang w:eastAsia="zh-CN"/>
              </w:rPr>
            </w:pPr>
            <w:r w:rsidRPr="00480AD8">
              <w:rPr>
                <w:rFonts w:ascii="Arial Narrow" w:hAnsi="Arial Narrow" w:cs="Times New Roman"/>
                <w:color w:val="000000"/>
                <w:sz w:val="20"/>
                <w:szCs w:val="20"/>
                <w:lang w:eastAsia="zh-CN"/>
              </w:rPr>
              <w:t>$</w:t>
            </w:r>
            <w:r w:rsidR="006F551D">
              <w:rPr>
                <w:rFonts w:ascii="Arial Narrow" w:hAnsi="Arial Narrow" w:cs="Times New Roman"/>
                <w:noProof/>
                <w:color w:val="000000"/>
                <w:sz w:val="20"/>
                <w:szCs w:val="20"/>
                <w:highlight w:val="black"/>
                <w:lang w:eastAsia="zh-CN"/>
              </w:rPr>
              <w:t>''''''''</w:t>
            </w:r>
          </w:p>
        </w:tc>
        <w:tc>
          <w:tcPr>
            <w:tcW w:w="0" w:type="auto"/>
            <w:tcBorders>
              <w:left w:val="nil"/>
              <w:right w:val="single" w:sz="4" w:space="0" w:color="auto"/>
            </w:tcBorders>
            <w:shd w:val="clear" w:color="auto" w:fill="auto"/>
            <w:vAlign w:val="center"/>
          </w:tcPr>
          <w:p w:rsidR="00D94865" w:rsidRPr="00480AD8" w:rsidRDefault="00D94865" w:rsidP="005C7B8C">
            <w:pPr>
              <w:keepNext/>
              <w:keepLines/>
              <w:jc w:val="center"/>
              <w:rPr>
                <w:rFonts w:ascii="Arial Narrow" w:hAnsi="Arial Narrow" w:cs="Times New Roman"/>
                <w:iCs/>
                <w:color w:val="000000"/>
                <w:sz w:val="20"/>
                <w:szCs w:val="20"/>
                <w:lang w:eastAsia="zh-CN"/>
              </w:rPr>
            </w:pPr>
            <w:r w:rsidRPr="00480AD8">
              <w:rPr>
                <w:rFonts w:ascii="Arial Narrow" w:hAnsi="Arial Narrow" w:cs="Times New Roman"/>
                <w:color w:val="000000"/>
                <w:sz w:val="20"/>
                <w:szCs w:val="20"/>
                <w:lang w:eastAsia="zh-CN"/>
              </w:rPr>
              <w:t>0.0084</w:t>
            </w:r>
          </w:p>
        </w:tc>
        <w:tc>
          <w:tcPr>
            <w:tcW w:w="0" w:type="auto"/>
            <w:tcBorders>
              <w:left w:val="nil"/>
              <w:right w:val="single" w:sz="4" w:space="0" w:color="auto"/>
            </w:tcBorders>
            <w:shd w:val="clear" w:color="auto" w:fill="auto"/>
            <w:vAlign w:val="center"/>
          </w:tcPr>
          <w:p w:rsidR="00D94865" w:rsidRPr="00480AD8" w:rsidRDefault="00D94865" w:rsidP="005C7B8C">
            <w:pPr>
              <w:keepNext/>
              <w:keepLines/>
              <w:jc w:val="center"/>
              <w:rPr>
                <w:rFonts w:ascii="Arial Narrow" w:hAnsi="Arial Narrow" w:cs="Times New Roman"/>
                <w:color w:val="000000"/>
                <w:sz w:val="20"/>
                <w:szCs w:val="20"/>
                <w:lang w:eastAsia="zh-CN"/>
              </w:rPr>
            </w:pPr>
            <w:r w:rsidRPr="00480AD8">
              <w:rPr>
                <w:rFonts w:ascii="Arial Narrow" w:hAnsi="Arial Narrow" w:cs="Times New Roman"/>
                <w:color w:val="000000"/>
                <w:sz w:val="20"/>
                <w:szCs w:val="20"/>
                <w:lang w:eastAsia="zh-CN"/>
              </w:rPr>
              <w:t>$</w:t>
            </w:r>
            <w:r w:rsidR="006F551D">
              <w:rPr>
                <w:rFonts w:ascii="Arial Narrow" w:hAnsi="Arial Narrow" w:cs="Times New Roman"/>
                <w:noProof/>
                <w:color w:val="000000"/>
                <w:sz w:val="20"/>
                <w:szCs w:val="20"/>
                <w:highlight w:val="black"/>
                <w:lang w:eastAsia="zh-CN"/>
              </w:rPr>
              <w:t>''''''''''''''''''</w:t>
            </w:r>
            <w:r w:rsidR="00480AD8">
              <w:rPr>
                <w:rFonts w:ascii="Arial Narrow" w:hAnsi="Arial Narrow" w:cs="Times New Roman"/>
                <w:color w:val="000000"/>
                <w:sz w:val="20"/>
                <w:szCs w:val="20"/>
                <w:lang w:eastAsia="zh-CN"/>
              </w:rPr>
              <w:t>*</w:t>
            </w:r>
          </w:p>
        </w:tc>
      </w:tr>
      <w:tr w:rsidR="00D94865" w:rsidRPr="00416632" w:rsidTr="004811FE">
        <w:trPr>
          <w:cantSplit/>
          <w:trHeight w:val="70"/>
        </w:trPr>
        <w:tc>
          <w:tcPr>
            <w:tcW w:w="0" w:type="auto"/>
            <w:tcBorders>
              <w:left w:val="single" w:sz="4" w:space="0" w:color="auto"/>
              <w:bottom w:val="single" w:sz="4" w:space="0" w:color="auto"/>
              <w:right w:val="single" w:sz="4" w:space="0" w:color="auto"/>
            </w:tcBorders>
            <w:shd w:val="clear" w:color="auto" w:fill="auto"/>
            <w:vAlign w:val="center"/>
          </w:tcPr>
          <w:p w:rsidR="00D94865" w:rsidRPr="00480AD8" w:rsidRDefault="00D94865" w:rsidP="005C7B8C">
            <w:pPr>
              <w:keepNext/>
              <w:keepLines/>
              <w:widowControl w:val="0"/>
              <w:numPr>
                <w:ilvl w:val="0"/>
                <w:numId w:val="10"/>
              </w:numPr>
              <w:ind w:left="254" w:hanging="142"/>
              <w:jc w:val="left"/>
              <w:rPr>
                <w:rFonts w:ascii="Arial Narrow" w:hAnsi="Arial Narrow" w:cs="Times New Roman"/>
                <w:color w:val="000000"/>
                <w:sz w:val="20"/>
                <w:szCs w:val="20"/>
                <w:lang w:eastAsia="zh-CN"/>
              </w:rPr>
            </w:pPr>
            <w:r w:rsidRPr="00480AD8">
              <w:rPr>
                <w:rFonts w:ascii="Arial Narrow" w:hAnsi="Arial Narrow" w:cs="Times New Roman"/>
                <w:color w:val="000000"/>
                <w:sz w:val="20"/>
                <w:szCs w:val="20"/>
                <w:lang w:eastAsia="zh-CN"/>
              </w:rPr>
              <w:t xml:space="preserve">12.9% based on MODIFY subgroup </w:t>
            </w:r>
            <w:r w:rsidRPr="00480AD8">
              <w:rPr>
                <w:rFonts w:ascii="Arial Narrow" w:hAnsi="Arial Narrow"/>
                <w:iCs/>
                <w:snapToGrid w:val="0"/>
                <w:sz w:val="20"/>
                <w:szCs w:val="22"/>
              </w:rPr>
              <w:t>taking account of all CDI recurrences where patients can have more than one CDI recurrence</w:t>
            </w:r>
          </w:p>
        </w:tc>
        <w:tc>
          <w:tcPr>
            <w:tcW w:w="0" w:type="auto"/>
            <w:tcBorders>
              <w:left w:val="nil"/>
              <w:bottom w:val="single" w:sz="4" w:space="0" w:color="auto"/>
              <w:right w:val="single" w:sz="4" w:space="0" w:color="auto"/>
            </w:tcBorders>
            <w:shd w:val="clear" w:color="auto" w:fill="auto"/>
            <w:vAlign w:val="center"/>
          </w:tcPr>
          <w:p w:rsidR="00D94865" w:rsidRPr="00480AD8" w:rsidRDefault="00D94865" w:rsidP="005C7B8C">
            <w:pPr>
              <w:keepNext/>
              <w:keepLines/>
              <w:jc w:val="center"/>
              <w:rPr>
                <w:rFonts w:ascii="Arial Narrow" w:hAnsi="Arial Narrow" w:cs="Times New Roman"/>
                <w:color w:val="000000"/>
                <w:sz w:val="20"/>
                <w:szCs w:val="20"/>
                <w:lang w:eastAsia="zh-CN"/>
              </w:rPr>
            </w:pPr>
            <w:r w:rsidRPr="00480AD8">
              <w:rPr>
                <w:rFonts w:ascii="Arial Narrow" w:hAnsi="Arial Narrow" w:cs="Times New Roman"/>
                <w:color w:val="000000"/>
                <w:sz w:val="20"/>
                <w:szCs w:val="20"/>
                <w:lang w:eastAsia="zh-CN"/>
              </w:rPr>
              <w:t>$</w:t>
            </w:r>
            <w:r w:rsidR="006F551D">
              <w:rPr>
                <w:rFonts w:ascii="Arial Narrow" w:hAnsi="Arial Narrow" w:cs="Times New Roman"/>
                <w:noProof/>
                <w:color w:val="000000"/>
                <w:sz w:val="20"/>
                <w:szCs w:val="20"/>
                <w:highlight w:val="black"/>
                <w:lang w:eastAsia="zh-CN"/>
              </w:rPr>
              <w:t>''''''''''</w:t>
            </w:r>
          </w:p>
        </w:tc>
        <w:tc>
          <w:tcPr>
            <w:tcW w:w="0" w:type="auto"/>
            <w:tcBorders>
              <w:left w:val="nil"/>
              <w:bottom w:val="single" w:sz="4" w:space="0" w:color="auto"/>
              <w:right w:val="single" w:sz="4" w:space="0" w:color="auto"/>
            </w:tcBorders>
            <w:shd w:val="clear" w:color="auto" w:fill="auto"/>
            <w:vAlign w:val="center"/>
          </w:tcPr>
          <w:p w:rsidR="00D94865" w:rsidRPr="00480AD8" w:rsidRDefault="00D94865" w:rsidP="005C7B8C">
            <w:pPr>
              <w:keepNext/>
              <w:keepLines/>
              <w:jc w:val="center"/>
              <w:rPr>
                <w:rFonts w:ascii="Arial Narrow" w:hAnsi="Arial Narrow" w:cs="Times New Roman"/>
                <w:iCs/>
                <w:color w:val="000000"/>
                <w:sz w:val="20"/>
                <w:szCs w:val="20"/>
                <w:lang w:eastAsia="zh-CN"/>
              </w:rPr>
            </w:pPr>
            <w:r w:rsidRPr="00480AD8">
              <w:rPr>
                <w:rFonts w:ascii="Arial Narrow" w:hAnsi="Arial Narrow" w:cs="Times New Roman"/>
                <w:iCs/>
                <w:color w:val="000000"/>
                <w:sz w:val="20"/>
                <w:szCs w:val="20"/>
                <w:lang w:eastAsia="zh-CN"/>
              </w:rPr>
              <w:t>0.0085</w:t>
            </w:r>
          </w:p>
        </w:tc>
        <w:tc>
          <w:tcPr>
            <w:tcW w:w="0" w:type="auto"/>
            <w:tcBorders>
              <w:left w:val="nil"/>
              <w:bottom w:val="single" w:sz="4" w:space="0" w:color="auto"/>
              <w:right w:val="single" w:sz="4" w:space="0" w:color="auto"/>
            </w:tcBorders>
            <w:shd w:val="clear" w:color="auto" w:fill="auto"/>
            <w:vAlign w:val="center"/>
          </w:tcPr>
          <w:p w:rsidR="00D94865" w:rsidRPr="00480AD8" w:rsidRDefault="00D94865" w:rsidP="005C7B8C">
            <w:pPr>
              <w:keepNext/>
              <w:keepLines/>
              <w:jc w:val="center"/>
              <w:rPr>
                <w:rFonts w:ascii="Arial Narrow" w:hAnsi="Arial Narrow" w:cs="Times New Roman"/>
                <w:color w:val="000000"/>
                <w:sz w:val="20"/>
                <w:szCs w:val="20"/>
                <w:lang w:eastAsia="zh-CN"/>
              </w:rPr>
            </w:pPr>
            <w:r w:rsidRPr="00480AD8">
              <w:rPr>
                <w:rFonts w:ascii="Arial Narrow" w:hAnsi="Arial Narrow" w:cs="Times New Roman"/>
                <w:color w:val="000000"/>
                <w:sz w:val="20"/>
                <w:szCs w:val="20"/>
                <w:lang w:eastAsia="zh-CN"/>
              </w:rPr>
              <w:t>$</w:t>
            </w:r>
            <w:r w:rsidR="006F551D">
              <w:rPr>
                <w:rFonts w:ascii="Arial Narrow" w:hAnsi="Arial Narrow" w:cs="Times New Roman"/>
                <w:noProof/>
                <w:color w:val="000000"/>
                <w:sz w:val="20"/>
                <w:szCs w:val="20"/>
                <w:highlight w:val="black"/>
                <w:lang w:eastAsia="zh-CN"/>
              </w:rPr>
              <w:t>''''''''''''''''</w:t>
            </w:r>
            <w:r w:rsidR="00480AD8">
              <w:rPr>
                <w:rFonts w:ascii="Arial Narrow" w:hAnsi="Arial Narrow" w:cs="Times New Roman"/>
                <w:color w:val="000000"/>
                <w:sz w:val="20"/>
                <w:szCs w:val="20"/>
                <w:lang w:eastAsia="zh-CN"/>
              </w:rPr>
              <w:t>*</w:t>
            </w:r>
          </w:p>
        </w:tc>
      </w:tr>
      <w:tr w:rsidR="00D94865" w:rsidRPr="00416632" w:rsidTr="00E17CFC">
        <w:trPr>
          <w:trHeight w:val="7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D94865" w:rsidRPr="00416632" w:rsidRDefault="00D94865" w:rsidP="005C7B8C">
            <w:pPr>
              <w:keepNext/>
              <w:keepLines/>
              <w:jc w:val="left"/>
              <w:rPr>
                <w:rFonts w:ascii="Arial Narrow" w:hAnsi="Arial Narrow" w:cs="Times New Roman"/>
                <w:b/>
                <w:bCs/>
                <w:iCs/>
                <w:color w:val="000000"/>
                <w:sz w:val="20"/>
                <w:szCs w:val="20"/>
                <w:lang w:eastAsia="zh-CN"/>
              </w:rPr>
            </w:pPr>
            <w:r w:rsidRPr="00416632">
              <w:rPr>
                <w:rFonts w:ascii="Arial Narrow" w:hAnsi="Arial Narrow" w:cs="Times New Roman"/>
                <w:b/>
                <w:bCs/>
                <w:iCs/>
                <w:color w:val="000000"/>
                <w:sz w:val="20"/>
                <w:szCs w:val="20"/>
                <w:lang w:eastAsia="zh-CN"/>
              </w:rPr>
              <w:t>Proportion of mild/moderate CDI requiring ho</w:t>
            </w:r>
            <w:r w:rsidRPr="00393453">
              <w:rPr>
                <w:rFonts w:ascii="Arial Narrow" w:hAnsi="Arial Narrow" w:cs="Times New Roman"/>
                <w:b/>
                <w:bCs/>
                <w:iCs/>
                <w:color w:val="000000"/>
                <w:sz w:val="20"/>
                <w:szCs w:val="20"/>
                <w:lang w:eastAsia="zh-CN"/>
              </w:rPr>
              <w:t>spitalisation</w:t>
            </w:r>
          </w:p>
        </w:tc>
      </w:tr>
      <w:tr w:rsidR="00D94865" w:rsidRPr="00416632" w:rsidTr="00E17CFC">
        <w:trPr>
          <w:trHeight w:val="70"/>
        </w:trPr>
        <w:tc>
          <w:tcPr>
            <w:tcW w:w="0" w:type="auto"/>
            <w:tcBorders>
              <w:top w:val="single" w:sz="4" w:space="0" w:color="auto"/>
              <w:left w:val="single" w:sz="4" w:space="0" w:color="auto"/>
              <w:right w:val="single" w:sz="4" w:space="0" w:color="auto"/>
            </w:tcBorders>
            <w:shd w:val="clear" w:color="auto" w:fill="auto"/>
            <w:vAlign w:val="center"/>
          </w:tcPr>
          <w:p w:rsidR="00D94865" w:rsidRPr="00416632" w:rsidRDefault="00D94865" w:rsidP="005C7B8C">
            <w:pPr>
              <w:keepNext/>
              <w:keepLines/>
              <w:widowControl w:val="0"/>
              <w:numPr>
                <w:ilvl w:val="0"/>
                <w:numId w:val="10"/>
              </w:numPr>
              <w:ind w:left="254" w:hanging="142"/>
              <w:jc w:val="left"/>
              <w:rPr>
                <w:rFonts w:ascii="Arial Narrow" w:hAnsi="Arial Narrow" w:cs="Times New Roman"/>
                <w:iCs/>
                <w:color w:val="000000"/>
                <w:sz w:val="20"/>
                <w:szCs w:val="20"/>
                <w:lang w:eastAsia="zh-CN"/>
              </w:rPr>
            </w:pPr>
            <w:r w:rsidRPr="00416632">
              <w:rPr>
                <w:rFonts w:ascii="Arial Narrow" w:hAnsi="Arial Narrow" w:cs="Times New Roman"/>
                <w:b/>
                <w:bCs/>
                <w:color w:val="000000"/>
                <w:sz w:val="20"/>
                <w:szCs w:val="20"/>
                <w:lang w:eastAsia="zh-CN"/>
              </w:rPr>
              <w:t>Base ca</w:t>
            </w:r>
            <w:r>
              <w:rPr>
                <w:rFonts w:ascii="Arial Narrow" w:hAnsi="Arial Narrow" w:cs="Times New Roman"/>
                <w:b/>
                <w:bCs/>
                <w:color w:val="000000"/>
                <w:sz w:val="20"/>
                <w:szCs w:val="20"/>
                <w:lang w:eastAsia="zh-CN"/>
              </w:rPr>
              <w:t>se: 56.7</w:t>
            </w:r>
            <w:r w:rsidRPr="00416632">
              <w:rPr>
                <w:rFonts w:ascii="Arial Narrow" w:hAnsi="Arial Narrow" w:cs="Times New Roman"/>
                <w:b/>
                <w:bCs/>
                <w:color w:val="000000"/>
                <w:sz w:val="20"/>
                <w:szCs w:val="20"/>
                <w:lang w:eastAsia="zh-CN"/>
              </w:rPr>
              <w:t>%</w:t>
            </w:r>
          </w:p>
        </w:tc>
        <w:tc>
          <w:tcPr>
            <w:tcW w:w="0" w:type="auto"/>
            <w:tcBorders>
              <w:top w:val="single" w:sz="4" w:space="0" w:color="auto"/>
              <w:left w:val="nil"/>
              <w:right w:val="single" w:sz="4" w:space="0" w:color="auto"/>
            </w:tcBorders>
            <w:shd w:val="clear" w:color="auto" w:fill="auto"/>
            <w:vAlign w:val="center"/>
          </w:tcPr>
          <w:p w:rsidR="00D94865" w:rsidRPr="00416632" w:rsidRDefault="00D94865" w:rsidP="005C7B8C">
            <w:pPr>
              <w:keepNext/>
              <w:keepLines/>
              <w:jc w:val="center"/>
              <w:rPr>
                <w:rFonts w:ascii="Arial Narrow" w:hAnsi="Arial Narrow" w:cs="Times New Roman"/>
                <w:i/>
                <w:color w:val="000000"/>
                <w:sz w:val="20"/>
                <w:szCs w:val="20"/>
                <w:lang w:eastAsia="zh-CN"/>
              </w:rPr>
            </w:pPr>
            <w:r>
              <w:rPr>
                <w:rFonts w:ascii="Arial Narrow" w:hAnsi="Arial Narrow" w:cs="Times New Roman"/>
                <w:b/>
                <w:bCs/>
                <w:color w:val="000000"/>
                <w:sz w:val="20"/>
                <w:szCs w:val="20"/>
                <w:lang w:eastAsia="zh-CN"/>
              </w:rPr>
              <w:t>$</w:t>
            </w:r>
            <w:r w:rsidR="006F551D">
              <w:rPr>
                <w:rFonts w:ascii="Arial Narrow" w:hAnsi="Arial Narrow" w:cs="Times New Roman"/>
                <w:b/>
                <w:bCs/>
                <w:noProof/>
                <w:color w:val="000000"/>
                <w:sz w:val="20"/>
                <w:szCs w:val="20"/>
                <w:highlight w:val="black"/>
                <w:lang w:eastAsia="zh-CN"/>
              </w:rPr>
              <w:t>''''''''''''''</w:t>
            </w:r>
          </w:p>
        </w:tc>
        <w:tc>
          <w:tcPr>
            <w:tcW w:w="0" w:type="auto"/>
            <w:tcBorders>
              <w:top w:val="single" w:sz="4" w:space="0" w:color="auto"/>
              <w:left w:val="nil"/>
              <w:right w:val="single" w:sz="4" w:space="0" w:color="auto"/>
            </w:tcBorders>
            <w:shd w:val="clear" w:color="auto" w:fill="auto"/>
            <w:vAlign w:val="center"/>
          </w:tcPr>
          <w:p w:rsidR="00D94865" w:rsidRPr="00416632" w:rsidRDefault="00D94865" w:rsidP="005C7B8C">
            <w:pPr>
              <w:keepNext/>
              <w:keepLines/>
              <w:jc w:val="center"/>
              <w:rPr>
                <w:rFonts w:ascii="Arial Narrow" w:hAnsi="Arial Narrow" w:cs="Times New Roman"/>
                <w:i/>
                <w:color w:val="000000"/>
                <w:sz w:val="20"/>
                <w:szCs w:val="20"/>
                <w:lang w:eastAsia="zh-CN"/>
              </w:rPr>
            </w:pPr>
            <w:r>
              <w:rPr>
                <w:rFonts w:ascii="Arial Narrow" w:hAnsi="Arial Narrow" w:cs="Times New Roman"/>
                <w:b/>
                <w:bCs/>
                <w:color w:val="000000"/>
                <w:sz w:val="20"/>
                <w:szCs w:val="20"/>
                <w:lang w:eastAsia="zh-CN"/>
              </w:rPr>
              <w:t>0.0085</w:t>
            </w:r>
          </w:p>
        </w:tc>
        <w:tc>
          <w:tcPr>
            <w:tcW w:w="0" w:type="auto"/>
            <w:tcBorders>
              <w:top w:val="single" w:sz="4" w:space="0" w:color="auto"/>
              <w:left w:val="nil"/>
              <w:right w:val="single" w:sz="4" w:space="0" w:color="auto"/>
            </w:tcBorders>
            <w:shd w:val="clear" w:color="auto" w:fill="auto"/>
            <w:vAlign w:val="center"/>
          </w:tcPr>
          <w:p w:rsidR="00D94865" w:rsidRPr="00416632" w:rsidRDefault="00D94865" w:rsidP="005C7B8C">
            <w:pPr>
              <w:keepNext/>
              <w:keepLines/>
              <w:jc w:val="center"/>
              <w:rPr>
                <w:rFonts w:ascii="Arial Narrow" w:hAnsi="Arial Narrow" w:cs="Times New Roman"/>
                <w:iCs/>
                <w:color w:val="000000"/>
                <w:sz w:val="20"/>
                <w:szCs w:val="20"/>
                <w:lang w:eastAsia="zh-CN"/>
              </w:rPr>
            </w:pPr>
            <w:r>
              <w:rPr>
                <w:rFonts w:ascii="Arial Narrow" w:hAnsi="Arial Narrow" w:cs="Times New Roman"/>
                <w:b/>
                <w:bCs/>
                <w:color w:val="000000"/>
                <w:sz w:val="20"/>
                <w:szCs w:val="20"/>
                <w:lang w:eastAsia="zh-CN"/>
              </w:rPr>
              <w:t>$</w:t>
            </w:r>
            <w:r w:rsidR="006F551D">
              <w:rPr>
                <w:rFonts w:ascii="Arial Narrow" w:hAnsi="Arial Narrow" w:cs="Times New Roman"/>
                <w:b/>
                <w:bCs/>
                <w:noProof/>
                <w:color w:val="000000"/>
                <w:sz w:val="20"/>
                <w:szCs w:val="20"/>
                <w:highlight w:val="black"/>
                <w:lang w:eastAsia="zh-CN"/>
              </w:rPr>
              <w:t>'''''''''''''</w:t>
            </w:r>
          </w:p>
        </w:tc>
      </w:tr>
      <w:tr w:rsidR="00D94865" w:rsidRPr="00416632" w:rsidTr="00E17CFC">
        <w:trPr>
          <w:trHeight w:val="278"/>
        </w:trPr>
        <w:tc>
          <w:tcPr>
            <w:tcW w:w="0" w:type="auto"/>
            <w:tcBorders>
              <w:left w:val="single" w:sz="4" w:space="0" w:color="auto"/>
              <w:right w:val="single" w:sz="4" w:space="0" w:color="auto"/>
            </w:tcBorders>
            <w:shd w:val="clear" w:color="auto" w:fill="auto"/>
            <w:vAlign w:val="center"/>
          </w:tcPr>
          <w:p w:rsidR="00D94865" w:rsidRPr="00480AD8" w:rsidRDefault="00D94865" w:rsidP="005C7B8C">
            <w:pPr>
              <w:keepNext/>
              <w:keepLines/>
              <w:widowControl w:val="0"/>
              <w:numPr>
                <w:ilvl w:val="0"/>
                <w:numId w:val="10"/>
              </w:numPr>
              <w:ind w:left="254" w:hanging="142"/>
              <w:jc w:val="left"/>
              <w:rPr>
                <w:rFonts w:ascii="Arial Narrow" w:hAnsi="Arial Narrow" w:cs="Times New Roman"/>
                <w:color w:val="000000"/>
                <w:sz w:val="20"/>
                <w:szCs w:val="20"/>
                <w:lang w:eastAsia="zh-CN"/>
              </w:rPr>
            </w:pPr>
            <w:r w:rsidRPr="00480AD8">
              <w:rPr>
                <w:rFonts w:ascii="Arial Narrow" w:hAnsi="Arial Narrow" w:cs="Times New Roman"/>
                <w:color w:val="000000"/>
                <w:sz w:val="20"/>
                <w:szCs w:val="20"/>
                <w:lang w:eastAsia="zh-CN"/>
              </w:rPr>
              <w:t>40% based on previous July 2019 resubmission</w:t>
            </w:r>
          </w:p>
        </w:tc>
        <w:tc>
          <w:tcPr>
            <w:tcW w:w="0" w:type="auto"/>
            <w:tcBorders>
              <w:left w:val="nil"/>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color w:val="000000"/>
                <w:sz w:val="20"/>
                <w:szCs w:val="20"/>
                <w:lang w:eastAsia="zh-CN"/>
              </w:rPr>
            </w:pPr>
            <w:r w:rsidRPr="00492FB6">
              <w:rPr>
                <w:rFonts w:ascii="Arial Narrow" w:hAnsi="Arial Narrow" w:cs="Times New Roman"/>
                <w:color w:val="000000"/>
                <w:sz w:val="20"/>
                <w:szCs w:val="20"/>
                <w:lang w:eastAsia="zh-CN"/>
              </w:rPr>
              <w:t>$</w:t>
            </w:r>
            <w:r w:rsidR="006F551D">
              <w:rPr>
                <w:rFonts w:ascii="Arial Narrow" w:hAnsi="Arial Narrow" w:cs="Times New Roman"/>
                <w:noProof/>
                <w:color w:val="000000"/>
                <w:sz w:val="20"/>
                <w:szCs w:val="20"/>
                <w:highlight w:val="black"/>
                <w:lang w:eastAsia="zh-CN"/>
              </w:rPr>
              <w:t>''''''''''</w:t>
            </w:r>
            <w:r w:rsidR="00492FB6" w:rsidRPr="00492FB6">
              <w:rPr>
                <w:rFonts w:ascii="Arial Narrow" w:hAnsi="Arial Narrow" w:cs="Times New Roman"/>
                <w:color w:val="000000"/>
                <w:sz w:val="20"/>
                <w:szCs w:val="20"/>
                <w:lang w:eastAsia="zh-CN"/>
              </w:rPr>
              <w:t>*</w:t>
            </w:r>
          </w:p>
        </w:tc>
        <w:tc>
          <w:tcPr>
            <w:tcW w:w="0" w:type="auto"/>
            <w:tcBorders>
              <w:left w:val="nil"/>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iCs/>
                <w:color w:val="000000"/>
                <w:sz w:val="20"/>
                <w:szCs w:val="20"/>
                <w:lang w:eastAsia="zh-CN"/>
              </w:rPr>
            </w:pPr>
            <w:r w:rsidRPr="00492FB6">
              <w:rPr>
                <w:rFonts w:ascii="Arial Narrow" w:hAnsi="Arial Narrow" w:cs="Times New Roman"/>
                <w:iCs/>
                <w:color w:val="000000"/>
                <w:sz w:val="20"/>
                <w:szCs w:val="20"/>
                <w:lang w:eastAsia="zh-CN"/>
              </w:rPr>
              <w:t>0.0085</w:t>
            </w:r>
          </w:p>
        </w:tc>
        <w:tc>
          <w:tcPr>
            <w:tcW w:w="0" w:type="auto"/>
            <w:tcBorders>
              <w:left w:val="nil"/>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color w:val="000000"/>
                <w:sz w:val="20"/>
                <w:szCs w:val="20"/>
                <w:lang w:eastAsia="zh-CN"/>
              </w:rPr>
            </w:pPr>
            <w:r w:rsidRPr="00492FB6">
              <w:rPr>
                <w:rFonts w:ascii="Arial Narrow" w:hAnsi="Arial Narrow" w:cs="Times New Roman"/>
                <w:color w:val="000000"/>
                <w:sz w:val="20"/>
                <w:szCs w:val="20"/>
                <w:lang w:eastAsia="zh-CN"/>
              </w:rPr>
              <w:t>$</w:t>
            </w:r>
            <w:r w:rsidR="006F551D">
              <w:rPr>
                <w:rFonts w:ascii="Arial Narrow" w:hAnsi="Arial Narrow" w:cs="Times New Roman"/>
                <w:noProof/>
                <w:color w:val="000000"/>
                <w:sz w:val="20"/>
                <w:szCs w:val="20"/>
                <w:highlight w:val="black"/>
                <w:lang w:eastAsia="zh-CN"/>
              </w:rPr>
              <w:t>''''''''''''''''</w:t>
            </w:r>
            <w:r w:rsidR="00492FB6" w:rsidRPr="00492FB6">
              <w:rPr>
                <w:rFonts w:ascii="Arial Narrow" w:hAnsi="Arial Narrow" w:cs="Times New Roman"/>
                <w:color w:val="000000"/>
                <w:sz w:val="20"/>
                <w:szCs w:val="20"/>
                <w:lang w:eastAsia="zh-CN"/>
              </w:rPr>
              <w:t>*</w:t>
            </w:r>
          </w:p>
        </w:tc>
      </w:tr>
      <w:tr w:rsidR="00D94865" w:rsidRPr="00416632" w:rsidTr="00E17CFC">
        <w:trPr>
          <w:trHeight w:val="278"/>
        </w:trPr>
        <w:tc>
          <w:tcPr>
            <w:tcW w:w="0" w:type="auto"/>
            <w:tcBorders>
              <w:left w:val="single" w:sz="4" w:space="0" w:color="auto"/>
              <w:bottom w:val="single" w:sz="4" w:space="0" w:color="auto"/>
              <w:right w:val="single" w:sz="4" w:space="0" w:color="auto"/>
            </w:tcBorders>
            <w:shd w:val="clear" w:color="auto" w:fill="auto"/>
            <w:vAlign w:val="center"/>
          </w:tcPr>
          <w:p w:rsidR="00D94865" w:rsidRPr="00480AD8" w:rsidRDefault="00D94865" w:rsidP="005C7B8C">
            <w:pPr>
              <w:keepNext/>
              <w:keepLines/>
              <w:widowControl w:val="0"/>
              <w:numPr>
                <w:ilvl w:val="0"/>
                <w:numId w:val="10"/>
              </w:numPr>
              <w:ind w:left="254" w:hanging="142"/>
              <w:jc w:val="left"/>
              <w:rPr>
                <w:rFonts w:ascii="Arial Narrow" w:hAnsi="Arial Narrow" w:cs="Times New Roman"/>
                <w:color w:val="000000"/>
                <w:sz w:val="20"/>
                <w:szCs w:val="20"/>
                <w:lang w:eastAsia="zh-CN"/>
              </w:rPr>
            </w:pPr>
            <w:r w:rsidRPr="00480AD8">
              <w:rPr>
                <w:rFonts w:ascii="Arial Narrow" w:hAnsi="Arial Narrow" w:cs="Times New Roman"/>
                <w:color w:val="000000"/>
                <w:sz w:val="20"/>
                <w:szCs w:val="20"/>
                <w:lang w:eastAsia="zh-CN"/>
              </w:rPr>
              <w:t>32% based on previous July 2018 resubmission</w:t>
            </w:r>
          </w:p>
        </w:tc>
        <w:tc>
          <w:tcPr>
            <w:tcW w:w="0" w:type="auto"/>
            <w:tcBorders>
              <w:left w:val="nil"/>
              <w:bottom w:val="single" w:sz="4" w:space="0" w:color="auto"/>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color w:val="000000"/>
                <w:sz w:val="20"/>
                <w:szCs w:val="20"/>
                <w:lang w:eastAsia="zh-CN"/>
              </w:rPr>
            </w:pPr>
            <w:r w:rsidRPr="00492FB6">
              <w:rPr>
                <w:rFonts w:ascii="Arial Narrow" w:hAnsi="Arial Narrow" w:cs="Times New Roman"/>
                <w:color w:val="000000"/>
                <w:sz w:val="20"/>
                <w:szCs w:val="20"/>
                <w:lang w:eastAsia="zh-CN"/>
              </w:rPr>
              <w:t>$</w:t>
            </w:r>
            <w:r w:rsidR="006F551D">
              <w:rPr>
                <w:rFonts w:ascii="Arial Narrow" w:hAnsi="Arial Narrow" w:cs="Times New Roman"/>
                <w:noProof/>
                <w:color w:val="000000"/>
                <w:sz w:val="20"/>
                <w:szCs w:val="20"/>
                <w:highlight w:val="black"/>
                <w:lang w:eastAsia="zh-CN"/>
              </w:rPr>
              <w:t>''''''''''</w:t>
            </w:r>
            <w:r w:rsidR="00492FB6" w:rsidRPr="00492FB6">
              <w:rPr>
                <w:rFonts w:ascii="Arial Narrow" w:hAnsi="Arial Narrow" w:cs="Times New Roman"/>
                <w:color w:val="000000"/>
                <w:sz w:val="20"/>
                <w:szCs w:val="20"/>
                <w:lang w:eastAsia="zh-CN"/>
              </w:rPr>
              <w:t>*</w:t>
            </w:r>
          </w:p>
        </w:tc>
        <w:tc>
          <w:tcPr>
            <w:tcW w:w="0" w:type="auto"/>
            <w:tcBorders>
              <w:left w:val="nil"/>
              <w:bottom w:val="single" w:sz="4" w:space="0" w:color="auto"/>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iCs/>
                <w:color w:val="000000"/>
                <w:sz w:val="20"/>
                <w:szCs w:val="20"/>
                <w:lang w:eastAsia="zh-CN"/>
              </w:rPr>
            </w:pPr>
            <w:r w:rsidRPr="00492FB6">
              <w:rPr>
                <w:rFonts w:ascii="Arial Narrow" w:hAnsi="Arial Narrow" w:cs="Times New Roman"/>
                <w:iCs/>
                <w:color w:val="000000"/>
                <w:sz w:val="20"/>
                <w:szCs w:val="20"/>
                <w:lang w:eastAsia="zh-CN"/>
              </w:rPr>
              <w:t>0.0085</w:t>
            </w:r>
          </w:p>
        </w:tc>
        <w:tc>
          <w:tcPr>
            <w:tcW w:w="0" w:type="auto"/>
            <w:tcBorders>
              <w:left w:val="nil"/>
              <w:bottom w:val="single" w:sz="4" w:space="0" w:color="auto"/>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color w:val="000000"/>
                <w:sz w:val="20"/>
                <w:szCs w:val="20"/>
                <w:lang w:eastAsia="zh-CN"/>
              </w:rPr>
            </w:pPr>
            <w:r w:rsidRPr="00492FB6">
              <w:rPr>
                <w:rFonts w:ascii="Arial Narrow" w:hAnsi="Arial Narrow" w:cs="Times New Roman"/>
                <w:color w:val="000000"/>
                <w:sz w:val="20"/>
                <w:szCs w:val="20"/>
                <w:lang w:eastAsia="zh-CN"/>
              </w:rPr>
              <w:t>$</w:t>
            </w:r>
            <w:r w:rsidR="006F551D">
              <w:rPr>
                <w:rFonts w:ascii="Arial Narrow" w:hAnsi="Arial Narrow" w:cs="Times New Roman"/>
                <w:noProof/>
                <w:color w:val="000000"/>
                <w:sz w:val="20"/>
                <w:szCs w:val="20"/>
                <w:highlight w:val="black"/>
                <w:lang w:eastAsia="zh-CN"/>
              </w:rPr>
              <w:t>'''''''''''''''''</w:t>
            </w:r>
            <w:r w:rsidR="00492FB6" w:rsidRPr="00492FB6">
              <w:rPr>
                <w:rFonts w:ascii="Arial Narrow" w:hAnsi="Arial Narrow" w:cs="Times New Roman"/>
                <w:color w:val="000000"/>
                <w:sz w:val="20"/>
                <w:szCs w:val="20"/>
                <w:lang w:eastAsia="zh-CN"/>
              </w:rPr>
              <w:t>*</w:t>
            </w:r>
          </w:p>
        </w:tc>
      </w:tr>
      <w:tr w:rsidR="00D94865" w:rsidRPr="00416632" w:rsidTr="00E17CFC">
        <w:trPr>
          <w:trHeight w:val="70"/>
        </w:trPr>
        <w:tc>
          <w:tcPr>
            <w:tcW w:w="0" w:type="auto"/>
            <w:gridSpan w:val="4"/>
            <w:tcBorders>
              <w:top w:val="nil"/>
              <w:left w:val="single" w:sz="4" w:space="0" w:color="auto"/>
              <w:bottom w:val="single" w:sz="4" w:space="0" w:color="auto"/>
              <w:right w:val="single" w:sz="4" w:space="0" w:color="auto"/>
            </w:tcBorders>
            <w:shd w:val="clear" w:color="auto" w:fill="auto"/>
            <w:vAlign w:val="center"/>
          </w:tcPr>
          <w:p w:rsidR="00D94865" w:rsidRPr="00492FB6" w:rsidRDefault="00D94865" w:rsidP="005C7B8C">
            <w:pPr>
              <w:keepNext/>
              <w:keepLines/>
              <w:jc w:val="left"/>
              <w:rPr>
                <w:rFonts w:ascii="Arial Narrow" w:hAnsi="Arial Narrow" w:cs="Times New Roman"/>
                <w:color w:val="000000"/>
                <w:sz w:val="20"/>
                <w:szCs w:val="20"/>
                <w:lang w:eastAsia="zh-CN"/>
              </w:rPr>
            </w:pPr>
            <w:r w:rsidRPr="00492FB6">
              <w:rPr>
                <w:rFonts w:ascii="Arial Narrow" w:hAnsi="Arial Narrow" w:cs="Times New Roman"/>
                <w:b/>
                <w:bCs/>
                <w:color w:val="000000"/>
                <w:sz w:val="20"/>
                <w:szCs w:val="20"/>
                <w:lang w:eastAsia="zh-CN"/>
              </w:rPr>
              <w:t>30 day mortality rate that were applied in the first 180 days in model</w:t>
            </w:r>
          </w:p>
        </w:tc>
      </w:tr>
      <w:tr w:rsidR="00D94865" w:rsidRPr="00416632" w:rsidTr="00E17CFC">
        <w:trPr>
          <w:trHeight w:val="70"/>
        </w:trPr>
        <w:tc>
          <w:tcPr>
            <w:tcW w:w="0" w:type="auto"/>
            <w:tcBorders>
              <w:top w:val="nil"/>
              <w:left w:val="single" w:sz="4" w:space="0" w:color="auto"/>
              <w:right w:val="single" w:sz="4" w:space="0" w:color="auto"/>
            </w:tcBorders>
            <w:shd w:val="clear" w:color="auto" w:fill="auto"/>
            <w:vAlign w:val="center"/>
          </w:tcPr>
          <w:p w:rsidR="00D94865" w:rsidRPr="002568FF" w:rsidRDefault="00D94865" w:rsidP="005C7B8C">
            <w:pPr>
              <w:keepNext/>
              <w:keepLines/>
              <w:widowControl w:val="0"/>
              <w:numPr>
                <w:ilvl w:val="0"/>
                <w:numId w:val="10"/>
              </w:numPr>
              <w:ind w:left="254" w:hanging="142"/>
              <w:jc w:val="left"/>
              <w:rPr>
                <w:rFonts w:ascii="Arial Narrow" w:hAnsi="Arial Narrow" w:cs="Times New Roman"/>
                <w:b/>
                <w:bCs/>
                <w:i/>
                <w:color w:val="000000"/>
                <w:sz w:val="20"/>
                <w:szCs w:val="20"/>
                <w:lang w:eastAsia="zh-CN"/>
              </w:rPr>
            </w:pPr>
            <w:r w:rsidRPr="002568FF">
              <w:rPr>
                <w:rFonts w:ascii="Arial Narrow" w:hAnsi="Arial Narrow" w:cs="Times New Roman"/>
                <w:b/>
                <w:bCs/>
                <w:color w:val="000000"/>
                <w:sz w:val="20"/>
                <w:szCs w:val="20"/>
                <w:lang w:eastAsia="zh-CN"/>
              </w:rPr>
              <w:t>Base case: 2.5% w/o recurrence and HR 1.12 with recurrence</w:t>
            </w:r>
          </w:p>
        </w:tc>
        <w:tc>
          <w:tcPr>
            <w:tcW w:w="0" w:type="auto"/>
            <w:tcBorders>
              <w:top w:val="nil"/>
              <w:left w:val="nil"/>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color w:val="000000"/>
                <w:sz w:val="20"/>
                <w:szCs w:val="20"/>
                <w:lang w:eastAsia="zh-CN"/>
              </w:rPr>
            </w:pPr>
            <w:r w:rsidRPr="00492FB6">
              <w:rPr>
                <w:rFonts w:ascii="Arial Narrow" w:hAnsi="Arial Narrow" w:cs="Times New Roman"/>
                <w:b/>
                <w:bCs/>
                <w:color w:val="000000"/>
                <w:sz w:val="20"/>
                <w:szCs w:val="20"/>
                <w:lang w:eastAsia="zh-CN"/>
              </w:rPr>
              <w:t>$</w:t>
            </w:r>
            <w:r w:rsidR="006F551D">
              <w:rPr>
                <w:rFonts w:ascii="Arial Narrow" w:hAnsi="Arial Narrow" w:cs="Times New Roman"/>
                <w:b/>
                <w:bCs/>
                <w:noProof/>
                <w:color w:val="000000"/>
                <w:sz w:val="20"/>
                <w:szCs w:val="20"/>
                <w:highlight w:val="black"/>
                <w:lang w:eastAsia="zh-CN"/>
              </w:rPr>
              <w:t>''''''''''''''</w:t>
            </w:r>
          </w:p>
        </w:tc>
        <w:tc>
          <w:tcPr>
            <w:tcW w:w="0" w:type="auto"/>
            <w:tcBorders>
              <w:top w:val="nil"/>
              <w:left w:val="nil"/>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iCs/>
                <w:color w:val="000000"/>
                <w:sz w:val="20"/>
                <w:szCs w:val="20"/>
                <w:lang w:eastAsia="zh-CN"/>
              </w:rPr>
            </w:pPr>
            <w:r w:rsidRPr="00492FB6">
              <w:rPr>
                <w:rFonts w:ascii="Arial Narrow" w:hAnsi="Arial Narrow" w:cs="Times New Roman"/>
                <w:b/>
                <w:bCs/>
                <w:color w:val="000000"/>
                <w:sz w:val="20"/>
                <w:szCs w:val="20"/>
                <w:lang w:eastAsia="zh-CN"/>
              </w:rPr>
              <w:t>0.0085</w:t>
            </w:r>
          </w:p>
        </w:tc>
        <w:tc>
          <w:tcPr>
            <w:tcW w:w="0" w:type="auto"/>
            <w:tcBorders>
              <w:top w:val="nil"/>
              <w:left w:val="nil"/>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color w:val="000000"/>
                <w:sz w:val="20"/>
                <w:szCs w:val="20"/>
                <w:lang w:eastAsia="zh-CN"/>
              </w:rPr>
            </w:pPr>
            <w:r w:rsidRPr="00492FB6">
              <w:rPr>
                <w:rFonts w:ascii="Arial Narrow" w:hAnsi="Arial Narrow" w:cs="Times New Roman"/>
                <w:b/>
                <w:bCs/>
                <w:color w:val="000000"/>
                <w:sz w:val="20"/>
                <w:szCs w:val="20"/>
                <w:lang w:eastAsia="zh-CN"/>
              </w:rPr>
              <w:t>$</w:t>
            </w:r>
            <w:r w:rsidR="006F551D">
              <w:rPr>
                <w:rFonts w:ascii="Arial Narrow" w:hAnsi="Arial Narrow" w:cs="Times New Roman"/>
                <w:b/>
                <w:bCs/>
                <w:noProof/>
                <w:color w:val="000000"/>
                <w:sz w:val="20"/>
                <w:szCs w:val="20"/>
                <w:highlight w:val="black"/>
                <w:lang w:eastAsia="zh-CN"/>
              </w:rPr>
              <w:t>'''''''''''''</w:t>
            </w:r>
          </w:p>
        </w:tc>
      </w:tr>
      <w:tr w:rsidR="00D94865" w:rsidRPr="00122B73" w:rsidTr="00E17CFC">
        <w:trPr>
          <w:trHeight w:val="70"/>
        </w:trPr>
        <w:tc>
          <w:tcPr>
            <w:tcW w:w="0" w:type="auto"/>
            <w:tcBorders>
              <w:top w:val="nil"/>
              <w:left w:val="single" w:sz="4" w:space="0" w:color="auto"/>
              <w:right w:val="single" w:sz="4" w:space="0" w:color="auto"/>
            </w:tcBorders>
            <w:shd w:val="clear" w:color="auto" w:fill="auto"/>
            <w:vAlign w:val="center"/>
          </w:tcPr>
          <w:p w:rsidR="00D94865" w:rsidRPr="00122B73" w:rsidRDefault="00D94865" w:rsidP="005C7B8C">
            <w:pPr>
              <w:keepNext/>
              <w:keepLines/>
              <w:widowControl w:val="0"/>
              <w:numPr>
                <w:ilvl w:val="0"/>
                <w:numId w:val="10"/>
              </w:numPr>
              <w:ind w:left="254" w:hanging="142"/>
              <w:jc w:val="left"/>
              <w:rPr>
                <w:rFonts w:ascii="Arial Narrow" w:hAnsi="Arial Narrow" w:cs="Times New Roman"/>
                <w:i/>
                <w:color w:val="000000"/>
                <w:sz w:val="20"/>
                <w:szCs w:val="20"/>
                <w:lang w:eastAsia="zh-CN"/>
              </w:rPr>
            </w:pPr>
            <w:r w:rsidRPr="00122B73">
              <w:rPr>
                <w:rFonts w:ascii="Arial Narrow" w:hAnsi="Arial Narrow" w:cs="Times New Roman"/>
                <w:iCs/>
                <w:color w:val="000000"/>
                <w:sz w:val="20"/>
                <w:szCs w:val="20"/>
                <w:lang w:eastAsia="zh-CN"/>
              </w:rPr>
              <w:t>Using higher mortality rate for mortality without recurrence of 3.6% (Huber et al 2014)</w:t>
            </w:r>
          </w:p>
        </w:tc>
        <w:tc>
          <w:tcPr>
            <w:tcW w:w="0" w:type="auto"/>
            <w:tcBorders>
              <w:top w:val="nil"/>
              <w:left w:val="single" w:sz="4" w:space="0" w:color="auto"/>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color w:val="000000"/>
                <w:sz w:val="20"/>
                <w:szCs w:val="20"/>
                <w:lang w:eastAsia="zh-CN"/>
              </w:rPr>
            </w:pPr>
            <w:r w:rsidRPr="00492FB6">
              <w:rPr>
                <w:rFonts w:ascii="Arial Narrow" w:hAnsi="Arial Narrow" w:cs="Times New Roman"/>
                <w:color w:val="000000"/>
                <w:sz w:val="20"/>
                <w:szCs w:val="20"/>
                <w:lang w:eastAsia="zh-CN"/>
              </w:rPr>
              <w:t>$</w:t>
            </w:r>
            <w:r w:rsidR="006F551D">
              <w:rPr>
                <w:rFonts w:ascii="Arial Narrow" w:hAnsi="Arial Narrow" w:cs="Times New Roman"/>
                <w:noProof/>
                <w:color w:val="000000"/>
                <w:sz w:val="20"/>
                <w:szCs w:val="20"/>
                <w:highlight w:val="black"/>
                <w:lang w:eastAsia="zh-CN"/>
              </w:rPr>
              <w:t>'''''''''</w:t>
            </w:r>
            <w:r w:rsidR="00492FB6" w:rsidRPr="00492FB6">
              <w:rPr>
                <w:rFonts w:ascii="Arial Narrow" w:hAnsi="Arial Narrow" w:cs="Times New Roman"/>
                <w:color w:val="000000"/>
                <w:sz w:val="20"/>
                <w:szCs w:val="20"/>
                <w:lang w:eastAsia="zh-CN"/>
              </w:rPr>
              <w:t>*</w:t>
            </w:r>
          </w:p>
        </w:tc>
        <w:tc>
          <w:tcPr>
            <w:tcW w:w="0" w:type="auto"/>
            <w:tcBorders>
              <w:top w:val="nil"/>
              <w:left w:val="single" w:sz="4" w:space="0" w:color="auto"/>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iCs/>
                <w:color w:val="000000"/>
                <w:sz w:val="20"/>
                <w:szCs w:val="20"/>
                <w:lang w:eastAsia="zh-CN"/>
              </w:rPr>
            </w:pPr>
            <w:r w:rsidRPr="00492FB6">
              <w:rPr>
                <w:rFonts w:ascii="Arial Narrow" w:hAnsi="Arial Narrow" w:cs="Times New Roman"/>
                <w:color w:val="000000"/>
                <w:sz w:val="20"/>
                <w:szCs w:val="20"/>
                <w:lang w:eastAsia="zh-CN"/>
              </w:rPr>
              <w:t>0.0111</w:t>
            </w:r>
            <w:r w:rsidR="00492FB6" w:rsidRPr="00492FB6">
              <w:rPr>
                <w:rFonts w:ascii="Arial Narrow" w:hAnsi="Arial Narrow" w:cs="Times New Roman"/>
                <w:color w:val="000000"/>
                <w:sz w:val="20"/>
                <w:szCs w:val="20"/>
                <w:lang w:eastAsia="zh-CN"/>
              </w:rPr>
              <w:t>*</w:t>
            </w:r>
          </w:p>
        </w:tc>
        <w:tc>
          <w:tcPr>
            <w:tcW w:w="0" w:type="auto"/>
            <w:tcBorders>
              <w:top w:val="nil"/>
              <w:left w:val="single" w:sz="4" w:space="0" w:color="auto"/>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iCs/>
                <w:color w:val="000000"/>
                <w:sz w:val="20"/>
                <w:szCs w:val="20"/>
                <w:lang w:eastAsia="zh-CN"/>
              </w:rPr>
            </w:pPr>
            <w:r w:rsidRPr="00492FB6">
              <w:rPr>
                <w:rFonts w:ascii="Arial Narrow" w:hAnsi="Arial Narrow" w:cs="Times New Roman"/>
                <w:iCs/>
                <w:color w:val="000000"/>
                <w:sz w:val="20"/>
                <w:szCs w:val="20"/>
                <w:lang w:eastAsia="zh-CN"/>
              </w:rPr>
              <w:t>$</w:t>
            </w:r>
            <w:r w:rsidR="006F551D">
              <w:rPr>
                <w:rFonts w:ascii="Arial Narrow" w:hAnsi="Arial Narrow" w:cs="Times New Roman"/>
                <w:iCs/>
                <w:noProof/>
                <w:color w:val="000000"/>
                <w:sz w:val="20"/>
                <w:szCs w:val="20"/>
                <w:highlight w:val="black"/>
                <w:lang w:eastAsia="zh-CN"/>
              </w:rPr>
              <w:t>''''''''''''''''''</w:t>
            </w:r>
          </w:p>
        </w:tc>
      </w:tr>
      <w:tr w:rsidR="00D94865" w:rsidRPr="00122B73" w:rsidTr="00E17CFC">
        <w:trPr>
          <w:trHeight w:val="70"/>
        </w:trPr>
        <w:tc>
          <w:tcPr>
            <w:tcW w:w="0" w:type="auto"/>
            <w:tcBorders>
              <w:top w:val="nil"/>
              <w:left w:val="single" w:sz="4" w:space="0" w:color="auto"/>
              <w:right w:val="single" w:sz="4" w:space="0" w:color="auto"/>
            </w:tcBorders>
            <w:shd w:val="clear" w:color="auto" w:fill="auto"/>
            <w:vAlign w:val="center"/>
          </w:tcPr>
          <w:p w:rsidR="00D94865" w:rsidRPr="00942D21" w:rsidRDefault="00D94865" w:rsidP="005C7B8C">
            <w:pPr>
              <w:keepNext/>
              <w:keepLines/>
              <w:widowControl w:val="0"/>
              <w:numPr>
                <w:ilvl w:val="0"/>
                <w:numId w:val="10"/>
              </w:numPr>
              <w:ind w:left="254" w:hanging="142"/>
              <w:jc w:val="left"/>
              <w:rPr>
                <w:rFonts w:ascii="Arial Narrow" w:hAnsi="Arial Narrow" w:cs="Times New Roman"/>
                <w:iCs/>
                <w:color w:val="000000"/>
                <w:sz w:val="20"/>
                <w:szCs w:val="20"/>
                <w:lang w:eastAsia="zh-CN"/>
              </w:rPr>
            </w:pPr>
            <w:r w:rsidRPr="00942D21">
              <w:rPr>
                <w:rFonts w:ascii="Arial Narrow" w:hAnsi="Arial Narrow" w:cs="Times New Roman"/>
                <w:iCs/>
                <w:color w:val="000000"/>
                <w:sz w:val="20"/>
                <w:szCs w:val="20"/>
                <w:lang w:eastAsia="zh-CN"/>
              </w:rPr>
              <w:t>Using mortality rate for mortality without recurrence of 7.3% (Chen et al 2017)</w:t>
            </w:r>
          </w:p>
        </w:tc>
        <w:tc>
          <w:tcPr>
            <w:tcW w:w="0" w:type="auto"/>
            <w:tcBorders>
              <w:top w:val="nil"/>
              <w:left w:val="single" w:sz="4" w:space="0" w:color="auto"/>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color w:val="000000"/>
                <w:sz w:val="20"/>
                <w:szCs w:val="20"/>
                <w:lang w:eastAsia="zh-CN"/>
              </w:rPr>
            </w:pPr>
            <w:r w:rsidRPr="00492FB6">
              <w:rPr>
                <w:rFonts w:ascii="Arial Narrow" w:hAnsi="Arial Narrow" w:cs="Times New Roman"/>
                <w:color w:val="000000"/>
                <w:sz w:val="20"/>
                <w:szCs w:val="20"/>
                <w:lang w:eastAsia="zh-CN"/>
              </w:rPr>
              <w:t>$</w:t>
            </w:r>
            <w:r w:rsidR="006F551D">
              <w:rPr>
                <w:rFonts w:ascii="Arial Narrow" w:hAnsi="Arial Narrow" w:cs="Times New Roman"/>
                <w:noProof/>
                <w:color w:val="000000"/>
                <w:sz w:val="20"/>
                <w:szCs w:val="20"/>
                <w:highlight w:val="black"/>
                <w:lang w:eastAsia="zh-CN"/>
              </w:rPr>
              <w:t>''''''''''</w:t>
            </w:r>
            <w:r w:rsidR="00492FB6" w:rsidRPr="00492FB6">
              <w:rPr>
                <w:rFonts w:ascii="Arial Narrow" w:hAnsi="Arial Narrow" w:cs="Times New Roman"/>
                <w:color w:val="000000"/>
                <w:sz w:val="20"/>
                <w:szCs w:val="20"/>
                <w:lang w:eastAsia="zh-CN"/>
              </w:rPr>
              <w:t>*</w:t>
            </w:r>
          </w:p>
        </w:tc>
        <w:tc>
          <w:tcPr>
            <w:tcW w:w="0" w:type="auto"/>
            <w:tcBorders>
              <w:top w:val="nil"/>
              <w:left w:val="single" w:sz="4" w:space="0" w:color="auto"/>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iCs/>
                <w:color w:val="000000"/>
                <w:sz w:val="20"/>
                <w:szCs w:val="20"/>
                <w:lang w:eastAsia="zh-CN"/>
              </w:rPr>
            </w:pPr>
            <w:r w:rsidRPr="00492FB6">
              <w:rPr>
                <w:rFonts w:ascii="Arial Narrow" w:hAnsi="Arial Narrow" w:cs="Times New Roman"/>
                <w:color w:val="000000"/>
                <w:sz w:val="20"/>
                <w:szCs w:val="20"/>
                <w:lang w:eastAsia="zh-CN"/>
              </w:rPr>
              <w:t>0.0183</w:t>
            </w:r>
            <w:r w:rsidR="00492FB6" w:rsidRPr="00492FB6">
              <w:rPr>
                <w:rFonts w:ascii="Arial Narrow" w:hAnsi="Arial Narrow" w:cs="Times New Roman"/>
                <w:color w:val="000000"/>
                <w:sz w:val="20"/>
                <w:szCs w:val="20"/>
                <w:lang w:eastAsia="zh-CN"/>
              </w:rPr>
              <w:t>*</w:t>
            </w:r>
          </w:p>
        </w:tc>
        <w:tc>
          <w:tcPr>
            <w:tcW w:w="0" w:type="auto"/>
            <w:tcBorders>
              <w:top w:val="nil"/>
              <w:left w:val="single" w:sz="4" w:space="0" w:color="auto"/>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iCs/>
                <w:color w:val="000000"/>
                <w:sz w:val="20"/>
                <w:szCs w:val="20"/>
                <w:lang w:eastAsia="zh-CN"/>
              </w:rPr>
            </w:pPr>
            <w:r w:rsidRPr="00492FB6">
              <w:rPr>
                <w:rFonts w:ascii="Arial Narrow" w:hAnsi="Arial Narrow" w:cs="Times New Roman"/>
                <w:iCs/>
                <w:color w:val="000000"/>
                <w:sz w:val="20"/>
                <w:szCs w:val="20"/>
                <w:lang w:eastAsia="zh-CN"/>
              </w:rPr>
              <w:t>$</w:t>
            </w:r>
            <w:r w:rsidR="006F551D">
              <w:rPr>
                <w:rFonts w:ascii="Arial Narrow" w:hAnsi="Arial Narrow" w:cs="Times New Roman"/>
                <w:iCs/>
                <w:noProof/>
                <w:color w:val="000000"/>
                <w:sz w:val="20"/>
                <w:szCs w:val="20"/>
                <w:highlight w:val="black"/>
                <w:lang w:eastAsia="zh-CN"/>
              </w:rPr>
              <w:t>'''''''''''''''''</w:t>
            </w:r>
          </w:p>
        </w:tc>
      </w:tr>
      <w:tr w:rsidR="00D94865" w:rsidRPr="00416632" w:rsidTr="00E17CFC">
        <w:trPr>
          <w:trHeight w:val="70"/>
        </w:trPr>
        <w:tc>
          <w:tcPr>
            <w:tcW w:w="0" w:type="auto"/>
            <w:tcBorders>
              <w:top w:val="nil"/>
              <w:left w:val="single" w:sz="4" w:space="0" w:color="auto"/>
              <w:right w:val="single" w:sz="4" w:space="0" w:color="auto"/>
            </w:tcBorders>
            <w:shd w:val="clear" w:color="auto" w:fill="auto"/>
            <w:vAlign w:val="center"/>
          </w:tcPr>
          <w:p w:rsidR="00D94865" w:rsidRPr="00942D21" w:rsidRDefault="00D94865" w:rsidP="005C7B8C">
            <w:pPr>
              <w:keepNext/>
              <w:keepLines/>
              <w:widowControl w:val="0"/>
              <w:numPr>
                <w:ilvl w:val="0"/>
                <w:numId w:val="10"/>
              </w:numPr>
              <w:ind w:left="254" w:hanging="142"/>
              <w:jc w:val="left"/>
              <w:rPr>
                <w:rFonts w:ascii="Arial Narrow" w:hAnsi="Arial Narrow" w:cs="Times New Roman"/>
                <w:i/>
                <w:color w:val="000000"/>
                <w:sz w:val="20"/>
                <w:szCs w:val="20"/>
                <w:lang w:eastAsia="zh-CN"/>
              </w:rPr>
            </w:pPr>
            <w:r w:rsidRPr="00942D21">
              <w:rPr>
                <w:rFonts w:ascii="Arial Narrow" w:hAnsi="Arial Narrow" w:cs="Times New Roman"/>
                <w:iCs/>
                <w:color w:val="000000"/>
                <w:sz w:val="20"/>
                <w:szCs w:val="20"/>
                <w:lang w:eastAsia="zh-CN"/>
              </w:rPr>
              <w:t>Using HR for mortality for recurrence of 1.33 (Olsen et al. 2015)</w:t>
            </w:r>
          </w:p>
        </w:tc>
        <w:tc>
          <w:tcPr>
            <w:tcW w:w="0" w:type="auto"/>
            <w:tcBorders>
              <w:top w:val="nil"/>
              <w:left w:val="single" w:sz="4" w:space="0" w:color="auto"/>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color w:val="000000"/>
                <w:sz w:val="20"/>
                <w:szCs w:val="20"/>
                <w:lang w:eastAsia="zh-CN"/>
              </w:rPr>
            </w:pPr>
            <w:r w:rsidRPr="00492FB6">
              <w:rPr>
                <w:rFonts w:ascii="Arial Narrow" w:hAnsi="Arial Narrow" w:cs="Times New Roman"/>
                <w:iCs/>
                <w:color w:val="000000"/>
                <w:sz w:val="20"/>
                <w:szCs w:val="20"/>
                <w:lang w:eastAsia="zh-CN"/>
              </w:rPr>
              <w:t>$</w:t>
            </w:r>
            <w:r w:rsidR="006F551D">
              <w:rPr>
                <w:rFonts w:ascii="Arial Narrow" w:hAnsi="Arial Narrow" w:cs="Times New Roman"/>
                <w:iCs/>
                <w:noProof/>
                <w:color w:val="000000"/>
                <w:sz w:val="20"/>
                <w:szCs w:val="20"/>
                <w:highlight w:val="black"/>
                <w:lang w:eastAsia="zh-CN"/>
              </w:rPr>
              <w:t>''''''''''</w:t>
            </w:r>
            <w:r w:rsidR="00492FB6" w:rsidRPr="00492FB6">
              <w:rPr>
                <w:rFonts w:ascii="Arial Narrow" w:hAnsi="Arial Narrow" w:cs="Times New Roman"/>
                <w:iCs/>
                <w:color w:val="000000"/>
                <w:sz w:val="20"/>
                <w:szCs w:val="20"/>
                <w:lang w:eastAsia="zh-CN"/>
              </w:rPr>
              <w:t>*</w:t>
            </w:r>
          </w:p>
        </w:tc>
        <w:tc>
          <w:tcPr>
            <w:tcW w:w="0" w:type="auto"/>
            <w:tcBorders>
              <w:top w:val="nil"/>
              <w:left w:val="single" w:sz="4" w:space="0" w:color="auto"/>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iCs/>
                <w:color w:val="000000"/>
                <w:sz w:val="20"/>
                <w:szCs w:val="20"/>
                <w:lang w:eastAsia="zh-CN"/>
              </w:rPr>
            </w:pPr>
            <w:r w:rsidRPr="00492FB6">
              <w:rPr>
                <w:rFonts w:ascii="Arial Narrow" w:hAnsi="Arial Narrow" w:cs="Times New Roman"/>
                <w:iCs/>
                <w:color w:val="000000"/>
                <w:sz w:val="20"/>
                <w:szCs w:val="20"/>
                <w:lang w:eastAsia="zh-CN"/>
              </w:rPr>
              <w:t>0.0199</w:t>
            </w:r>
            <w:r w:rsidR="00492FB6" w:rsidRPr="00492FB6">
              <w:rPr>
                <w:rFonts w:ascii="Arial Narrow" w:hAnsi="Arial Narrow" w:cs="Times New Roman"/>
                <w:iCs/>
                <w:color w:val="000000"/>
                <w:sz w:val="20"/>
                <w:szCs w:val="20"/>
                <w:lang w:eastAsia="zh-CN"/>
              </w:rPr>
              <w:t>*</w:t>
            </w:r>
          </w:p>
        </w:tc>
        <w:tc>
          <w:tcPr>
            <w:tcW w:w="0" w:type="auto"/>
            <w:tcBorders>
              <w:top w:val="nil"/>
              <w:left w:val="single" w:sz="4" w:space="0" w:color="auto"/>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iCs/>
                <w:color w:val="000000"/>
                <w:sz w:val="20"/>
                <w:szCs w:val="20"/>
                <w:lang w:eastAsia="zh-CN"/>
              </w:rPr>
            </w:pPr>
            <w:r w:rsidRPr="00492FB6">
              <w:rPr>
                <w:rFonts w:ascii="Arial Narrow" w:hAnsi="Arial Narrow" w:cs="Times New Roman"/>
                <w:iCs/>
                <w:color w:val="000000"/>
                <w:sz w:val="20"/>
                <w:szCs w:val="20"/>
                <w:lang w:eastAsia="zh-CN"/>
              </w:rPr>
              <w:t>$</w:t>
            </w:r>
            <w:r w:rsidR="006F551D">
              <w:rPr>
                <w:rFonts w:ascii="Arial Narrow" w:hAnsi="Arial Narrow" w:cs="Times New Roman"/>
                <w:iCs/>
                <w:noProof/>
                <w:color w:val="000000"/>
                <w:sz w:val="20"/>
                <w:szCs w:val="20"/>
                <w:highlight w:val="black"/>
                <w:lang w:eastAsia="zh-CN"/>
              </w:rPr>
              <w:t>'''''''''''''</w:t>
            </w:r>
          </w:p>
        </w:tc>
      </w:tr>
      <w:tr w:rsidR="00D94865" w:rsidRPr="00416632" w:rsidTr="00E17CFC">
        <w:trPr>
          <w:trHeight w:val="70"/>
        </w:trPr>
        <w:tc>
          <w:tcPr>
            <w:tcW w:w="0" w:type="auto"/>
            <w:tcBorders>
              <w:left w:val="single" w:sz="4" w:space="0" w:color="auto"/>
              <w:bottom w:val="single" w:sz="4" w:space="0" w:color="auto"/>
              <w:right w:val="single" w:sz="4" w:space="0" w:color="auto"/>
            </w:tcBorders>
            <w:shd w:val="clear" w:color="auto" w:fill="auto"/>
            <w:vAlign w:val="center"/>
          </w:tcPr>
          <w:p w:rsidR="00D94865" w:rsidRPr="00480AD8" w:rsidRDefault="00D94865" w:rsidP="005C7B8C">
            <w:pPr>
              <w:keepNext/>
              <w:keepLines/>
              <w:widowControl w:val="0"/>
              <w:numPr>
                <w:ilvl w:val="0"/>
                <w:numId w:val="10"/>
              </w:numPr>
              <w:ind w:left="254" w:hanging="142"/>
              <w:jc w:val="left"/>
              <w:rPr>
                <w:rFonts w:ascii="Arial Narrow" w:hAnsi="Arial Narrow" w:cs="Times New Roman"/>
                <w:iCs/>
                <w:color w:val="000000"/>
                <w:sz w:val="20"/>
                <w:szCs w:val="20"/>
                <w:lang w:eastAsia="zh-CN"/>
              </w:rPr>
            </w:pPr>
            <w:r w:rsidRPr="00480AD8">
              <w:rPr>
                <w:rFonts w:ascii="Arial Narrow" w:hAnsi="Arial Narrow" w:cs="Times New Roman"/>
                <w:color w:val="000000"/>
                <w:sz w:val="20"/>
                <w:szCs w:val="20"/>
                <w:lang w:eastAsia="zh-CN"/>
              </w:rPr>
              <w:t>Using HR for mortality for recurrence of 1</w:t>
            </w:r>
          </w:p>
        </w:tc>
        <w:tc>
          <w:tcPr>
            <w:tcW w:w="0" w:type="auto"/>
            <w:tcBorders>
              <w:left w:val="nil"/>
              <w:bottom w:val="single" w:sz="4" w:space="0" w:color="auto"/>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iCs/>
                <w:color w:val="000000"/>
                <w:sz w:val="20"/>
                <w:szCs w:val="20"/>
                <w:lang w:eastAsia="zh-CN"/>
              </w:rPr>
            </w:pPr>
            <w:r w:rsidRPr="00492FB6">
              <w:rPr>
                <w:rFonts w:ascii="Arial Narrow" w:hAnsi="Arial Narrow" w:cs="Times New Roman"/>
                <w:iCs/>
                <w:color w:val="000000"/>
                <w:sz w:val="20"/>
                <w:szCs w:val="20"/>
                <w:lang w:eastAsia="zh-CN"/>
              </w:rPr>
              <w:t>$</w:t>
            </w:r>
            <w:r w:rsidR="006F551D">
              <w:rPr>
                <w:rFonts w:ascii="Arial Narrow" w:hAnsi="Arial Narrow" w:cs="Times New Roman"/>
                <w:iCs/>
                <w:noProof/>
                <w:color w:val="000000"/>
                <w:sz w:val="20"/>
                <w:szCs w:val="20"/>
                <w:highlight w:val="black"/>
                <w:lang w:eastAsia="zh-CN"/>
              </w:rPr>
              <w:t>'''''''''</w:t>
            </w:r>
            <w:r w:rsidR="00492FB6" w:rsidRPr="00492FB6">
              <w:rPr>
                <w:rFonts w:ascii="Arial Narrow" w:hAnsi="Arial Narrow" w:cs="Times New Roman"/>
                <w:iCs/>
                <w:color w:val="000000"/>
                <w:sz w:val="20"/>
                <w:szCs w:val="20"/>
                <w:lang w:eastAsia="zh-CN"/>
              </w:rPr>
              <w:t>*</w:t>
            </w:r>
          </w:p>
        </w:tc>
        <w:tc>
          <w:tcPr>
            <w:tcW w:w="0" w:type="auto"/>
            <w:tcBorders>
              <w:left w:val="nil"/>
              <w:bottom w:val="single" w:sz="4" w:space="0" w:color="auto"/>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iCs/>
                <w:color w:val="000000"/>
                <w:sz w:val="20"/>
                <w:szCs w:val="20"/>
                <w:lang w:eastAsia="zh-CN"/>
              </w:rPr>
            </w:pPr>
            <w:r w:rsidRPr="00492FB6">
              <w:rPr>
                <w:rFonts w:ascii="Arial Narrow" w:hAnsi="Arial Narrow" w:cs="Times New Roman"/>
                <w:iCs/>
                <w:color w:val="000000"/>
                <w:sz w:val="20"/>
                <w:szCs w:val="20"/>
                <w:lang w:eastAsia="zh-CN"/>
              </w:rPr>
              <w:t>0.0019</w:t>
            </w:r>
            <w:r w:rsidR="00492FB6" w:rsidRPr="00492FB6">
              <w:rPr>
                <w:rFonts w:ascii="Arial Narrow" w:hAnsi="Arial Narrow" w:cs="Times New Roman"/>
                <w:iCs/>
                <w:color w:val="000000"/>
                <w:sz w:val="20"/>
                <w:szCs w:val="20"/>
                <w:lang w:eastAsia="zh-CN"/>
              </w:rPr>
              <w:t>*</w:t>
            </w:r>
          </w:p>
        </w:tc>
        <w:tc>
          <w:tcPr>
            <w:tcW w:w="0" w:type="auto"/>
            <w:tcBorders>
              <w:left w:val="nil"/>
              <w:bottom w:val="single" w:sz="4" w:space="0" w:color="auto"/>
              <w:right w:val="single" w:sz="4" w:space="0" w:color="auto"/>
            </w:tcBorders>
            <w:shd w:val="clear" w:color="auto" w:fill="auto"/>
            <w:vAlign w:val="center"/>
          </w:tcPr>
          <w:p w:rsidR="00D94865" w:rsidRPr="00492FB6" w:rsidRDefault="00D94865" w:rsidP="005C7B8C">
            <w:pPr>
              <w:keepNext/>
              <w:keepLines/>
              <w:jc w:val="center"/>
              <w:rPr>
                <w:rFonts w:ascii="Arial Narrow" w:hAnsi="Arial Narrow" w:cs="Times New Roman"/>
                <w:color w:val="000000"/>
                <w:sz w:val="20"/>
                <w:szCs w:val="20"/>
                <w:lang w:eastAsia="zh-CN"/>
              </w:rPr>
            </w:pPr>
            <w:r w:rsidRPr="00492FB6">
              <w:rPr>
                <w:rFonts w:ascii="Arial Narrow" w:hAnsi="Arial Narrow" w:cs="Times New Roman"/>
                <w:color w:val="000000"/>
                <w:sz w:val="20"/>
                <w:szCs w:val="20"/>
                <w:lang w:eastAsia="zh-CN"/>
              </w:rPr>
              <w:t>$</w:t>
            </w:r>
            <w:r w:rsidR="006F551D">
              <w:rPr>
                <w:rFonts w:ascii="Arial Narrow" w:hAnsi="Arial Narrow" w:cs="Times New Roman"/>
                <w:noProof/>
                <w:color w:val="000000"/>
                <w:sz w:val="20"/>
                <w:szCs w:val="20"/>
                <w:highlight w:val="black"/>
                <w:lang w:eastAsia="zh-CN"/>
              </w:rPr>
              <w:t>'''''''''''''''''</w:t>
            </w:r>
            <w:r w:rsidR="00492FB6" w:rsidRPr="00492FB6">
              <w:rPr>
                <w:rFonts w:ascii="Arial Narrow" w:hAnsi="Arial Narrow" w:cs="Times New Roman"/>
                <w:color w:val="000000"/>
                <w:sz w:val="20"/>
                <w:szCs w:val="20"/>
                <w:lang w:eastAsia="zh-CN"/>
              </w:rPr>
              <w:t>*</w:t>
            </w:r>
          </w:p>
        </w:tc>
      </w:tr>
      <w:tr w:rsidR="00C703EC" w:rsidRPr="004A0ADD" w:rsidTr="00C703EC">
        <w:tc>
          <w:tcPr>
            <w:tcW w:w="0" w:type="auto"/>
            <w:gridSpan w:val="4"/>
            <w:tcBorders>
              <w:top w:val="single" w:sz="4" w:space="0" w:color="auto"/>
              <w:left w:val="single" w:sz="4" w:space="0" w:color="auto"/>
              <w:right w:val="single" w:sz="4" w:space="0" w:color="auto"/>
            </w:tcBorders>
            <w:shd w:val="clear" w:color="auto" w:fill="auto"/>
            <w:vAlign w:val="center"/>
          </w:tcPr>
          <w:p w:rsidR="00C703EC" w:rsidRPr="005C7B8C" w:rsidRDefault="00C703EC" w:rsidP="005C7B8C">
            <w:pPr>
              <w:keepNext/>
              <w:keepLines/>
              <w:jc w:val="left"/>
              <w:rPr>
                <w:rFonts w:ascii="Arial Narrow" w:hAnsi="Arial Narrow" w:cs="Times New Roman"/>
                <w:b/>
                <w:bCs/>
                <w:color w:val="000000"/>
                <w:sz w:val="20"/>
                <w:szCs w:val="20"/>
                <w:lang w:eastAsia="zh-CN"/>
              </w:rPr>
            </w:pPr>
            <w:r w:rsidRPr="005C7B8C">
              <w:rPr>
                <w:rFonts w:ascii="Arial Narrow" w:hAnsi="Arial Narrow" w:cs="Times New Roman"/>
                <w:b/>
                <w:bCs/>
                <w:color w:val="000000"/>
                <w:sz w:val="20"/>
                <w:szCs w:val="20"/>
                <w:lang w:eastAsia="zh-CN"/>
              </w:rPr>
              <w:t>RR of CDI recurrence for bezlotoxumab vs SOC</w:t>
            </w:r>
            <w:r w:rsidR="005C7B8C" w:rsidRPr="005C7B8C">
              <w:rPr>
                <w:rFonts w:ascii="Arial Narrow" w:hAnsi="Arial Narrow" w:cs="Times New Roman"/>
                <w:b/>
                <w:bCs/>
                <w:color w:val="000000"/>
                <w:sz w:val="20"/>
                <w:szCs w:val="20"/>
                <w:lang w:eastAsia="zh-CN"/>
              </w:rPr>
              <w:t>**</w:t>
            </w:r>
          </w:p>
        </w:tc>
      </w:tr>
      <w:tr w:rsidR="00C703EC" w:rsidRPr="00416632" w:rsidTr="00C02B0C">
        <w:tc>
          <w:tcPr>
            <w:tcW w:w="0" w:type="auto"/>
            <w:tcBorders>
              <w:top w:val="single" w:sz="4" w:space="0" w:color="auto"/>
              <w:left w:val="single" w:sz="4" w:space="0" w:color="auto"/>
              <w:right w:val="single" w:sz="4" w:space="0" w:color="auto"/>
            </w:tcBorders>
            <w:shd w:val="clear" w:color="auto" w:fill="auto"/>
            <w:vAlign w:val="center"/>
          </w:tcPr>
          <w:p w:rsidR="00C703EC" w:rsidRPr="005C7B8C" w:rsidRDefault="00C703EC" w:rsidP="005C7B8C">
            <w:pPr>
              <w:keepNext/>
              <w:keepLines/>
              <w:widowControl w:val="0"/>
              <w:numPr>
                <w:ilvl w:val="0"/>
                <w:numId w:val="10"/>
              </w:numPr>
              <w:ind w:left="254" w:hanging="142"/>
              <w:jc w:val="left"/>
              <w:rPr>
                <w:rFonts w:ascii="Arial Narrow" w:hAnsi="Arial Narrow" w:cs="Times New Roman"/>
                <w:b/>
                <w:bCs/>
                <w:iCs/>
                <w:color w:val="000000"/>
                <w:sz w:val="20"/>
                <w:szCs w:val="20"/>
                <w:lang w:eastAsia="zh-CN"/>
              </w:rPr>
            </w:pPr>
            <w:r w:rsidRPr="005C7B8C">
              <w:rPr>
                <w:rFonts w:ascii="Arial Narrow" w:hAnsi="Arial Narrow" w:cs="Times New Roman"/>
                <w:b/>
                <w:bCs/>
                <w:iCs/>
                <w:color w:val="000000"/>
                <w:sz w:val="20"/>
                <w:szCs w:val="20"/>
                <w:lang w:eastAsia="zh-CN"/>
              </w:rPr>
              <w:t xml:space="preserve">Base case: RR </w:t>
            </w:r>
            <w:r w:rsidR="00CA0369" w:rsidRPr="005C7B8C">
              <w:rPr>
                <w:rFonts w:ascii="Arial Narrow" w:hAnsi="Arial Narrow" w:cs="Times New Roman"/>
                <w:b/>
                <w:bCs/>
                <w:iCs/>
                <w:color w:val="000000"/>
                <w:sz w:val="20"/>
                <w:szCs w:val="20"/>
                <w:lang w:eastAsia="zh-CN"/>
              </w:rPr>
              <w:t>0.50</w:t>
            </w:r>
            <w:r w:rsidRPr="005C7B8C">
              <w:rPr>
                <w:rFonts w:ascii="Arial Narrow" w:hAnsi="Arial Narrow" w:cs="Times New Roman"/>
                <w:b/>
                <w:bCs/>
                <w:iCs/>
                <w:color w:val="000000"/>
                <w:sz w:val="20"/>
                <w:szCs w:val="20"/>
                <w:lang w:eastAsia="zh-CN"/>
              </w:rPr>
              <w:t>: Bezlotoxumab 12.0%, SOC 23.9%</w:t>
            </w:r>
          </w:p>
        </w:tc>
        <w:tc>
          <w:tcPr>
            <w:tcW w:w="0" w:type="auto"/>
            <w:tcBorders>
              <w:top w:val="single" w:sz="4" w:space="0" w:color="auto"/>
              <w:left w:val="nil"/>
              <w:right w:val="single" w:sz="4" w:space="0" w:color="auto"/>
            </w:tcBorders>
            <w:shd w:val="clear" w:color="auto" w:fill="auto"/>
            <w:vAlign w:val="center"/>
          </w:tcPr>
          <w:p w:rsidR="00C703EC" w:rsidRPr="005C7B8C" w:rsidRDefault="00C703EC" w:rsidP="005C7B8C">
            <w:pPr>
              <w:keepNext/>
              <w:keepLines/>
              <w:jc w:val="center"/>
              <w:rPr>
                <w:rFonts w:ascii="Arial Narrow" w:hAnsi="Arial Narrow" w:cs="Times New Roman"/>
                <w:b/>
                <w:bCs/>
                <w:color w:val="000000"/>
                <w:sz w:val="20"/>
                <w:szCs w:val="20"/>
                <w:lang w:eastAsia="zh-CN"/>
              </w:rPr>
            </w:pPr>
            <w:r w:rsidRPr="005C7B8C">
              <w:rPr>
                <w:rFonts w:ascii="Arial Narrow" w:hAnsi="Arial Narrow" w:cs="Times New Roman"/>
                <w:b/>
                <w:bCs/>
                <w:color w:val="000000"/>
                <w:sz w:val="20"/>
                <w:szCs w:val="20"/>
                <w:lang w:eastAsia="zh-CN"/>
              </w:rPr>
              <w:t>$</w:t>
            </w:r>
            <w:r w:rsidR="006F551D">
              <w:rPr>
                <w:rFonts w:ascii="Arial Narrow" w:hAnsi="Arial Narrow" w:cs="Times New Roman"/>
                <w:b/>
                <w:bCs/>
                <w:noProof/>
                <w:color w:val="000000"/>
                <w:sz w:val="20"/>
                <w:szCs w:val="20"/>
                <w:highlight w:val="black"/>
                <w:lang w:eastAsia="zh-CN"/>
              </w:rPr>
              <w:t>''''''''''''''</w:t>
            </w:r>
          </w:p>
        </w:tc>
        <w:tc>
          <w:tcPr>
            <w:tcW w:w="0" w:type="auto"/>
            <w:tcBorders>
              <w:top w:val="single" w:sz="4" w:space="0" w:color="auto"/>
              <w:left w:val="nil"/>
              <w:right w:val="single" w:sz="4" w:space="0" w:color="auto"/>
            </w:tcBorders>
            <w:shd w:val="clear" w:color="auto" w:fill="auto"/>
            <w:vAlign w:val="center"/>
          </w:tcPr>
          <w:p w:rsidR="00C703EC" w:rsidRPr="005C7B8C" w:rsidRDefault="00C703EC" w:rsidP="005C7B8C">
            <w:pPr>
              <w:keepNext/>
              <w:keepLines/>
              <w:jc w:val="center"/>
              <w:rPr>
                <w:rFonts w:ascii="Arial Narrow" w:hAnsi="Arial Narrow" w:cs="Times New Roman"/>
                <w:b/>
                <w:bCs/>
                <w:color w:val="000000"/>
                <w:sz w:val="20"/>
                <w:szCs w:val="20"/>
                <w:lang w:eastAsia="zh-CN"/>
              </w:rPr>
            </w:pPr>
            <w:r w:rsidRPr="005C7B8C">
              <w:rPr>
                <w:rFonts w:ascii="Arial Narrow" w:hAnsi="Arial Narrow" w:cs="Times New Roman"/>
                <w:b/>
                <w:bCs/>
                <w:color w:val="000000"/>
                <w:sz w:val="20"/>
                <w:szCs w:val="20"/>
                <w:lang w:eastAsia="zh-CN"/>
              </w:rPr>
              <w:t>0.0085</w:t>
            </w:r>
          </w:p>
        </w:tc>
        <w:tc>
          <w:tcPr>
            <w:tcW w:w="0" w:type="auto"/>
            <w:tcBorders>
              <w:top w:val="single" w:sz="4" w:space="0" w:color="auto"/>
              <w:left w:val="nil"/>
              <w:right w:val="single" w:sz="4" w:space="0" w:color="auto"/>
            </w:tcBorders>
            <w:shd w:val="clear" w:color="auto" w:fill="auto"/>
            <w:vAlign w:val="center"/>
          </w:tcPr>
          <w:p w:rsidR="00C703EC" w:rsidRPr="005C7B8C" w:rsidRDefault="00C703EC" w:rsidP="005C7B8C">
            <w:pPr>
              <w:keepNext/>
              <w:keepLines/>
              <w:jc w:val="center"/>
              <w:rPr>
                <w:rFonts w:ascii="Arial Narrow" w:hAnsi="Arial Narrow" w:cs="Times New Roman"/>
                <w:b/>
                <w:bCs/>
                <w:color w:val="000000"/>
                <w:sz w:val="20"/>
                <w:szCs w:val="20"/>
                <w:lang w:eastAsia="zh-CN"/>
              </w:rPr>
            </w:pPr>
            <w:r w:rsidRPr="005C7B8C">
              <w:rPr>
                <w:rFonts w:ascii="Arial Narrow" w:hAnsi="Arial Narrow" w:cs="Times New Roman"/>
                <w:b/>
                <w:bCs/>
                <w:color w:val="000000"/>
                <w:sz w:val="20"/>
                <w:szCs w:val="20"/>
                <w:lang w:eastAsia="zh-CN"/>
              </w:rPr>
              <w:t>$</w:t>
            </w:r>
            <w:r w:rsidR="006F551D">
              <w:rPr>
                <w:rFonts w:ascii="Arial Narrow" w:hAnsi="Arial Narrow" w:cs="Times New Roman"/>
                <w:b/>
                <w:bCs/>
                <w:noProof/>
                <w:color w:val="000000"/>
                <w:sz w:val="20"/>
                <w:szCs w:val="20"/>
                <w:highlight w:val="black"/>
                <w:lang w:eastAsia="zh-CN"/>
              </w:rPr>
              <w:t>'''''''''''''''</w:t>
            </w:r>
          </w:p>
        </w:tc>
      </w:tr>
      <w:tr w:rsidR="00C703EC" w:rsidRPr="006A69B1" w:rsidTr="00C02B0C">
        <w:trPr>
          <w:trHeight w:val="543"/>
        </w:trPr>
        <w:tc>
          <w:tcPr>
            <w:tcW w:w="0" w:type="auto"/>
            <w:tcBorders>
              <w:left w:val="single" w:sz="4" w:space="0" w:color="auto"/>
              <w:right w:val="single" w:sz="4" w:space="0" w:color="auto"/>
            </w:tcBorders>
            <w:shd w:val="clear" w:color="auto" w:fill="auto"/>
            <w:vAlign w:val="center"/>
          </w:tcPr>
          <w:p w:rsidR="001834DA" w:rsidRPr="005C7B8C" w:rsidRDefault="00C703EC" w:rsidP="005C7B8C">
            <w:pPr>
              <w:keepNext/>
              <w:keepLines/>
              <w:widowControl w:val="0"/>
              <w:numPr>
                <w:ilvl w:val="0"/>
                <w:numId w:val="10"/>
              </w:numPr>
              <w:ind w:left="254" w:hanging="142"/>
              <w:jc w:val="left"/>
              <w:rPr>
                <w:rFonts w:ascii="Arial Narrow" w:hAnsi="Arial Narrow" w:cs="Times New Roman"/>
                <w:iCs/>
                <w:color w:val="000000"/>
                <w:sz w:val="20"/>
                <w:szCs w:val="20"/>
                <w:lang w:eastAsia="zh-CN"/>
              </w:rPr>
            </w:pPr>
            <w:r w:rsidRPr="005C7B8C">
              <w:rPr>
                <w:rFonts w:ascii="Arial Narrow" w:hAnsi="Arial Narrow" w:cs="Times New Roman"/>
                <w:iCs/>
                <w:color w:val="000000"/>
                <w:sz w:val="20"/>
                <w:szCs w:val="20"/>
                <w:lang w:eastAsia="zh-CN"/>
              </w:rPr>
              <w:t xml:space="preserve">Assuming RR </w:t>
            </w:r>
            <w:r w:rsidR="00CA0369" w:rsidRPr="005C7B8C">
              <w:rPr>
                <w:rFonts w:ascii="Arial Narrow" w:hAnsi="Arial Narrow" w:cs="Times New Roman"/>
                <w:iCs/>
                <w:color w:val="000000"/>
                <w:sz w:val="20"/>
                <w:szCs w:val="20"/>
                <w:lang w:eastAsia="zh-CN"/>
              </w:rPr>
              <w:t>0.</w:t>
            </w:r>
            <w:r w:rsidRPr="005C7B8C">
              <w:rPr>
                <w:rFonts w:ascii="Arial Narrow" w:hAnsi="Arial Narrow" w:cs="Times New Roman"/>
                <w:iCs/>
                <w:color w:val="000000"/>
                <w:sz w:val="20"/>
                <w:szCs w:val="20"/>
                <w:lang w:eastAsia="zh-CN"/>
              </w:rPr>
              <w:t>56</w:t>
            </w:r>
            <w:r w:rsidR="001834DA" w:rsidRPr="005C7B8C">
              <w:rPr>
                <w:rFonts w:ascii="Arial Narrow" w:hAnsi="Arial Narrow" w:cs="Times New Roman"/>
                <w:iCs/>
                <w:color w:val="000000"/>
                <w:sz w:val="20"/>
                <w:szCs w:val="20"/>
                <w:lang w:eastAsia="zh-CN"/>
              </w:rPr>
              <w:t xml:space="preserve"> (as per July 2018 model)</w:t>
            </w:r>
            <w:r w:rsidRPr="005C7B8C">
              <w:rPr>
                <w:rFonts w:ascii="Arial Narrow" w:hAnsi="Arial Narrow" w:cs="Times New Roman"/>
                <w:iCs/>
                <w:color w:val="000000"/>
                <w:sz w:val="20"/>
                <w:szCs w:val="20"/>
                <w:lang w:eastAsia="zh-CN"/>
              </w:rPr>
              <w:t>: Bezlotoxumab 13.5%, SOC 23.9%</w:t>
            </w:r>
          </w:p>
        </w:tc>
        <w:tc>
          <w:tcPr>
            <w:tcW w:w="0" w:type="auto"/>
            <w:tcBorders>
              <w:left w:val="nil"/>
              <w:right w:val="single" w:sz="4" w:space="0" w:color="auto"/>
            </w:tcBorders>
            <w:shd w:val="clear" w:color="auto" w:fill="auto"/>
            <w:vAlign w:val="center"/>
          </w:tcPr>
          <w:p w:rsidR="00C703EC" w:rsidRPr="005C7B8C" w:rsidRDefault="00F21081" w:rsidP="005C7B8C">
            <w:pPr>
              <w:keepNext/>
              <w:keepLines/>
              <w:jc w:val="center"/>
              <w:rPr>
                <w:rFonts w:ascii="Arial Narrow" w:hAnsi="Arial Narrow" w:cs="Times New Roman"/>
                <w:iCs/>
                <w:color w:val="000000"/>
                <w:sz w:val="20"/>
                <w:szCs w:val="20"/>
                <w:lang w:eastAsia="zh-CN"/>
              </w:rPr>
            </w:pPr>
            <w:r w:rsidRPr="005C7B8C">
              <w:rPr>
                <w:rFonts w:ascii="Arial Narrow" w:hAnsi="Arial Narrow" w:cs="Times New Roman"/>
                <w:iCs/>
                <w:color w:val="000000"/>
                <w:sz w:val="20"/>
                <w:szCs w:val="20"/>
                <w:lang w:eastAsia="zh-CN"/>
              </w:rPr>
              <w:t>$</w:t>
            </w:r>
            <w:r w:rsidR="006F551D">
              <w:rPr>
                <w:rFonts w:ascii="Arial Narrow" w:hAnsi="Arial Narrow" w:cs="Times New Roman"/>
                <w:iCs/>
                <w:noProof/>
                <w:color w:val="000000"/>
                <w:sz w:val="20"/>
                <w:szCs w:val="20"/>
                <w:highlight w:val="black"/>
                <w:lang w:eastAsia="zh-CN"/>
              </w:rPr>
              <w:t>''''''''''''''''</w:t>
            </w:r>
          </w:p>
        </w:tc>
        <w:tc>
          <w:tcPr>
            <w:tcW w:w="0" w:type="auto"/>
            <w:tcBorders>
              <w:left w:val="nil"/>
              <w:right w:val="single" w:sz="4" w:space="0" w:color="auto"/>
            </w:tcBorders>
            <w:shd w:val="clear" w:color="auto" w:fill="auto"/>
            <w:vAlign w:val="center"/>
          </w:tcPr>
          <w:p w:rsidR="00C703EC" w:rsidRPr="005C7B8C" w:rsidRDefault="00C703EC" w:rsidP="005C7B8C">
            <w:pPr>
              <w:keepNext/>
              <w:keepLines/>
              <w:jc w:val="center"/>
              <w:rPr>
                <w:rFonts w:ascii="Arial Narrow" w:hAnsi="Arial Narrow" w:cs="Times New Roman"/>
                <w:iCs/>
                <w:color w:val="000000"/>
                <w:sz w:val="20"/>
                <w:szCs w:val="20"/>
                <w:lang w:eastAsia="zh-CN"/>
              </w:rPr>
            </w:pPr>
            <w:r w:rsidRPr="005C7B8C">
              <w:rPr>
                <w:rFonts w:ascii="Arial Narrow" w:hAnsi="Arial Narrow" w:cs="Times New Roman"/>
                <w:iCs/>
                <w:color w:val="000000"/>
                <w:sz w:val="20"/>
                <w:szCs w:val="20"/>
                <w:lang w:eastAsia="zh-CN"/>
              </w:rPr>
              <w:t>0.0074</w:t>
            </w:r>
          </w:p>
        </w:tc>
        <w:tc>
          <w:tcPr>
            <w:tcW w:w="0" w:type="auto"/>
            <w:tcBorders>
              <w:left w:val="nil"/>
              <w:right w:val="single" w:sz="4" w:space="0" w:color="auto"/>
            </w:tcBorders>
            <w:shd w:val="clear" w:color="auto" w:fill="auto"/>
            <w:vAlign w:val="center"/>
          </w:tcPr>
          <w:p w:rsidR="00C703EC" w:rsidRPr="005C7B8C" w:rsidRDefault="00C703EC" w:rsidP="005C7B8C">
            <w:pPr>
              <w:keepNext/>
              <w:keepLines/>
              <w:jc w:val="center"/>
              <w:rPr>
                <w:rFonts w:ascii="Arial Narrow" w:hAnsi="Arial Narrow" w:cs="Times New Roman"/>
                <w:iCs/>
                <w:color w:val="000000"/>
                <w:sz w:val="20"/>
                <w:szCs w:val="20"/>
                <w:lang w:eastAsia="zh-CN"/>
              </w:rPr>
            </w:pPr>
            <w:r w:rsidRPr="005C7B8C">
              <w:rPr>
                <w:rFonts w:ascii="Arial Narrow" w:hAnsi="Arial Narrow" w:cs="Times New Roman"/>
                <w:iCs/>
                <w:color w:val="000000"/>
                <w:sz w:val="20"/>
                <w:szCs w:val="20"/>
                <w:lang w:eastAsia="zh-CN"/>
              </w:rPr>
              <w:t>$</w:t>
            </w:r>
            <w:r w:rsidR="006F551D">
              <w:rPr>
                <w:rFonts w:ascii="Arial Narrow" w:hAnsi="Arial Narrow" w:cs="Times New Roman"/>
                <w:iCs/>
                <w:noProof/>
                <w:color w:val="000000"/>
                <w:sz w:val="20"/>
                <w:szCs w:val="20"/>
                <w:highlight w:val="black"/>
                <w:lang w:eastAsia="zh-CN"/>
              </w:rPr>
              <w:t>'''''''''''''''''</w:t>
            </w:r>
          </w:p>
        </w:tc>
      </w:tr>
      <w:tr w:rsidR="00276EAF" w:rsidRPr="006A69B1" w:rsidTr="00C703EC">
        <w:trPr>
          <w:trHeight w:val="70"/>
        </w:trPr>
        <w:tc>
          <w:tcPr>
            <w:tcW w:w="0" w:type="auto"/>
            <w:tcBorders>
              <w:left w:val="single" w:sz="4" w:space="0" w:color="auto"/>
              <w:bottom w:val="single" w:sz="4" w:space="0" w:color="auto"/>
              <w:right w:val="single" w:sz="4" w:space="0" w:color="auto"/>
            </w:tcBorders>
            <w:shd w:val="clear" w:color="auto" w:fill="auto"/>
            <w:vAlign w:val="center"/>
          </w:tcPr>
          <w:p w:rsidR="00276EAF" w:rsidRPr="005C7B8C" w:rsidRDefault="00276EAF" w:rsidP="005C7B8C">
            <w:pPr>
              <w:keepNext/>
              <w:keepLines/>
              <w:widowControl w:val="0"/>
              <w:numPr>
                <w:ilvl w:val="0"/>
                <w:numId w:val="10"/>
              </w:numPr>
              <w:ind w:left="254" w:hanging="142"/>
              <w:jc w:val="left"/>
              <w:rPr>
                <w:rFonts w:ascii="Arial Narrow" w:hAnsi="Arial Narrow" w:cs="Times New Roman"/>
                <w:iCs/>
                <w:color w:val="000000"/>
                <w:sz w:val="20"/>
                <w:szCs w:val="20"/>
                <w:lang w:eastAsia="zh-CN"/>
              </w:rPr>
            </w:pPr>
            <w:r w:rsidRPr="005C7B8C">
              <w:rPr>
                <w:rFonts w:ascii="Arial Narrow" w:hAnsi="Arial Narrow" w:cs="Times New Roman"/>
                <w:iCs/>
                <w:color w:val="000000"/>
                <w:sz w:val="20"/>
                <w:szCs w:val="20"/>
                <w:lang w:eastAsia="zh-CN"/>
              </w:rPr>
              <w:t xml:space="preserve">Assuming RR </w:t>
            </w:r>
            <w:r w:rsidR="00CA0369" w:rsidRPr="005C7B8C">
              <w:rPr>
                <w:rFonts w:ascii="Arial Narrow" w:hAnsi="Arial Narrow" w:cs="Times New Roman"/>
                <w:iCs/>
                <w:color w:val="000000"/>
                <w:sz w:val="20"/>
                <w:szCs w:val="20"/>
                <w:lang w:eastAsia="zh-CN"/>
              </w:rPr>
              <w:t>0.</w:t>
            </w:r>
            <w:r w:rsidRPr="005C7B8C">
              <w:rPr>
                <w:rFonts w:ascii="Arial Narrow" w:hAnsi="Arial Narrow" w:cs="Times New Roman"/>
                <w:iCs/>
                <w:color w:val="000000"/>
                <w:sz w:val="20"/>
                <w:szCs w:val="20"/>
                <w:lang w:eastAsia="zh-CN"/>
              </w:rPr>
              <w:t>62 (as per trial ITT population): Bezlotoxumab 14.8%, SOC 23.9%</w:t>
            </w:r>
          </w:p>
        </w:tc>
        <w:tc>
          <w:tcPr>
            <w:tcW w:w="0" w:type="auto"/>
            <w:tcBorders>
              <w:left w:val="nil"/>
              <w:bottom w:val="single" w:sz="4" w:space="0" w:color="auto"/>
              <w:right w:val="single" w:sz="4" w:space="0" w:color="auto"/>
            </w:tcBorders>
            <w:shd w:val="clear" w:color="auto" w:fill="auto"/>
            <w:vAlign w:val="center"/>
          </w:tcPr>
          <w:p w:rsidR="00276EAF" w:rsidRPr="005C7B8C" w:rsidRDefault="00276EAF" w:rsidP="005C7B8C">
            <w:pPr>
              <w:keepNext/>
              <w:keepLines/>
              <w:jc w:val="center"/>
              <w:rPr>
                <w:rFonts w:ascii="Arial Narrow" w:hAnsi="Arial Narrow" w:cs="Times New Roman"/>
                <w:iCs/>
                <w:color w:val="000000"/>
                <w:sz w:val="20"/>
                <w:szCs w:val="20"/>
                <w:lang w:eastAsia="zh-CN"/>
              </w:rPr>
            </w:pPr>
            <w:r w:rsidRPr="005C7B8C">
              <w:rPr>
                <w:rFonts w:ascii="Arial Narrow" w:hAnsi="Arial Narrow"/>
                <w:iCs/>
                <w:color w:val="000000"/>
                <w:sz w:val="20"/>
                <w:szCs w:val="20"/>
              </w:rPr>
              <w:t> $</w:t>
            </w:r>
            <w:r w:rsidR="006F551D">
              <w:rPr>
                <w:rFonts w:ascii="Arial Narrow" w:hAnsi="Arial Narrow"/>
                <w:iCs/>
                <w:noProof/>
                <w:color w:val="000000"/>
                <w:sz w:val="20"/>
                <w:szCs w:val="20"/>
                <w:highlight w:val="black"/>
              </w:rPr>
              <w:t>''''''''''''''''</w:t>
            </w:r>
          </w:p>
        </w:tc>
        <w:tc>
          <w:tcPr>
            <w:tcW w:w="0" w:type="auto"/>
            <w:tcBorders>
              <w:left w:val="nil"/>
              <w:bottom w:val="single" w:sz="4" w:space="0" w:color="auto"/>
              <w:right w:val="single" w:sz="4" w:space="0" w:color="auto"/>
            </w:tcBorders>
            <w:shd w:val="clear" w:color="auto" w:fill="auto"/>
            <w:vAlign w:val="center"/>
          </w:tcPr>
          <w:p w:rsidR="00276EAF" w:rsidRPr="005C7B8C" w:rsidRDefault="00276EAF" w:rsidP="005C7B8C">
            <w:pPr>
              <w:keepNext/>
              <w:keepLines/>
              <w:jc w:val="center"/>
              <w:rPr>
                <w:rFonts w:ascii="Arial Narrow" w:hAnsi="Arial Narrow" w:cs="Times New Roman"/>
                <w:iCs/>
                <w:color w:val="000000"/>
                <w:sz w:val="20"/>
                <w:szCs w:val="20"/>
                <w:lang w:eastAsia="zh-CN"/>
              </w:rPr>
            </w:pPr>
            <w:r w:rsidRPr="005C7B8C">
              <w:rPr>
                <w:rFonts w:ascii="Arial Narrow" w:hAnsi="Arial Narrow"/>
                <w:iCs/>
                <w:color w:val="000000"/>
                <w:sz w:val="20"/>
                <w:szCs w:val="20"/>
              </w:rPr>
              <w:t>0.0064 </w:t>
            </w:r>
          </w:p>
        </w:tc>
        <w:tc>
          <w:tcPr>
            <w:tcW w:w="0" w:type="auto"/>
            <w:tcBorders>
              <w:left w:val="nil"/>
              <w:bottom w:val="single" w:sz="4" w:space="0" w:color="auto"/>
              <w:right w:val="single" w:sz="4" w:space="0" w:color="auto"/>
            </w:tcBorders>
            <w:shd w:val="clear" w:color="auto" w:fill="auto"/>
            <w:vAlign w:val="center"/>
          </w:tcPr>
          <w:p w:rsidR="00276EAF" w:rsidRPr="005C7B8C" w:rsidRDefault="00276EAF" w:rsidP="005C7B8C">
            <w:pPr>
              <w:keepNext/>
              <w:keepLines/>
              <w:jc w:val="center"/>
              <w:rPr>
                <w:rFonts w:ascii="Arial Narrow" w:hAnsi="Arial Narrow" w:cs="Times New Roman"/>
                <w:iCs/>
                <w:color w:val="000000"/>
                <w:sz w:val="20"/>
                <w:szCs w:val="20"/>
                <w:lang w:eastAsia="zh-CN"/>
              </w:rPr>
            </w:pPr>
            <w:r w:rsidRPr="005C7B8C">
              <w:rPr>
                <w:rFonts w:ascii="Arial Narrow" w:hAnsi="Arial Narrow"/>
                <w:iCs/>
                <w:color w:val="000000"/>
                <w:sz w:val="20"/>
                <w:szCs w:val="20"/>
              </w:rPr>
              <w:t> $</w:t>
            </w:r>
            <w:r w:rsidR="006F551D">
              <w:rPr>
                <w:rFonts w:ascii="Arial Narrow" w:hAnsi="Arial Narrow"/>
                <w:iCs/>
                <w:noProof/>
                <w:color w:val="000000"/>
                <w:sz w:val="20"/>
                <w:szCs w:val="20"/>
                <w:highlight w:val="black"/>
              </w:rPr>
              <w:t>'''''''''''''''''''</w:t>
            </w:r>
          </w:p>
        </w:tc>
      </w:tr>
      <w:tr w:rsidR="00C703EC" w:rsidRPr="00416632" w:rsidTr="00C703EC">
        <w:trPr>
          <w:trHeight w:val="7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C703EC" w:rsidRPr="005C7B8C" w:rsidRDefault="00C703EC" w:rsidP="005C7B8C">
            <w:pPr>
              <w:keepNext/>
              <w:keepLines/>
              <w:jc w:val="left"/>
              <w:rPr>
                <w:rFonts w:ascii="Arial Narrow" w:hAnsi="Arial Narrow" w:cs="Times New Roman"/>
                <w:b/>
                <w:bCs/>
                <w:color w:val="000000"/>
                <w:sz w:val="20"/>
                <w:szCs w:val="20"/>
                <w:lang w:eastAsia="zh-CN"/>
              </w:rPr>
            </w:pPr>
            <w:r w:rsidRPr="005C7B8C">
              <w:rPr>
                <w:rFonts w:ascii="Arial Narrow" w:hAnsi="Arial Narrow" w:cs="Times New Roman"/>
                <w:b/>
                <w:bCs/>
                <w:color w:val="000000"/>
                <w:sz w:val="20"/>
                <w:szCs w:val="20"/>
                <w:lang w:eastAsia="zh-CN"/>
              </w:rPr>
              <w:t>Multivariate analysis</w:t>
            </w:r>
            <w:r w:rsidR="005C7B8C" w:rsidRPr="005C7B8C">
              <w:rPr>
                <w:rFonts w:ascii="Arial Narrow" w:hAnsi="Arial Narrow" w:cs="Times New Roman"/>
                <w:b/>
                <w:bCs/>
                <w:color w:val="000000"/>
                <w:sz w:val="20"/>
                <w:szCs w:val="20"/>
                <w:lang w:eastAsia="zh-CN"/>
              </w:rPr>
              <w:t>**</w:t>
            </w:r>
          </w:p>
        </w:tc>
      </w:tr>
      <w:tr w:rsidR="00C703EC" w:rsidRPr="006A69B1" w:rsidTr="00196C58">
        <w:trPr>
          <w:trHeight w:val="7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03EC" w:rsidRPr="005C7B8C" w:rsidRDefault="00C703EC" w:rsidP="005C7B8C">
            <w:pPr>
              <w:keepNext/>
              <w:keepLines/>
              <w:widowControl w:val="0"/>
              <w:numPr>
                <w:ilvl w:val="0"/>
                <w:numId w:val="10"/>
              </w:numPr>
              <w:ind w:left="254" w:hanging="142"/>
              <w:jc w:val="left"/>
              <w:rPr>
                <w:rFonts w:ascii="Arial Narrow" w:hAnsi="Arial Narrow" w:cs="Times New Roman"/>
                <w:iCs/>
                <w:color w:val="000000"/>
                <w:sz w:val="20"/>
                <w:szCs w:val="20"/>
                <w:lang w:eastAsia="zh-CN"/>
              </w:rPr>
            </w:pPr>
            <w:r w:rsidRPr="005C7B8C">
              <w:rPr>
                <w:rFonts w:ascii="Arial Narrow" w:hAnsi="Arial Narrow" w:cs="Times New Roman"/>
                <w:iCs/>
                <w:color w:val="000000"/>
                <w:sz w:val="20"/>
                <w:szCs w:val="20"/>
                <w:lang w:eastAsia="zh-CN"/>
              </w:rPr>
              <w:t xml:space="preserve">Assuming RR </w:t>
            </w:r>
            <w:r w:rsidR="00CA0369" w:rsidRPr="005C7B8C">
              <w:rPr>
                <w:rFonts w:ascii="Arial Narrow" w:hAnsi="Arial Narrow" w:cs="Times New Roman"/>
                <w:iCs/>
                <w:color w:val="000000"/>
                <w:sz w:val="20"/>
                <w:szCs w:val="20"/>
                <w:lang w:eastAsia="zh-CN"/>
              </w:rPr>
              <w:t>0.</w:t>
            </w:r>
            <w:r w:rsidRPr="005C7B8C">
              <w:rPr>
                <w:rFonts w:ascii="Arial Narrow" w:hAnsi="Arial Narrow" w:cs="Times New Roman"/>
                <w:iCs/>
                <w:color w:val="000000"/>
                <w:sz w:val="20"/>
                <w:szCs w:val="20"/>
                <w:lang w:eastAsia="zh-CN"/>
              </w:rPr>
              <w:t>56: Bezlotoxumab 13.5%, SOC 23.9%</w:t>
            </w:r>
          </w:p>
          <w:p w:rsidR="00C703EC" w:rsidRPr="005C7B8C" w:rsidRDefault="00C703EC" w:rsidP="005C7B8C">
            <w:pPr>
              <w:keepNext/>
              <w:keepLines/>
              <w:widowControl w:val="0"/>
              <w:ind w:left="254"/>
              <w:jc w:val="left"/>
              <w:rPr>
                <w:rFonts w:ascii="Arial Narrow" w:hAnsi="Arial Narrow" w:cs="Times New Roman"/>
                <w:iCs/>
                <w:color w:val="000000"/>
                <w:sz w:val="20"/>
                <w:szCs w:val="20"/>
                <w:lang w:eastAsia="zh-CN"/>
              </w:rPr>
            </w:pPr>
            <w:r w:rsidRPr="005C7B8C">
              <w:rPr>
                <w:rFonts w:ascii="Arial Narrow" w:hAnsi="Arial Narrow" w:cs="Times New Roman"/>
                <w:iCs/>
                <w:color w:val="000000"/>
                <w:sz w:val="20"/>
                <w:szCs w:val="20"/>
                <w:lang w:eastAsia="zh-CN"/>
              </w:rPr>
              <w:t>AND</w:t>
            </w:r>
          </w:p>
          <w:p w:rsidR="00C703EC" w:rsidRPr="005C7B8C" w:rsidRDefault="00C703EC" w:rsidP="005C7B8C">
            <w:pPr>
              <w:keepNext/>
              <w:keepLines/>
              <w:widowControl w:val="0"/>
              <w:numPr>
                <w:ilvl w:val="0"/>
                <w:numId w:val="10"/>
              </w:numPr>
              <w:ind w:left="254" w:hanging="142"/>
              <w:jc w:val="left"/>
              <w:rPr>
                <w:rFonts w:ascii="Arial Narrow" w:hAnsi="Arial Narrow" w:cs="Times New Roman"/>
                <w:iCs/>
                <w:color w:val="000000"/>
                <w:sz w:val="20"/>
                <w:szCs w:val="20"/>
                <w:lang w:eastAsia="zh-CN"/>
              </w:rPr>
            </w:pPr>
            <w:r w:rsidRPr="005C7B8C">
              <w:rPr>
                <w:rFonts w:ascii="Arial Narrow" w:hAnsi="Arial Narrow" w:cs="Times New Roman"/>
                <w:iCs/>
                <w:color w:val="000000"/>
                <w:sz w:val="20"/>
                <w:szCs w:val="20"/>
                <w:lang w:eastAsia="zh-CN"/>
              </w:rPr>
              <w:t>Assuming 12.9% of recurrences severe</w:t>
            </w:r>
          </w:p>
        </w:tc>
        <w:tc>
          <w:tcPr>
            <w:tcW w:w="0" w:type="auto"/>
            <w:tcBorders>
              <w:left w:val="nil"/>
              <w:bottom w:val="single" w:sz="4" w:space="0" w:color="auto"/>
              <w:right w:val="single" w:sz="4" w:space="0" w:color="auto"/>
            </w:tcBorders>
            <w:shd w:val="clear" w:color="auto" w:fill="FFFFFF" w:themeFill="background1"/>
            <w:vAlign w:val="center"/>
          </w:tcPr>
          <w:p w:rsidR="00C703EC" w:rsidRPr="005C7B8C" w:rsidRDefault="00C703EC" w:rsidP="005C7B8C">
            <w:pPr>
              <w:keepNext/>
              <w:keepLines/>
              <w:jc w:val="center"/>
              <w:rPr>
                <w:rFonts w:ascii="Arial Narrow" w:hAnsi="Arial Narrow" w:cs="Times New Roman"/>
                <w:iCs/>
                <w:color w:val="000000"/>
                <w:sz w:val="20"/>
                <w:szCs w:val="20"/>
                <w:lang w:eastAsia="zh-CN"/>
              </w:rPr>
            </w:pPr>
            <w:r w:rsidRPr="005C7B8C">
              <w:rPr>
                <w:rFonts w:ascii="Arial Narrow" w:hAnsi="Arial Narrow" w:cs="Times New Roman"/>
                <w:iCs/>
                <w:color w:val="000000"/>
                <w:sz w:val="20"/>
                <w:szCs w:val="20"/>
                <w:lang w:eastAsia="zh-CN"/>
              </w:rPr>
              <w:t>$</w:t>
            </w:r>
            <w:r w:rsidR="006F551D">
              <w:rPr>
                <w:rFonts w:ascii="Arial Narrow" w:hAnsi="Arial Narrow" w:cs="Times New Roman"/>
                <w:iCs/>
                <w:noProof/>
                <w:color w:val="000000"/>
                <w:sz w:val="20"/>
                <w:szCs w:val="20"/>
                <w:highlight w:val="black"/>
                <w:lang w:eastAsia="zh-CN"/>
              </w:rPr>
              <w:t>''''''''''''''''</w:t>
            </w:r>
          </w:p>
        </w:tc>
        <w:tc>
          <w:tcPr>
            <w:tcW w:w="0" w:type="auto"/>
            <w:tcBorders>
              <w:left w:val="nil"/>
              <w:bottom w:val="single" w:sz="4" w:space="0" w:color="auto"/>
              <w:right w:val="single" w:sz="4" w:space="0" w:color="auto"/>
            </w:tcBorders>
            <w:shd w:val="clear" w:color="auto" w:fill="FFFFFF" w:themeFill="background1"/>
            <w:vAlign w:val="center"/>
          </w:tcPr>
          <w:p w:rsidR="00C703EC" w:rsidRPr="005C7B8C" w:rsidRDefault="00C703EC" w:rsidP="005C7B8C">
            <w:pPr>
              <w:keepNext/>
              <w:keepLines/>
              <w:jc w:val="center"/>
              <w:rPr>
                <w:rFonts w:ascii="Arial Narrow" w:hAnsi="Arial Narrow" w:cs="Times New Roman"/>
                <w:iCs/>
                <w:color w:val="000000"/>
                <w:sz w:val="20"/>
                <w:szCs w:val="20"/>
                <w:lang w:eastAsia="zh-CN"/>
              </w:rPr>
            </w:pPr>
            <w:r w:rsidRPr="005C7B8C">
              <w:rPr>
                <w:rFonts w:ascii="Arial Narrow" w:hAnsi="Arial Narrow" w:cs="Times New Roman"/>
                <w:iCs/>
                <w:color w:val="000000"/>
                <w:sz w:val="20"/>
                <w:szCs w:val="20"/>
                <w:lang w:eastAsia="zh-CN"/>
              </w:rPr>
              <w:t>0.0074</w:t>
            </w:r>
          </w:p>
        </w:tc>
        <w:tc>
          <w:tcPr>
            <w:tcW w:w="0" w:type="auto"/>
            <w:tcBorders>
              <w:left w:val="nil"/>
              <w:bottom w:val="single" w:sz="4" w:space="0" w:color="auto"/>
              <w:right w:val="single" w:sz="4" w:space="0" w:color="auto"/>
            </w:tcBorders>
            <w:shd w:val="clear" w:color="auto" w:fill="FFFFFF" w:themeFill="background1"/>
            <w:vAlign w:val="center"/>
          </w:tcPr>
          <w:p w:rsidR="00C703EC" w:rsidRPr="005C7B8C" w:rsidRDefault="00C703EC" w:rsidP="005C7B8C">
            <w:pPr>
              <w:keepNext/>
              <w:keepLines/>
              <w:jc w:val="center"/>
              <w:rPr>
                <w:rFonts w:ascii="Arial Narrow" w:hAnsi="Arial Narrow" w:cs="Times New Roman"/>
                <w:iCs/>
                <w:color w:val="000000"/>
                <w:sz w:val="20"/>
                <w:szCs w:val="20"/>
                <w:lang w:eastAsia="zh-CN"/>
              </w:rPr>
            </w:pPr>
            <w:r w:rsidRPr="005C7B8C">
              <w:rPr>
                <w:rFonts w:ascii="Arial Narrow" w:hAnsi="Arial Narrow" w:cs="Times New Roman"/>
                <w:iCs/>
                <w:color w:val="000000"/>
                <w:sz w:val="20"/>
                <w:szCs w:val="20"/>
                <w:lang w:eastAsia="zh-CN"/>
              </w:rPr>
              <w:t>$</w:t>
            </w:r>
            <w:r w:rsidR="006F551D">
              <w:rPr>
                <w:rFonts w:ascii="Arial Narrow" w:hAnsi="Arial Narrow" w:cs="Times New Roman"/>
                <w:iCs/>
                <w:noProof/>
                <w:color w:val="000000"/>
                <w:sz w:val="20"/>
                <w:szCs w:val="20"/>
                <w:highlight w:val="black"/>
                <w:lang w:eastAsia="zh-CN"/>
              </w:rPr>
              <w:t>''''''''''''''''''</w:t>
            </w:r>
          </w:p>
        </w:tc>
      </w:tr>
      <w:tr w:rsidR="00276EAF" w:rsidRPr="00CB2E52" w:rsidTr="001834DA">
        <w:trPr>
          <w:trHeight w:val="7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6EAF" w:rsidRPr="005C7B8C" w:rsidRDefault="00276EAF" w:rsidP="005C7B8C">
            <w:pPr>
              <w:keepNext/>
              <w:keepLines/>
              <w:widowControl w:val="0"/>
              <w:numPr>
                <w:ilvl w:val="0"/>
                <w:numId w:val="10"/>
              </w:numPr>
              <w:ind w:left="254" w:hanging="142"/>
              <w:jc w:val="left"/>
              <w:rPr>
                <w:rFonts w:ascii="Arial Narrow" w:hAnsi="Arial Narrow" w:cs="Times New Roman"/>
                <w:iCs/>
                <w:color w:val="000000"/>
                <w:sz w:val="20"/>
                <w:szCs w:val="20"/>
                <w:lang w:eastAsia="zh-CN"/>
              </w:rPr>
            </w:pPr>
            <w:r w:rsidRPr="005C7B8C">
              <w:rPr>
                <w:rFonts w:ascii="Arial Narrow" w:hAnsi="Arial Narrow" w:cs="Times New Roman"/>
                <w:iCs/>
                <w:color w:val="000000"/>
                <w:sz w:val="20"/>
                <w:szCs w:val="20"/>
                <w:lang w:eastAsia="zh-CN"/>
              </w:rPr>
              <w:t xml:space="preserve">Assuming RR </w:t>
            </w:r>
            <w:r w:rsidR="00CA0369" w:rsidRPr="005C7B8C">
              <w:rPr>
                <w:rFonts w:ascii="Arial Narrow" w:hAnsi="Arial Narrow" w:cs="Times New Roman"/>
                <w:iCs/>
                <w:color w:val="000000"/>
                <w:sz w:val="20"/>
                <w:szCs w:val="20"/>
                <w:lang w:eastAsia="zh-CN"/>
              </w:rPr>
              <w:t>0.</w:t>
            </w:r>
            <w:r w:rsidRPr="005C7B8C">
              <w:rPr>
                <w:rFonts w:ascii="Arial Narrow" w:hAnsi="Arial Narrow" w:cs="Times New Roman"/>
                <w:iCs/>
                <w:color w:val="000000"/>
                <w:sz w:val="20"/>
                <w:szCs w:val="20"/>
                <w:lang w:eastAsia="zh-CN"/>
              </w:rPr>
              <w:t>62%: Bezlotoxumab 14.8%, SOC 23.9%</w:t>
            </w:r>
          </w:p>
          <w:p w:rsidR="00276EAF" w:rsidRPr="005C7B8C" w:rsidRDefault="00276EAF" w:rsidP="005C7B8C">
            <w:pPr>
              <w:keepNext/>
              <w:keepLines/>
              <w:widowControl w:val="0"/>
              <w:ind w:left="254"/>
              <w:jc w:val="left"/>
              <w:rPr>
                <w:rFonts w:ascii="Arial Narrow" w:hAnsi="Arial Narrow" w:cs="Times New Roman"/>
                <w:iCs/>
                <w:color w:val="000000"/>
                <w:sz w:val="20"/>
                <w:szCs w:val="20"/>
                <w:lang w:eastAsia="zh-CN"/>
              </w:rPr>
            </w:pPr>
            <w:r w:rsidRPr="005C7B8C">
              <w:rPr>
                <w:rFonts w:ascii="Arial Narrow" w:hAnsi="Arial Narrow" w:cs="Times New Roman"/>
                <w:iCs/>
                <w:color w:val="000000"/>
                <w:sz w:val="20"/>
                <w:szCs w:val="20"/>
                <w:lang w:eastAsia="zh-CN"/>
              </w:rPr>
              <w:t>AND</w:t>
            </w:r>
          </w:p>
          <w:p w:rsidR="00276EAF" w:rsidRPr="005C7B8C" w:rsidRDefault="00276EAF" w:rsidP="005C7B8C">
            <w:pPr>
              <w:keepNext/>
              <w:keepLines/>
              <w:widowControl w:val="0"/>
              <w:numPr>
                <w:ilvl w:val="0"/>
                <w:numId w:val="10"/>
              </w:numPr>
              <w:ind w:left="254" w:hanging="142"/>
              <w:jc w:val="left"/>
              <w:rPr>
                <w:rFonts w:ascii="Arial Narrow" w:hAnsi="Arial Narrow" w:cs="Times New Roman"/>
                <w:iCs/>
                <w:color w:val="000000"/>
                <w:sz w:val="20"/>
                <w:szCs w:val="20"/>
                <w:lang w:eastAsia="zh-CN"/>
              </w:rPr>
            </w:pPr>
            <w:r w:rsidRPr="005C7B8C">
              <w:rPr>
                <w:rFonts w:ascii="Arial Narrow" w:hAnsi="Arial Narrow" w:cs="Times New Roman"/>
                <w:iCs/>
                <w:color w:val="000000"/>
                <w:sz w:val="20"/>
                <w:szCs w:val="20"/>
                <w:lang w:eastAsia="zh-CN"/>
              </w:rPr>
              <w:t>Assuming 12.9% of recurrences severe</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rsidR="00276EAF" w:rsidRPr="005C7B8C" w:rsidRDefault="00276EAF" w:rsidP="005C7B8C">
            <w:pPr>
              <w:keepNext/>
              <w:keepLines/>
              <w:jc w:val="center"/>
              <w:rPr>
                <w:rFonts w:ascii="Arial Narrow" w:hAnsi="Arial Narrow" w:cs="Times New Roman"/>
                <w:iCs/>
                <w:color w:val="000000"/>
                <w:sz w:val="20"/>
                <w:szCs w:val="20"/>
                <w:lang w:eastAsia="zh-CN"/>
              </w:rPr>
            </w:pPr>
            <w:r w:rsidRPr="005C7B8C">
              <w:rPr>
                <w:rFonts w:ascii="Arial Narrow" w:hAnsi="Arial Narrow"/>
                <w:iCs/>
                <w:color w:val="000000"/>
                <w:sz w:val="20"/>
                <w:szCs w:val="20"/>
              </w:rPr>
              <w:t> $</w:t>
            </w:r>
            <w:r w:rsidR="006F551D">
              <w:rPr>
                <w:rFonts w:ascii="Arial Narrow" w:hAnsi="Arial Narrow"/>
                <w:iCs/>
                <w:noProof/>
                <w:color w:val="000000"/>
                <w:sz w:val="20"/>
                <w:szCs w:val="20"/>
                <w:highlight w:val="black"/>
              </w:rPr>
              <w: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rsidR="00276EAF" w:rsidRPr="005C7B8C" w:rsidRDefault="00276EAF" w:rsidP="005C7B8C">
            <w:pPr>
              <w:keepNext/>
              <w:keepLines/>
              <w:jc w:val="center"/>
              <w:rPr>
                <w:rFonts w:ascii="Arial Narrow" w:hAnsi="Arial Narrow" w:cs="Times New Roman"/>
                <w:iCs/>
                <w:color w:val="000000"/>
                <w:sz w:val="20"/>
                <w:szCs w:val="20"/>
                <w:lang w:eastAsia="zh-CN"/>
              </w:rPr>
            </w:pPr>
            <w:r w:rsidRPr="005C7B8C">
              <w:rPr>
                <w:rFonts w:ascii="Arial Narrow" w:hAnsi="Arial Narrow"/>
                <w:iCs/>
                <w:color w:val="000000"/>
                <w:sz w:val="20"/>
                <w:szCs w:val="20"/>
              </w:rPr>
              <w:t>0.0064 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rsidR="00276EAF" w:rsidRPr="005C7B8C" w:rsidRDefault="00276EAF" w:rsidP="005C7B8C">
            <w:pPr>
              <w:keepNext/>
              <w:keepLines/>
              <w:jc w:val="center"/>
              <w:rPr>
                <w:rFonts w:ascii="Arial Narrow" w:hAnsi="Arial Narrow" w:cs="Times New Roman"/>
                <w:iCs/>
                <w:color w:val="000000"/>
                <w:sz w:val="20"/>
                <w:szCs w:val="20"/>
                <w:lang w:eastAsia="zh-CN"/>
              </w:rPr>
            </w:pPr>
            <w:r w:rsidRPr="005C7B8C">
              <w:rPr>
                <w:rFonts w:ascii="Arial Narrow" w:hAnsi="Arial Narrow"/>
                <w:iCs/>
                <w:color w:val="000000"/>
                <w:sz w:val="20"/>
                <w:szCs w:val="20"/>
              </w:rPr>
              <w:t> $</w:t>
            </w:r>
            <w:r w:rsidR="006F551D">
              <w:rPr>
                <w:rFonts w:ascii="Arial Narrow" w:hAnsi="Arial Narrow"/>
                <w:iCs/>
                <w:noProof/>
                <w:color w:val="000000"/>
                <w:sz w:val="20"/>
                <w:szCs w:val="20"/>
                <w:highlight w:val="black"/>
              </w:rPr>
              <w:t>'''''''''''''''''''''</w:t>
            </w:r>
          </w:p>
        </w:tc>
      </w:tr>
    </w:tbl>
    <w:p w:rsidR="00D94865" w:rsidRPr="00416632" w:rsidRDefault="00D94865" w:rsidP="005C7B8C">
      <w:pPr>
        <w:keepNext/>
        <w:keepLines/>
        <w:widowControl w:val="0"/>
        <w:rPr>
          <w:rFonts w:ascii="Arial Narrow" w:hAnsi="Arial Narrow"/>
          <w:snapToGrid w:val="0"/>
          <w:sz w:val="18"/>
          <w:szCs w:val="22"/>
          <w:lang w:eastAsia="en-US"/>
        </w:rPr>
      </w:pPr>
      <w:r w:rsidRPr="00416632">
        <w:rPr>
          <w:rFonts w:ascii="Arial Narrow" w:hAnsi="Arial Narrow"/>
          <w:snapToGrid w:val="0"/>
          <w:sz w:val="18"/>
          <w:szCs w:val="22"/>
          <w:lang w:eastAsia="en-US"/>
        </w:rPr>
        <w:t>Abbreviations: CDI=Clostridium difficile infection; SoC=standard of care (placebo); HR=hazard ratio; RR=relative risk.</w:t>
      </w:r>
    </w:p>
    <w:p w:rsidR="00D94865" w:rsidRDefault="00492FB6" w:rsidP="005C7B8C">
      <w:pPr>
        <w:keepNext/>
        <w:keepLines/>
        <w:widowControl w:val="0"/>
        <w:rPr>
          <w:rFonts w:ascii="Arial Narrow" w:hAnsi="Arial Narrow"/>
          <w:snapToGrid w:val="0"/>
          <w:sz w:val="18"/>
          <w:szCs w:val="22"/>
          <w:lang w:eastAsia="en-US"/>
        </w:rPr>
      </w:pPr>
      <w:r w:rsidRPr="00492FB6">
        <w:rPr>
          <w:rFonts w:ascii="Arial Narrow" w:hAnsi="Arial Narrow"/>
          <w:snapToGrid w:val="0"/>
          <w:sz w:val="18"/>
          <w:szCs w:val="22"/>
          <w:lang w:eastAsia="en-US"/>
        </w:rPr>
        <w:t xml:space="preserve">* Indicates </w:t>
      </w:r>
      <w:r w:rsidR="00D94865" w:rsidRPr="00492FB6">
        <w:rPr>
          <w:rFonts w:ascii="Arial Narrow" w:hAnsi="Arial Narrow"/>
          <w:snapToGrid w:val="0"/>
          <w:sz w:val="18"/>
          <w:szCs w:val="22"/>
          <w:lang w:eastAsia="en-US"/>
        </w:rPr>
        <w:t xml:space="preserve">analyses conducted during the evaluation </w:t>
      </w:r>
    </w:p>
    <w:p w:rsidR="00C703EC" w:rsidRPr="005C7B8C" w:rsidRDefault="005C7B8C" w:rsidP="005C7B8C">
      <w:pPr>
        <w:keepNext/>
        <w:keepLines/>
        <w:widowControl w:val="0"/>
        <w:rPr>
          <w:rFonts w:ascii="Arial Narrow" w:hAnsi="Arial Narrow"/>
          <w:snapToGrid w:val="0"/>
          <w:sz w:val="18"/>
          <w:szCs w:val="22"/>
          <w:lang w:eastAsia="en-US"/>
        </w:rPr>
      </w:pPr>
      <w:r w:rsidRPr="005C7B8C">
        <w:rPr>
          <w:rFonts w:ascii="Arial Narrow" w:hAnsi="Arial Narrow"/>
          <w:snapToGrid w:val="0"/>
          <w:sz w:val="18"/>
          <w:szCs w:val="22"/>
          <w:lang w:eastAsia="en-US"/>
        </w:rPr>
        <w:t>** I</w:t>
      </w:r>
      <w:r w:rsidR="00C703EC" w:rsidRPr="005C7B8C">
        <w:rPr>
          <w:rFonts w:ascii="Arial Narrow" w:hAnsi="Arial Narrow"/>
          <w:snapToGrid w:val="0"/>
          <w:sz w:val="18"/>
          <w:szCs w:val="22"/>
          <w:lang w:eastAsia="en-US"/>
        </w:rPr>
        <w:t>ndicates analyses conducted during the preparation of the ESC Advice</w:t>
      </w:r>
    </w:p>
    <w:p w:rsidR="00D94865" w:rsidRPr="00416632" w:rsidRDefault="00D94865" w:rsidP="005C7B8C">
      <w:pPr>
        <w:keepNext/>
        <w:keepLines/>
        <w:widowControl w:val="0"/>
        <w:rPr>
          <w:rFonts w:ascii="Arial Narrow" w:hAnsi="Arial Narrow"/>
          <w:snapToGrid w:val="0"/>
          <w:sz w:val="18"/>
          <w:szCs w:val="22"/>
          <w:lang w:eastAsia="en-US"/>
        </w:rPr>
      </w:pPr>
      <w:r>
        <w:rPr>
          <w:rFonts w:ascii="Arial Narrow" w:hAnsi="Arial Narrow"/>
          <w:snapToGrid w:val="0"/>
          <w:sz w:val="18"/>
          <w:szCs w:val="22"/>
          <w:lang w:eastAsia="en-US"/>
        </w:rPr>
        <w:t>Source: Table 3-38, pp169-170</w:t>
      </w:r>
      <w:r w:rsidRPr="00416632">
        <w:rPr>
          <w:rFonts w:ascii="Arial Narrow" w:hAnsi="Arial Narrow"/>
          <w:snapToGrid w:val="0"/>
          <w:sz w:val="18"/>
          <w:szCs w:val="22"/>
          <w:lang w:eastAsia="en-US"/>
        </w:rPr>
        <w:t xml:space="preserve"> and </w:t>
      </w:r>
      <w:r w:rsidRPr="00416632">
        <w:rPr>
          <w:rFonts w:ascii="Arial Narrow" w:hAnsi="Arial Narrow"/>
          <w:snapToGrid w:val="0"/>
          <w:sz w:val="18"/>
          <w:szCs w:val="18"/>
          <w:lang w:eastAsia="en-US"/>
        </w:rPr>
        <w:t>Bezlotoxumab Sec</w:t>
      </w:r>
      <w:r>
        <w:rPr>
          <w:rFonts w:ascii="Arial Narrow" w:hAnsi="Arial Narrow"/>
          <w:snapToGrid w:val="0"/>
          <w:sz w:val="18"/>
          <w:szCs w:val="18"/>
          <w:lang w:eastAsia="en-US"/>
        </w:rPr>
        <w:t>tion</w:t>
      </w:r>
      <w:r w:rsidRPr="00416632">
        <w:rPr>
          <w:rFonts w:ascii="Arial Narrow" w:hAnsi="Arial Narrow"/>
          <w:snapToGrid w:val="0"/>
          <w:sz w:val="18"/>
          <w:szCs w:val="18"/>
          <w:lang w:eastAsia="en-US"/>
        </w:rPr>
        <w:t xml:space="preserve"> 3 Workbook of the resubmission</w:t>
      </w:r>
    </w:p>
    <w:p w:rsidR="00D94865" w:rsidRDefault="00D94865" w:rsidP="00D94865">
      <w:pPr>
        <w:widowControl w:val="0"/>
        <w:rPr>
          <w:i/>
          <w:iCs/>
          <w:snapToGrid w:val="0"/>
          <w:szCs w:val="22"/>
          <w:lang w:eastAsia="en-US"/>
        </w:rPr>
      </w:pPr>
    </w:p>
    <w:p w:rsidR="00ED4DC9" w:rsidRPr="00A873A2" w:rsidRDefault="003C3CAE" w:rsidP="000E20D9">
      <w:pPr>
        <w:pStyle w:val="3-BodyText"/>
        <w:rPr>
          <w:snapToGrid/>
          <w:lang w:val="en-US"/>
        </w:rPr>
      </w:pPr>
      <w:r w:rsidRPr="00A873A2">
        <w:rPr>
          <w:iCs/>
        </w:rPr>
        <w:t>The PSCR (p2) noted</w:t>
      </w:r>
      <w:r w:rsidR="00AC12B1" w:rsidRPr="00A873A2">
        <w:rPr>
          <w:iCs/>
        </w:rPr>
        <w:t xml:space="preserve"> the evaluation argument</w:t>
      </w:r>
      <w:r w:rsidR="00ED4DC9" w:rsidRPr="00A873A2">
        <w:rPr>
          <w:snapToGrid/>
          <w:lang w:val="en-US"/>
        </w:rPr>
        <w:t xml:space="preserve"> that the proportion of recur</w:t>
      </w:r>
      <w:r w:rsidR="00AC12B1" w:rsidRPr="00A873A2">
        <w:rPr>
          <w:snapToGrid/>
          <w:lang w:val="en-US"/>
        </w:rPr>
        <w:t xml:space="preserve">rences that may be severe </w:t>
      </w:r>
      <w:r w:rsidRPr="00A873A2">
        <w:rPr>
          <w:snapToGrid/>
          <w:lang w:val="en-US"/>
        </w:rPr>
        <w:t xml:space="preserve">proposed in the resubmission </w:t>
      </w:r>
      <w:r w:rsidR="00AC12B1" w:rsidRPr="00A873A2">
        <w:rPr>
          <w:snapToGrid/>
          <w:lang w:val="en-US"/>
        </w:rPr>
        <w:t>(15.7%) may be overestimated as the statistic does not take account of all CDI recurrences where patients can have more than one CDI recurrence</w:t>
      </w:r>
      <w:r w:rsidRPr="00A873A2">
        <w:rPr>
          <w:snapToGrid/>
          <w:lang w:val="en-US"/>
        </w:rPr>
        <w:t>. The PSCR (p2) acknowledged</w:t>
      </w:r>
      <w:r w:rsidR="00600634" w:rsidRPr="00A873A2">
        <w:rPr>
          <w:snapToGrid/>
          <w:lang w:val="en-US"/>
        </w:rPr>
        <w:t xml:space="preserve"> that</w:t>
      </w:r>
      <w:r w:rsidRPr="00A873A2">
        <w:rPr>
          <w:snapToGrid/>
          <w:lang w:val="en-US"/>
        </w:rPr>
        <w:t xml:space="preserve"> </w:t>
      </w:r>
      <w:r w:rsidR="00891C5C" w:rsidRPr="00A873A2">
        <w:rPr>
          <w:snapToGrid/>
          <w:lang w:val="en-US"/>
        </w:rPr>
        <w:t xml:space="preserve">the </w:t>
      </w:r>
      <w:r w:rsidRPr="00A873A2">
        <w:rPr>
          <w:snapToGrid/>
          <w:lang w:val="en-US"/>
        </w:rPr>
        <w:t xml:space="preserve">proportion of </w:t>
      </w:r>
      <w:r w:rsidR="00AC12B1" w:rsidRPr="00A873A2">
        <w:rPr>
          <w:snapToGrid/>
          <w:lang w:val="en-US"/>
        </w:rPr>
        <w:t>recurre</w:t>
      </w:r>
      <w:r w:rsidR="00600634" w:rsidRPr="00A873A2">
        <w:rPr>
          <w:snapToGrid/>
          <w:lang w:val="en-US"/>
        </w:rPr>
        <w:t xml:space="preserve">nces </w:t>
      </w:r>
      <w:r w:rsidR="00891C5C" w:rsidRPr="00A873A2">
        <w:rPr>
          <w:snapToGrid/>
          <w:lang w:val="en-US"/>
        </w:rPr>
        <w:t xml:space="preserve">that </w:t>
      </w:r>
      <w:r w:rsidR="00AC12B1" w:rsidRPr="00A873A2">
        <w:rPr>
          <w:snapToGrid/>
          <w:lang w:val="en-US"/>
        </w:rPr>
        <w:t xml:space="preserve">may be severe </w:t>
      </w:r>
      <w:r w:rsidR="00891C5C" w:rsidRPr="00A873A2">
        <w:rPr>
          <w:snapToGrid/>
          <w:lang w:val="en-US"/>
        </w:rPr>
        <w:t>reduced</w:t>
      </w:r>
      <w:r w:rsidRPr="00A873A2">
        <w:rPr>
          <w:snapToGrid/>
          <w:lang w:val="en-US"/>
        </w:rPr>
        <w:t xml:space="preserve"> to 12.9% </w:t>
      </w:r>
      <w:r w:rsidR="00E51A85" w:rsidRPr="00A873A2">
        <w:rPr>
          <w:snapToGrid/>
          <w:lang w:val="en-US"/>
        </w:rPr>
        <w:t>when the issue raised by the evaluation was</w:t>
      </w:r>
      <w:r w:rsidR="00891C5C" w:rsidRPr="00A873A2">
        <w:rPr>
          <w:snapToGrid/>
          <w:lang w:val="en-US"/>
        </w:rPr>
        <w:t xml:space="preserve"> taken into consideration. The ESC </w:t>
      </w:r>
      <w:r w:rsidR="00600634" w:rsidRPr="00A873A2">
        <w:rPr>
          <w:snapToGrid/>
          <w:lang w:val="en-US"/>
        </w:rPr>
        <w:t>noted that this</w:t>
      </w:r>
      <w:r w:rsidR="00ED4DC9" w:rsidRPr="00A873A2">
        <w:rPr>
          <w:snapToGrid/>
          <w:lang w:val="en-US"/>
        </w:rPr>
        <w:t xml:space="preserve"> increase</w:t>
      </w:r>
      <w:r w:rsidR="00600634" w:rsidRPr="00A873A2">
        <w:rPr>
          <w:snapToGrid/>
          <w:lang w:val="en-US"/>
        </w:rPr>
        <w:t>d the</w:t>
      </w:r>
      <w:r w:rsidR="00ED4DC9" w:rsidRPr="00A873A2">
        <w:rPr>
          <w:snapToGrid/>
          <w:lang w:val="en-US"/>
        </w:rPr>
        <w:t xml:space="preserve"> ICER from </w:t>
      </w:r>
      <w:r w:rsidR="00104B8E" w:rsidRPr="00B1026A">
        <w:rPr>
          <w:rFonts w:cstheme="minorHAnsi"/>
        </w:rPr>
        <w:t>$15,000 to &lt;</w:t>
      </w:r>
      <w:r w:rsidR="00840009">
        <w:rPr>
          <w:rFonts w:cstheme="minorHAnsi"/>
        </w:rPr>
        <w:t> </w:t>
      </w:r>
      <w:r w:rsidR="00104B8E" w:rsidRPr="00B1026A">
        <w:rPr>
          <w:rFonts w:cstheme="minorHAnsi"/>
        </w:rPr>
        <w:t>$25,000</w:t>
      </w:r>
      <w:r w:rsidR="00ED4DC9" w:rsidRPr="00A873A2">
        <w:rPr>
          <w:snapToGrid/>
          <w:lang w:val="en-US"/>
        </w:rPr>
        <w:t xml:space="preserve"> to </w:t>
      </w:r>
      <w:r w:rsidR="00104B8E">
        <w:rPr>
          <w:rFonts w:cstheme="minorHAnsi"/>
        </w:rPr>
        <w:t>$25</w:t>
      </w:r>
      <w:r w:rsidR="00104B8E" w:rsidRPr="00B1026A">
        <w:rPr>
          <w:rFonts w:cstheme="minorHAnsi"/>
        </w:rPr>
        <w:t>,000 to</w:t>
      </w:r>
      <w:r w:rsidR="00104B8E">
        <w:rPr>
          <w:rFonts w:cstheme="minorHAnsi"/>
        </w:rPr>
        <w:t xml:space="preserve"> &lt;</w:t>
      </w:r>
      <w:r w:rsidR="00840009">
        <w:rPr>
          <w:rFonts w:cstheme="minorHAnsi"/>
        </w:rPr>
        <w:t> </w:t>
      </w:r>
      <w:r w:rsidR="00104B8E">
        <w:rPr>
          <w:rFonts w:cstheme="minorHAnsi"/>
        </w:rPr>
        <w:t>$3</w:t>
      </w:r>
      <w:r w:rsidR="00104B8E" w:rsidRPr="00B1026A">
        <w:rPr>
          <w:rFonts w:cstheme="minorHAnsi"/>
        </w:rPr>
        <w:t>5,000</w:t>
      </w:r>
      <w:r w:rsidR="00104B8E" w:rsidRPr="00A873A2">
        <w:rPr>
          <w:snapToGrid/>
          <w:lang w:val="en-US"/>
        </w:rPr>
        <w:t xml:space="preserve"> </w:t>
      </w:r>
      <w:r w:rsidR="00891C5C" w:rsidRPr="00A873A2">
        <w:rPr>
          <w:snapToGrid/>
          <w:lang w:val="en-US"/>
        </w:rPr>
        <w:t>(Table 12)</w:t>
      </w:r>
      <w:r w:rsidR="00ED4DC9" w:rsidRPr="00A873A2">
        <w:rPr>
          <w:snapToGrid/>
          <w:lang w:val="en-US"/>
        </w:rPr>
        <w:t xml:space="preserve">.  </w:t>
      </w:r>
    </w:p>
    <w:p w:rsidR="00CE5D87" w:rsidRPr="00400965" w:rsidRDefault="00891C5C" w:rsidP="00CE5D87">
      <w:pPr>
        <w:pStyle w:val="3-BodyText"/>
        <w:rPr>
          <w:rFonts w:cs="Calibri"/>
        </w:rPr>
      </w:pPr>
      <w:r w:rsidRPr="00CE5D87">
        <w:rPr>
          <w:rFonts w:cs="Calibri"/>
        </w:rPr>
        <w:lastRenderedPageBreak/>
        <w:t>The ESC</w:t>
      </w:r>
      <w:r w:rsidR="008F7169" w:rsidRPr="00CE5D87">
        <w:rPr>
          <w:rFonts w:cs="Calibri"/>
        </w:rPr>
        <w:t xml:space="preserve"> considered it </w:t>
      </w:r>
      <w:r w:rsidRPr="00CE5D87">
        <w:rPr>
          <w:rFonts w:cs="Calibri"/>
        </w:rPr>
        <w:t xml:space="preserve">is not clear </w:t>
      </w:r>
      <w:r w:rsidR="00A10A72" w:rsidRPr="00CE5D87">
        <w:rPr>
          <w:rFonts w:cs="Calibri"/>
        </w:rPr>
        <w:t xml:space="preserve">if </w:t>
      </w:r>
      <w:r w:rsidRPr="00CE5D87">
        <w:rPr>
          <w:rFonts w:cs="Calibri"/>
        </w:rPr>
        <w:t>there are differences in the relative treatment effect across sub-groups of patie</w:t>
      </w:r>
      <w:r w:rsidR="008F7169" w:rsidRPr="00CE5D87">
        <w:rPr>
          <w:rFonts w:cs="Calibri"/>
        </w:rPr>
        <w:t>nts with different risk factors</w:t>
      </w:r>
      <w:r w:rsidR="00F21081" w:rsidRPr="00CE5D87">
        <w:rPr>
          <w:rFonts w:cs="Calibri"/>
        </w:rPr>
        <w:t>, and noted that sensitivity analyses varying this parameter were not included in the submission or Commentary</w:t>
      </w:r>
      <w:r w:rsidR="008F7169" w:rsidRPr="00CE5D87">
        <w:rPr>
          <w:rFonts w:cs="Calibri"/>
        </w:rPr>
        <w:t>.</w:t>
      </w:r>
      <w:r w:rsidR="00D664C5" w:rsidRPr="00CE5D87">
        <w:rPr>
          <w:rFonts w:cs="Calibri"/>
        </w:rPr>
        <w:t xml:space="preserve"> These analyses have been added to Table 12, and the ESC</w:t>
      </w:r>
      <w:r w:rsidR="00322A8D" w:rsidRPr="00CE5D87">
        <w:rPr>
          <w:rFonts w:cs="Calibri"/>
        </w:rPr>
        <w:t xml:space="preserve"> noted that the </w:t>
      </w:r>
      <w:r w:rsidRPr="00CE5D87">
        <w:rPr>
          <w:rFonts w:cs="Calibri"/>
        </w:rPr>
        <w:t>ICER is sensitive to this parameter.</w:t>
      </w:r>
      <w:r w:rsidR="00F55CBB" w:rsidRPr="00CE5D87">
        <w:rPr>
          <w:rFonts w:cs="Calibri"/>
        </w:rPr>
        <w:t xml:space="preserve"> </w:t>
      </w:r>
      <w:r w:rsidR="00CE5D87" w:rsidRPr="00CE5D87">
        <w:rPr>
          <w:rFonts w:cs="Calibri"/>
        </w:rPr>
        <w:t xml:space="preserve">The pre-PBAC response </w:t>
      </w:r>
      <w:r w:rsidR="00CE5D87">
        <w:rPr>
          <w:rFonts w:cs="Calibri"/>
        </w:rPr>
        <w:t>acknowledged</w:t>
      </w:r>
      <w:r w:rsidR="00CE5D87" w:rsidRPr="00CE5D87">
        <w:rPr>
          <w:rFonts w:cs="Calibri"/>
        </w:rPr>
        <w:t xml:space="preserve"> the variation in treatment effect estimates across the submissions, noting that both the sponsor and the PBAC have had difficulty identifying the patient population that may benefit most from bezlotoxumab treatment. In adopting the patient population with risk factors of high prognostic value (and those with the history of transplant for which there is limited evidence), t</w:t>
      </w:r>
      <w:r w:rsidR="00CE5D87">
        <w:rPr>
          <w:rFonts w:cs="Calibri"/>
        </w:rPr>
        <w:t>he sponsor considered</w:t>
      </w:r>
      <w:r w:rsidR="00CE5D87" w:rsidRPr="00CE5D87">
        <w:rPr>
          <w:rFonts w:cs="Calibri"/>
        </w:rPr>
        <w:t xml:space="preserve"> that bezlotoxumab will be appropriately targeted. The</w:t>
      </w:r>
      <w:r w:rsidR="00CE5D87">
        <w:rPr>
          <w:rFonts w:cs="Calibri"/>
        </w:rPr>
        <w:t xml:space="preserve"> pre-PBAC response argued that the</w:t>
      </w:r>
      <w:r w:rsidR="00CE5D87" w:rsidRPr="00CE5D87">
        <w:rPr>
          <w:rFonts w:cs="Calibri"/>
        </w:rPr>
        <w:t xml:space="preserve"> relative treatment effect of 0.5 adopted in t</w:t>
      </w:r>
      <w:r w:rsidR="00CE5D87">
        <w:rPr>
          <w:rFonts w:cs="Calibri"/>
        </w:rPr>
        <w:t xml:space="preserve">he economic model is </w:t>
      </w:r>
      <w:r w:rsidR="00CE5D87" w:rsidRPr="00CE5D87">
        <w:rPr>
          <w:rFonts w:cs="Calibri"/>
        </w:rPr>
        <w:t>a reasonable estimate to reflect the expected benefit of bezlotoxumab in the high-risk population request</w:t>
      </w:r>
      <w:r w:rsidR="00010EFB">
        <w:rPr>
          <w:rFonts w:cs="Calibri"/>
        </w:rPr>
        <w:t>ed in the resubmission. The pre-PBAC response noted that</w:t>
      </w:r>
      <w:r w:rsidR="00CE5D87" w:rsidRPr="00010EFB">
        <w:rPr>
          <w:rFonts w:cs="Calibri"/>
        </w:rPr>
        <w:t xml:space="preserve"> bezlotoxumab did not significantly reduce CDI recurrences versus placebo in patients with no risk factors (18.8% vs 20.9%, respectively; diff</w:t>
      </w:r>
      <w:r w:rsidR="00010EFB">
        <w:rPr>
          <w:rFonts w:cs="Calibri"/>
        </w:rPr>
        <w:t>erence -2.1 [95% CI, -11.1, 6.9]</w:t>
      </w:r>
      <w:r w:rsidR="00CE5D87" w:rsidRPr="00010EFB">
        <w:rPr>
          <w:rFonts w:cs="Calibri"/>
        </w:rPr>
        <w:t>).</w:t>
      </w:r>
      <w:r w:rsidR="00010EFB">
        <w:rPr>
          <w:rStyle w:val="FootnoteReference"/>
          <w:rFonts w:cs="Calibri"/>
        </w:rPr>
        <w:footnoteReference w:id="4"/>
      </w:r>
      <w:r w:rsidR="00CE5D87" w:rsidRPr="00010EFB">
        <w:rPr>
          <w:rFonts w:cs="Calibri"/>
        </w:rPr>
        <w:t xml:space="preserve"> </w:t>
      </w:r>
      <w:r w:rsidR="00400965">
        <w:rPr>
          <w:rFonts w:cs="Calibri"/>
        </w:rPr>
        <w:t xml:space="preserve">As such, the pre-PBAC response argued it </w:t>
      </w:r>
      <w:r w:rsidR="00CE5D87" w:rsidRPr="00010EFB">
        <w:rPr>
          <w:rFonts w:cs="Calibri"/>
        </w:rPr>
        <w:t>would be inappropriate to apply the treatment effect from the full trial population to a subgroup of patients who have at least one risk factor for which bezlotoxumab has been shown to significantly reduce CDI recurrences compared with placebo.</w:t>
      </w:r>
    </w:p>
    <w:p w:rsidR="00C25D9C" w:rsidRPr="00DD1999" w:rsidRDefault="00C25D9C" w:rsidP="00BB732D">
      <w:pPr>
        <w:pStyle w:val="4-SubsectionHeading"/>
      </w:pPr>
      <w:bookmarkStart w:id="23" w:name="_Toc22897646"/>
      <w:bookmarkStart w:id="24" w:name="_Toc30493368"/>
      <w:r w:rsidRPr="00DD1999">
        <w:t>Drug cost/patient/course</w:t>
      </w:r>
      <w:bookmarkEnd w:id="23"/>
      <w:bookmarkEnd w:id="24"/>
    </w:p>
    <w:p w:rsidR="00AE6AE0" w:rsidRPr="00AE6AE0" w:rsidRDefault="00C91809" w:rsidP="00006346">
      <w:pPr>
        <w:pStyle w:val="3-BodyText"/>
        <w:rPr>
          <w:rFonts w:ascii="Calibri" w:hAnsi="Calibri"/>
          <w:szCs w:val="22"/>
          <w:lang w:eastAsia="en-US"/>
        </w:rPr>
      </w:pPr>
      <w:r w:rsidRPr="00DD1999">
        <w:rPr>
          <w:snapToGrid/>
          <w:lang w:val="en-US"/>
        </w:rPr>
        <w:t>The cost of bezlotoxumab per vial was $</w:t>
      </w:r>
      <w:r w:rsidR="006F551D">
        <w:rPr>
          <w:noProof/>
          <w:snapToGrid/>
          <w:color w:val="000000"/>
          <w:highlight w:val="black"/>
          <w:lang w:val="en-US"/>
        </w:rPr>
        <w:t>'''''''''''''''</w:t>
      </w:r>
      <w:r w:rsidRPr="00DD1999">
        <w:rPr>
          <w:snapToGrid/>
          <w:lang w:val="en-US"/>
        </w:rPr>
        <w:t xml:space="preserve"> (effective price, private use) and $</w:t>
      </w:r>
      <w:r w:rsidR="006F551D">
        <w:rPr>
          <w:noProof/>
          <w:snapToGrid/>
          <w:color w:val="000000"/>
          <w:highlight w:val="black"/>
          <w:lang w:val="en-US"/>
        </w:rPr>
        <w:t>''''''''''''''''''</w:t>
      </w:r>
      <w:r w:rsidRPr="00DD1999">
        <w:rPr>
          <w:snapToGrid/>
          <w:lang w:val="en-US"/>
        </w:rPr>
        <w:t xml:space="preserve"> (effective price, public use).  </w:t>
      </w:r>
      <w:r w:rsidR="00D7147D">
        <w:rPr>
          <w:snapToGrid/>
          <w:lang w:val="en-US"/>
        </w:rPr>
        <w:t>For</w:t>
      </w:r>
      <w:r w:rsidR="003A4CFB">
        <w:rPr>
          <w:snapToGrid/>
          <w:lang w:val="en-US"/>
        </w:rPr>
        <w:t xml:space="preserve"> the economic evaluation, </w:t>
      </w:r>
      <w:r w:rsidR="003A4CFB">
        <w:rPr>
          <w:rFonts w:cstheme="minorHAnsi"/>
          <w:lang w:eastAsia="en-US"/>
        </w:rPr>
        <w:t>t</w:t>
      </w:r>
      <w:r w:rsidRPr="00DD1999">
        <w:rPr>
          <w:rFonts w:cstheme="minorHAnsi"/>
          <w:lang w:eastAsia="en-US"/>
        </w:rPr>
        <w:t xml:space="preserve">he average cost </w:t>
      </w:r>
      <w:r w:rsidR="003A4CFB">
        <w:rPr>
          <w:rFonts w:cstheme="minorHAnsi"/>
          <w:lang w:eastAsia="en-US"/>
        </w:rPr>
        <w:t xml:space="preserve">per patient per course was </w:t>
      </w:r>
      <w:r w:rsidRPr="00C91809">
        <w:rPr>
          <w:rFonts w:cstheme="minorHAnsi"/>
          <w:lang w:eastAsia="en-US"/>
        </w:rPr>
        <w:t>$</w:t>
      </w:r>
      <w:r w:rsidR="006F551D">
        <w:rPr>
          <w:rFonts w:cstheme="minorHAnsi"/>
          <w:noProof/>
          <w:color w:val="000000"/>
          <w:highlight w:val="black"/>
          <w:lang w:eastAsia="en-US"/>
        </w:rPr>
        <w:t>''''''''''''''''</w:t>
      </w:r>
      <w:r w:rsidRPr="00C91809">
        <w:rPr>
          <w:rFonts w:cstheme="minorHAnsi"/>
          <w:lang w:eastAsia="en-US"/>
        </w:rPr>
        <w:t xml:space="preserve"> </w:t>
      </w:r>
      <w:r w:rsidR="00D7147D">
        <w:rPr>
          <w:rFonts w:cstheme="minorHAnsi"/>
          <w:lang w:eastAsia="en-US"/>
        </w:rPr>
        <w:t xml:space="preserve">assuming </w:t>
      </w:r>
      <w:r w:rsidR="00F83BD7">
        <w:rPr>
          <w:rFonts w:cstheme="minorHAnsi"/>
          <w:lang w:eastAsia="en-US"/>
        </w:rPr>
        <w:t>4.4% of patients will require 2 v</w:t>
      </w:r>
      <w:r w:rsidR="000056F9">
        <w:rPr>
          <w:rFonts w:cstheme="minorHAnsi"/>
          <w:lang w:eastAsia="en-US"/>
        </w:rPr>
        <w:t>i</w:t>
      </w:r>
      <w:r w:rsidR="00F83BD7">
        <w:rPr>
          <w:rFonts w:cstheme="minorHAnsi"/>
          <w:lang w:eastAsia="en-US"/>
        </w:rPr>
        <w:t xml:space="preserve">als and </w:t>
      </w:r>
      <w:r w:rsidR="00D7147D">
        <w:rPr>
          <w:rFonts w:cstheme="minorHAnsi"/>
          <w:lang w:eastAsia="en-US"/>
        </w:rPr>
        <w:t xml:space="preserve">100% </w:t>
      </w:r>
      <w:r w:rsidR="003A4CFB">
        <w:rPr>
          <w:rFonts w:cstheme="minorHAnsi"/>
          <w:lang w:eastAsia="en-US"/>
        </w:rPr>
        <w:t xml:space="preserve">private hospital </w:t>
      </w:r>
      <w:r w:rsidR="00D7147D">
        <w:rPr>
          <w:rFonts w:cstheme="minorHAnsi"/>
          <w:lang w:eastAsia="en-US"/>
        </w:rPr>
        <w:t>use</w:t>
      </w:r>
      <w:r w:rsidRPr="00C91809">
        <w:rPr>
          <w:rFonts w:cstheme="minorHAnsi"/>
          <w:lang w:eastAsia="en-US"/>
        </w:rPr>
        <w:t xml:space="preserve">.  </w:t>
      </w:r>
      <w:r w:rsidR="00D7147D">
        <w:rPr>
          <w:rFonts w:cstheme="minorHAnsi"/>
          <w:lang w:eastAsia="en-US"/>
        </w:rPr>
        <w:t>For the financial</w:t>
      </w:r>
      <w:r w:rsidR="008E2459">
        <w:rPr>
          <w:rFonts w:cstheme="minorHAnsi"/>
          <w:lang w:eastAsia="en-US"/>
        </w:rPr>
        <w:t xml:space="preserve"> estimates,</w:t>
      </w:r>
      <w:r w:rsidR="00D7147D">
        <w:rPr>
          <w:rFonts w:cstheme="minorHAnsi"/>
          <w:lang w:eastAsia="en-US"/>
        </w:rPr>
        <w:t xml:space="preserve"> the average cost per patient per course was $</w:t>
      </w:r>
      <w:r w:rsidR="006F551D">
        <w:rPr>
          <w:rFonts w:cstheme="minorHAnsi"/>
          <w:noProof/>
          <w:color w:val="000000"/>
          <w:highlight w:val="black"/>
          <w:lang w:eastAsia="en-US"/>
        </w:rPr>
        <w:t xml:space="preserve">'''''''''''''''' </w:t>
      </w:r>
      <w:r w:rsidR="00F83BD7">
        <w:rPr>
          <w:rFonts w:cstheme="minorHAnsi"/>
          <w:lang w:eastAsia="en-US"/>
        </w:rPr>
        <w:t>assuming 4.4% of patients will require 2 vials and 50:50 pr</w:t>
      </w:r>
      <w:r w:rsidR="00AE6AE0">
        <w:rPr>
          <w:rFonts w:cstheme="minorHAnsi"/>
          <w:lang w:eastAsia="en-US"/>
        </w:rPr>
        <w:t>ivate and public hospital use.</w:t>
      </w:r>
    </w:p>
    <w:p w:rsidR="00C91809" w:rsidRPr="00F83BD7" w:rsidRDefault="001764EE" w:rsidP="00006346">
      <w:pPr>
        <w:pStyle w:val="3-BodyText"/>
        <w:rPr>
          <w:rFonts w:ascii="Calibri" w:hAnsi="Calibri"/>
          <w:szCs w:val="22"/>
          <w:lang w:eastAsia="en-US"/>
        </w:rPr>
      </w:pPr>
      <w:r w:rsidRPr="0068204C">
        <w:rPr>
          <w:rFonts w:cstheme="minorHAnsi"/>
          <w:lang w:eastAsia="en-US"/>
        </w:rPr>
        <w:t>Table 1</w:t>
      </w:r>
      <w:r w:rsidR="00C07BDB">
        <w:rPr>
          <w:rFonts w:cstheme="minorHAnsi"/>
          <w:lang w:eastAsia="en-US"/>
        </w:rPr>
        <w:t>3</w:t>
      </w:r>
      <w:r w:rsidR="00C91809" w:rsidRPr="00F83BD7">
        <w:rPr>
          <w:rFonts w:cstheme="minorHAnsi"/>
          <w:lang w:eastAsia="en-US"/>
        </w:rPr>
        <w:t xml:space="preserve"> compares drug costs between the trial,</w:t>
      </w:r>
      <w:r w:rsidR="00AE6AE0">
        <w:rPr>
          <w:rFonts w:cstheme="minorHAnsi"/>
          <w:lang w:eastAsia="en-US"/>
        </w:rPr>
        <w:t xml:space="preserve"> model and financial estimates.</w:t>
      </w:r>
    </w:p>
    <w:p w:rsidR="00092F8E" w:rsidRDefault="00092F8E">
      <w:pPr>
        <w:jc w:val="left"/>
        <w:rPr>
          <w:rFonts w:ascii="Arial Narrow" w:hAnsi="Arial Narrow" w:cs="Times New Roman"/>
          <w:b/>
          <w:sz w:val="20"/>
          <w:szCs w:val="16"/>
          <w:lang w:eastAsia="en-US"/>
        </w:rPr>
      </w:pPr>
      <w:r>
        <w:rPr>
          <w:rFonts w:ascii="Arial Narrow" w:hAnsi="Arial Narrow" w:cs="Times New Roman"/>
          <w:b/>
          <w:sz w:val="20"/>
          <w:szCs w:val="16"/>
          <w:lang w:eastAsia="en-US"/>
        </w:rPr>
        <w:br w:type="page"/>
      </w:r>
    </w:p>
    <w:p w:rsidR="00C91809" w:rsidRPr="00142AA9" w:rsidRDefault="001764EE" w:rsidP="00AE6AE0">
      <w:pPr>
        <w:keepNext/>
        <w:jc w:val="left"/>
        <w:rPr>
          <w:rFonts w:ascii="Arial Narrow" w:hAnsi="Arial Narrow" w:cs="Times New Roman"/>
          <w:b/>
          <w:sz w:val="20"/>
          <w:szCs w:val="16"/>
          <w:lang w:eastAsia="en-US"/>
        </w:rPr>
      </w:pPr>
      <w:r w:rsidRPr="00142AA9">
        <w:rPr>
          <w:rFonts w:ascii="Arial Narrow" w:hAnsi="Arial Narrow" w:cs="Times New Roman"/>
          <w:b/>
          <w:sz w:val="20"/>
          <w:szCs w:val="16"/>
          <w:lang w:eastAsia="en-US"/>
        </w:rPr>
        <w:lastRenderedPageBreak/>
        <w:t>Table 1</w:t>
      </w:r>
      <w:r w:rsidR="00C07BDB" w:rsidRPr="00142AA9">
        <w:rPr>
          <w:rFonts w:ascii="Arial Narrow" w:hAnsi="Arial Narrow" w:cs="Times New Roman"/>
          <w:b/>
          <w:sz w:val="20"/>
          <w:szCs w:val="16"/>
          <w:lang w:eastAsia="en-US"/>
        </w:rPr>
        <w:t>3</w:t>
      </w:r>
      <w:r w:rsidR="00C91809" w:rsidRPr="00142AA9">
        <w:rPr>
          <w:rFonts w:ascii="Arial Narrow" w:hAnsi="Arial Narrow" w:cs="Times New Roman"/>
          <w:b/>
          <w:sz w:val="20"/>
          <w:szCs w:val="16"/>
          <w:lang w:eastAsia="en-US"/>
        </w:rPr>
        <w:t>: Drug cost per patient for bezlotoxumab (1000mg vial)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12"/>
        <w:gridCol w:w="2269"/>
        <w:gridCol w:w="2269"/>
        <w:gridCol w:w="2267"/>
      </w:tblGrid>
      <w:tr w:rsidR="00C91809" w:rsidRPr="00142AA9" w:rsidTr="00E17CFC">
        <w:trPr>
          <w:jc w:val="center"/>
        </w:trPr>
        <w:tc>
          <w:tcPr>
            <w:tcW w:w="1226" w:type="pct"/>
            <w:shd w:val="clear" w:color="auto" w:fill="auto"/>
            <w:vAlign w:val="center"/>
          </w:tcPr>
          <w:p w:rsidR="00C91809" w:rsidRPr="00142AA9" w:rsidRDefault="00C91809" w:rsidP="00C91809">
            <w:pPr>
              <w:keepNext/>
              <w:jc w:val="left"/>
              <w:rPr>
                <w:rFonts w:ascii="Arial Narrow" w:hAnsi="Arial Narrow"/>
                <w:b/>
                <w:snapToGrid w:val="0"/>
                <w:sz w:val="20"/>
                <w:szCs w:val="22"/>
                <w:lang w:val="en-US" w:eastAsia="en-US"/>
              </w:rPr>
            </w:pPr>
          </w:p>
        </w:tc>
        <w:tc>
          <w:tcPr>
            <w:tcW w:w="1258" w:type="pct"/>
            <w:shd w:val="clear" w:color="auto" w:fill="B8CCE4" w:themeFill="accent1" w:themeFillTint="66"/>
            <w:vAlign w:val="center"/>
          </w:tcPr>
          <w:p w:rsidR="00C91809" w:rsidRPr="00142AA9" w:rsidRDefault="00C91809" w:rsidP="00C91809">
            <w:pPr>
              <w:keepNext/>
              <w:jc w:val="center"/>
              <w:rPr>
                <w:rFonts w:ascii="Arial Narrow" w:hAnsi="Arial Narrow"/>
                <w:b/>
                <w:snapToGrid w:val="0"/>
                <w:sz w:val="20"/>
                <w:szCs w:val="22"/>
                <w:lang w:val="en-US" w:eastAsia="en-US"/>
              </w:rPr>
            </w:pPr>
            <w:r w:rsidRPr="00142AA9">
              <w:rPr>
                <w:rFonts w:ascii="Arial Narrow" w:hAnsi="Arial Narrow"/>
                <w:b/>
                <w:snapToGrid w:val="0"/>
                <w:sz w:val="20"/>
                <w:szCs w:val="22"/>
                <w:lang w:val="en-US" w:eastAsia="en-US"/>
              </w:rPr>
              <w:t>Trials</w:t>
            </w:r>
          </w:p>
        </w:tc>
        <w:tc>
          <w:tcPr>
            <w:tcW w:w="1258" w:type="pct"/>
            <w:shd w:val="clear" w:color="auto" w:fill="auto"/>
            <w:vAlign w:val="center"/>
          </w:tcPr>
          <w:p w:rsidR="00C91809" w:rsidRPr="00142AA9" w:rsidRDefault="00C91809" w:rsidP="00C91809">
            <w:pPr>
              <w:keepNext/>
              <w:jc w:val="center"/>
              <w:rPr>
                <w:rFonts w:ascii="Arial Narrow" w:hAnsi="Arial Narrow"/>
                <w:b/>
                <w:snapToGrid w:val="0"/>
                <w:sz w:val="20"/>
                <w:szCs w:val="22"/>
                <w:lang w:val="en-US" w:eastAsia="en-US"/>
              </w:rPr>
            </w:pPr>
            <w:r w:rsidRPr="00142AA9">
              <w:rPr>
                <w:rFonts w:ascii="Arial Narrow" w:hAnsi="Arial Narrow"/>
                <w:b/>
                <w:snapToGrid w:val="0"/>
                <w:sz w:val="20"/>
                <w:szCs w:val="22"/>
                <w:lang w:val="en-US" w:eastAsia="en-US"/>
              </w:rPr>
              <w:t>Model</w:t>
            </w:r>
          </w:p>
        </w:tc>
        <w:tc>
          <w:tcPr>
            <w:tcW w:w="1257" w:type="pct"/>
            <w:shd w:val="clear" w:color="auto" w:fill="auto"/>
            <w:vAlign w:val="center"/>
          </w:tcPr>
          <w:p w:rsidR="00C91809" w:rsidRPr="00142AA9" w:rsidRDefault="00C91809" w:rsidP="00C91809">
            <w:pPr>
              <w:keepNext/>
              <w:jc w:val="center"/>
              <w:rPr>
                <w:rFonts w:ascii="Arial Narrow" w:hAnsi="Arial Narrow"/>
                <w:b/>
                <w:snapToGrid w:val="0"/>
                <w:sz w:val="20"/>
                <w:szCs w:val="22"/>
                <w:lang w:val="en-US" w:eastAsia="en-US"/>
              </w:rPr>
            </w:pPr>
            <w:r w:rsidRPr="00142AA9">
              <w:rPr>
                <w:rFonts w:ascii="Arial Narrow" w:hAnsi="Arial Narrow"/>
                <w:b/>
                <w:snapToGrid w:val="0"/>
                <w:sz w:val="20"/>
                <w:szCs w:val="22"/>
                <w:lang w:val="en-US" w:eastAsia="en-US"/>
              </w:rPr>
              <w:t>Financial estimates</w:t>
            </w:r>
          </w:p>
        </w:tc>
      </w:tr>
      <w:tr w:rsidR="00C91809" w:rsidRPr="00142AA9" w:rsidTr="00E17CFC">
        <w:trPr>
          <w:jc w:val="center"/>
        </w:trPr>
        <w:tc>
          <w:tcPr>
            <w:tcW w:w="1226" w:type="pct"/>
            <w:shd w:val="clear" w:color="auto" w:fill="auto"/>
            <w:vAlign w:val="center"/>
          </w:tcPr>
          <w:p w:rsidR="00C91809" w:rsidRPr="00142AA9" w:rsidRDefault="00C91809" w:rsidP="00C91809">
            <w:pPr>
              <w:keepNext/>
              <w:jc w:val="left"/>
              <w:rPr>
                <w:rFonts w:ascii="Arial Narrow" w:hAnsi="Arial Narrow"/>
                <w:snapToGrid w:val="0"/>
                <w:sz w:val="20"/>
                <w:szCs w:val="22"/>
                <w:lang w:val="en-US" w:eastAsia="en-US"/>
              </w:rPr>
            </w:pPr>
            <w:r w:rsidRPr="00142AA9">
              <w:rPr>
                <w:rFonts w:ascii="Arial Narrow" w:hAnsi="Arial Narrow"/>
                <w:snapToGrid w:val="0"/>
                <w:sz w:val="20"/>
                <w:szCs w:val="22"/>
                <w:lang w:val="en-US" w:eastAsia="en-US"/>
              </w:rPr>
              <w:t>Mean dose (mg)</w:t>
            </w:r>
          </w:p>
        </w:tc>
        <w:tc>
          <w:tcPr>
            <w:tcW w:w="1258" w:type="pct"/>
            <w:shd w:val="clear" w:color="auto" w:fill="B8CCE4" w:themeFill="accent1" w:themeFillTint="66"/>
            <w:vAlign w:val="center"/>
          </w:tcPr>
          <w:p w:rsidR="00C91809" w:rsidRPr="00142AA9" w:rsidRDefault="00C91809" w:rsidP="00C91809">
            <w:pPr>
              <w:keepNext/>
              <w:jc w:val="center"/>
              <w:rPr>
                <w:rFonts w:ascii="Arial Narrow" w:hAnsi="Arial Narrow"/>
                <w:bCs/>
                <w:snapToGrid w:val="0"/>
                <w:sz w:val="20"/>
                <w:szCs w:val="22"/>
                <w:lang w:val="en-US" w:eastAsia="en-US"/>
              </w:rPr>
            </w:pPr>
            <w:r w:rsidRPr="00142AA9">
              <w:rPr>
                <w:rFonts w:ascii="Arial Narrow" w:hAnsi="Arial Narrow"/>
                <w:bCs/>
                <w:snapToGrid w:val="0"/>
                <w:sz w:val="20"/>
                <w:szCs w:val="22"/>
                <w:lang w:val="en-US" w:eastAsia="en-US"/>
              </w:rPr>
              <w:t>730mg</w:t>
            </w:r>
            <w:r w:rsidRPr="00142AA9">
              <w:rPr>
                <w:rFonts w:ascii="Arial Narrow" w:hAnsi="Arial Narrow"/>
                <w:bCs/>
                <w:snapToGrid w:val="0"/>
                <w:sz w:val="20"/>
                <w:szCs w:val="22"/>
                <w:vertAlign w:val="superscript"/>
                <w:lang w:val="en-US" w:eastAsia="en-US"/>
              </w:rPr>
              <w:t>a</w:t>
            </w:r>
            <w:r w:rsidRPr="00142AA9">
              <w:rPr>
                <w:rFonts w:ascii="Arial Narrow" w:hAnsi="Arial Narrow"/>
                <w:bCs/>
                <w:snapToGrid w:val="0"/>
                <w:sz w:val="20"/>
                <w:szCs w:val="22"/>
                <w:lang w:val="en-US" w:eastAsia="en-US"/>
              </w:rPr>
              <w:t xml:space="preserve"> administered</w:t>
            </w:r>
          </w:p>
        </w:tc>
        <w:tc>
          <w:tcPr>
            <w:tcW w:w="1258" w:type="pct"/>
            <w:shd w:val="clear" w:color="auto" w:fill="auto"/>
            <w:vAlign w:val="center"/>
          </w:tcPr>
          <w:p w:rsidR="00C91809" w:rsidRPr="00142AA9" w:rsidRDefault="00C91809" w:rsidP="00C91809">
            <w:pPr>
              <w:keepNext/>
              <w:jc w:val="center"/>
              <w:rPr>
                <w:rFonts w:ascii="Arial Narrow" w:hAnsi="Arial Narrow"/>
                <w:bCs/>
                <w:snapToGrid w:val="0"/>
                <w:sz w:val="20"/>
                <w:szCs w:val="22"/>
                <w:lang w:val="en-US" w:eastAsia="en-US"/>
              </w:rPr>
            </w:pPr>
            <w:r w:rsidRPr="00142AA9">
              <w:rPr>
                <w:rFonts w:ascii="Arial Narrow" w:hAnsi="Arial Narrow"/>
                <w:bCs/>
                <w:snapToGrid w:val="0"/>
                <w:sz w:val="20"/>
                <w:szCs w:val="22"/>
                <w:lang w:val="en-US" w:eastAsia="en-US"/>
              </w:rPr>
              <w:t>1044mg</w:t>
            </w:r>
            <w:r w:rsidRPr="00142AA9">
              <w:rPr>
                <w:rFonts w:ascii="Arial Narrow" w:hAnsi="Arial Narrow"/>
                <w:bCs/>
                <w:snapToGrid w:val="0"/>
                <w:sz w:val="20"/>
                <w:szCs w:val="22"/>
                <w:vertAlign w:val="superscript"/>
                <w:lang w:val="en-US" w:eastAsia="en-US"/>
              </w:rPr>
              <w:t>b</w:t>
            </w:r>
            <w:r w:rsidRPr="00142AA9">
              <w:rPr>
                <w:rFonts w:ascii="Arial Narrow" w:hAnsi="Arial Narrow"/>
                <w:bCs/>
                <w:snapToGrid w:val="0"/>
                <w:sz w:val="20"/>
                <w:szCs w:val="22"/>
                <w:lang w:val="en-US" w:eastAsia="en-US"/>
              </w:rPr>
              <w:t xml:space="preserve"> costed</w:t>
            </w:r>
          </w:p>
        </w:tc>
        <w:tc>
          <w:tcPr>
            <w:tcW w:w="1257" w:type="pct"/>
            <w:shd w:val="clear" w:color="auto" w:fill="auto"/>
            <w:vAlign w:val="center"/>
          </w:tcPr>
          <w:p w:rsidR="00C91809" w:rsidRPr="00142AA9" w:rsidRDefault="00C91809" w:rsidP="00C91809">
            <w:pPr>
              <w:keepNext/>
              <w:jc w:val="center"/>
              <w:rPr>
                <w:rFonts w:ascii="Arial Narrow" w:hAnsi="Arial Narrow"/>
                <w:b/>
                <w:snapToGrid w:val="0"/>
                <w:sz w:val="20"/>
                <w:szCs w:val="22"/>
                <w:lang w:val="en-US" w:eastAsia="en-US"/>
              </w:rPr>
            </w:pPr>
            <w:r w:rsidRPr="00142AA9">
              <w:rPr>
                <w:rFonts w:ascii="Arial Narrow" w:hAnsi="Arial Narrow"/>
                <w:bCs/>
                <w:snapToGrid w:val="0"/>
                <w:sz w:val="20"/>
                <w:szCs w:val="22"/>
                <w:lang w:val="en-US" w:eastAsia="en-US"/>
              </w:rPr>
              <w:t>1044mg</w:t>
            </w:r>
            <w:r w:rsidRPr="00142AA9">
              <w:rPr>
                <w:rFonts w:ascii="Arial Narrow" w:hAnsi="Arial Narrow"/>
                <w:bCs/>
                <w:snapToGrid w:val="0"/>
                <w:sz w:val="20"/>
                <w:szCs w:val="22"/>
                <w:vertAlign w:val="superscript"/>
                <w:lang w:val="en-US" w:eastAsia="en-US"/>
              </w:rPr>
              <w:t>b</w:t>
            </w:r>
            <w:r w:rsidRPr="00142AA9">
              <w:rPr>
                <w:rFonts w:ascii="Arial Narrow" w:hAnsi="Arial Narrow"/>
                <w:bCs/>
                <w:snapToGrid w:val="0"/>
                <w:sz w:val="20"/>
                <w:szCs w:val="22"/>
                <w:lang w:val="en-US" w:eastAsia="en-US"/>
              </w:rPr>
              <w:t xml:space="preserve"> costed</w:t>
            </w:r>
          </w:p>
        </w:tc>
      </w:tr>
      <w:tr w:rsidR="00C91809" w:rsidRPr="00142AA9" w:rsidTr="00E17CFC">
        <w:trPr>
          <w:jc w:val="center"/>
        </w:trPr>
        <w:tc>
          <w:tcPr>
            <w:tcW w:w="1226" w:type="pct"/>
            <w:shd w:val="clear" w:color="auto" w:fill="auto"/>
            <w:vAlign w:val="center"/>
          </w:tcPr>
          <w:p w:rsidR="00C91809" w:rsidRPr="00142AA9" w:rsidRDefault="00C91809" w:rsidP="00C91809">
            <w:pPr>
              <w:keepNext/>
              <w:jc w:val="left"/>
              <w:rPr>
                <w:rFonts w:ascii="Arial Narrow" w:hAnsi="Arial Narrow"/>
                <w:snapToGrid w:val="0"/>
                <w:sz w:val="20"/>
                <w:szCs w:val="22"/>
                <w:lang w:val="en-US" w:eastAsia="en-US"/>
              </w:rPr>
            </w:pPr>
            <w:r w:rsidRPr="00142AA9">
              <w:rPr>
                <w:rFonts w:ascii="Arial Narrow" w:hAnsi="Arial Narrow"/>
                <w:snapToGrid w:val="0"/>
                <w:sz w:val="20"/>
                <w:szCs w:val="22"/>
                <w:lang w:val="en-US" w:eastAsia="en-US"/>
              </w:rPr>
              <w:t>Mean duration</w:t>
            </w:r>
          </w:p>
        </w:tc>
        <w:tc>
          <w:tcPr>
            <w:tcW w:w="1258" w:type="pct"/>
            <w:shd w:val="clear" w:color="auto" w:fill="B8CCE4" w:themeFill="accent1" w:themeFillTint="66"/>
            <w:vAlign w:val="center"/>
          </w:tcPr>
          <w:p w:rsidR="00C91809" w:rsidRPr="00142AA9" w:rsidRDefault="00C91809" w:rsidP="00C91809">
            <w:pPr>
              <w:keepNext/>
              <w:jc w:val="center"/>
              <w:rPr>
                <w:rFonts w:ascii="Arial Narrow" w:hAnsi="Arial Narrow"/>
                <w:bCs/>
                <w:snapToGrid w:val="0"/>
                <w:sz w:val="20"/>
                <w:szCs w:val="22"/>
                <w:lang w:val="en-US" w:eastAsia="en-US"/>
              </w:rPr>
            </w:pPr>
            <w:r w:rsidRPr="00142AA9">
              <w:rPr>
                <w:rFonts w:ascii="Arial Narrow" w:hAnsi="Arial Narrow"/>
                <w:bCs/>
                <w:snapToGrid w:val="0"/>
                <w:sz w:val="20"/>
                <w:szCs w:val="22"/>
                <w:lang w:val="en-US" w:eastAsia="en-US"/>
              </w:rPr>
              <w:t>Single dose</w:t>
            </w:r>
          </w:p>
        </w:tc>
        <w:tc>
          <w:tcPr>
            <w:tcW w:w="1258" w:type="pct"/>
            <w:shd w:val="clear" w:color="auto" w:fill="auto"/>
            <w:vAlign w:val="center"/>
          </w:tcPr>
          <w:p w:rsidR="00C91809" w:rsidRPr="00142AA9" w:rsidRDefault="00C91809" w:rsidP="00C91809">
            <w:pPr>
              <w:keepNext/>
              <w:jc w:val="center"/>
              <w:rPr>
                <w:rFonts w:ascii="Arial Narrow" w:hAnsi="Arial Narrow"/>
                <w:bCs/>
                <w:snapToGrid w:val="0"/>
                <w:sz w:val="20"/>
                <w:szCs w:val="22"/>
                <w:highlight w:val="green"/>
                <w:lang w:val="en-US" w:eastAsia="en-US"/>
              </w:rPr>
            </w:pPr>
            <w:r w:rsidRPr="00142AA9">
              <w:rPr>
                <w:rFonts w:ascii="Arial Narrow" w:hAnsi="Arial Narrow"/>
                <w:bCs/>
                <w:snapToGrid w:val="0"/>
                <w:sz w:val="20"/>
                <w:szCs w:val="22"/>
                <w:lang w:val="en-US" w:eastAsia="en-US"/>
              </w:rPr>
              <w:t>Single dose</w:t>
            </w:r>
          </w:p>
        </w:tc>
        <w:tc>
          <w:tcPr>
            <w:tcW w:w="1257" w:type="pct"/>
            <w:shd w:val="clear" w:color="auto" w:fill="auto"/>
            <w:vAlign w:val="center"/>
          </w:tcPr>
          <w:p w:rsidR="00C91809" w:rsidRPr="00142AA9" w:rsidRDefault="00C91809" w:rsidP="00C91809">
            <w:pPr>
              <w:keepNext/>
              <w:jc w:val="center"/>
              <w:rPr>
                <w:rFonts w:ascii="Arial Narrow" w:hAnsi="Arial Narrow"/>
                <w:b/>
                <w:snapToGrid w:val="0"/>
                <w:sz w:val="20"/>
                <w:szCs w:val="22"/>
                <w:highlight w:val="green"/>
                <w:lang w:val="en-US" w:eastAsia="en-US"/>
              </w:rPr>
            </w:pPr>
            <w:r w:rsidRPr="00142AA9">
              <w:rPr>
                <w:rFonts w:ascii="Arial Narrow" w:hAnsi="Arial Narrow"/>
                <w:bCs/>
                <w:snapToGrid w:val="0"/>
                <w:sz w:val="20"/>
                <w:szCs w:val="22"/>
                <w:lang w:val="en-US" w:eastAsia="en-US"/>
              </w:rPr>
              <w:t>Single dose</w:t>
            </w:r>
          </w:p>
        </w:tc>
      </w:tr>
      <w:tr w:rsidR="00C91809" w:rsidRPr="00142AA9" w:rsidTr="00E17CFC">
        <w:trPr>
          <w:jc w:val="center"/>
        </w:trPr>
        <w:tc>
          <w:tcPr>
            <w:tcW w:w="1226" w:type="pct"/>
            <w:shd w:val="clear" w:color="auto" w:fill="auto"/>
            <w:vAlign w:val="center"/>
          </w:tcPr>
          <w:p w:rsidR="00C91809" w:rsidRPr="00142AA9" w:rsidRDefault="00C91809" w:rsidP="00C91809">
            <w:pPr>
              <w:keepNext/>
              <w:jc w:val="left"/>
              <w:rPr>
                <w:rFonts w:ascii="Arial Narrow" w:hAnsi="Arial Narrow"/>
                <w:snapToGrid w:val="0"/>
                <w:sz w:val="20"/>
                <w:szCs w:val="22"/>
                <w:lang w:val="en-US" w:eastAsia="en-US"/>
              </w:rPr>
            </w:pPr>
            <w:r w:rsidRPr="00142AA9">
              <w:rPr>
                <w:rFonts w:ascii="Arial Narrow" w:hAnsi="Arial Narrow"/>
                <w:snapToGrid w:val="0"/>
                <w:sz w:val="20"/>
                <w:szCs w:val="22"/>
                <w:lang w:val="en-US" w:eastAsia="en-US"/>
              </w:rPr>
              <w:t>Cost/patient</w:t>
            </w:r>
          </w:p>
        </w:tc>
        <w:tc>
          <w:tcPr>
            <w:tcW w:w="1258" w:type="pct"/>
            <w:shd w:val="clear" w:color="auto" w:fill="B8CCE4" w:themeFill="accent1" w:themeFillTint="66"/>
            <w:vAlign w:val="center"/>
          </w:tcPr>
          <w:p w:rsidR="00C91809" w:rsidRPr="00142AA9" w:rsidRDefault="00C91809" w:rsidP="00C91809">
            <w:pPr>
              <w:keepNext/>
              <w:jc w:val="center"/>
              <w:rPr>
                <w:rFonts w:ascii="Arial Narrow" w:hAnsi="Arial Narrow"/>
                <w:snapToGrid w:val="0"/>
                <w:sz w:val="20"/>
                <w:szCs w:val="22"/>
                <w:lang w:val="en-US" w:eastAsia="en-US"/>
              </w:rPr>
            </w:pPr>
            <w:r w:rsidRPr="00142AA9">
              <w:rPr>
                <w:rFonts w:ascii="Arial Narrow" w:hAnsi="Arial Narrow"/>
                <w:snapToGrid w:val="0"/>
                <w:sz w:val="20"/>
                <w:szCs w:val="22"/>
                <w:lang w:val="en-US" w:eastAsia="en-US"/>
              </w:rPr>
              <w:t>-</w:t>
            </w:r>
          </w:p>
        </w:tc>
        <w:tc>
          <w:tcPr>
            <w:tcW w:w="1258" w:type="pct"/>
            <w:shd w:val="clear" w:color="auto" w:fill="auto"/>
            <w:vAlign w:val="center"/>
          </w:tcPr>
          <w:p w:rsidR="00C91809" w:rsidRPr="00142AA9" w:rsidRDefault="00C91809" w:rsidP="00C91809">
            <w:pPr>
              <w:keepNext/>
              <w:jc w:val="center"/>
              <w:rPr>
                <w:rFonts w:ascii="Arial Narrow" w:hAnsi="Arial Narrow"/>
                <w:snapToGrid w:val="0"/>
                <w:sz w:val="20"/>
                <w:szCs w:val="22"/>
                <w:lang w:val="en-US" w:eastAsia="en-US"/>
              </w:rPr>
            </w:pPr>
            <w:r w:rsidRPr="00142AA9">
              <w:rPr>
                <w:rFonts w:ascii="Arial Narrow" w:hAnsi="Arial Narrow"/>
                <w:snapToGrid w:val="0"/>
                <w:sz w:val="20"/>
                <w:szCs w:val="22"/>
                <w:lang w:val="en-US" w:eastAsia="en-US"/>
              </w:rPr>
              <w:t>$</w:t>
            </w:r>
            <w:r w:rsidR="006F551D">
              <w:rPr>
                <w:rFonts w:ascii="Arial Narrow" w:hAnsi="Arial Narrow"/>
                <w:noProof/>
                <w:snapToGrid w:val="0"/>
                <w:color w:val="000000"/>
                <w:sz w:val="20"/>
                <w:szCs w:val="22"/>
                <w:highlight w:val="black"/>
                <w:lang w:val="en-US" w:eastAsia="en-US"/>
              </w:rPr>
              <w:t>''''''''''''''''''''''</w:t>
            </w:r>
            <w:r w:rsidRPr="00142AA9">
              <w:rPr>
                <w:rFonts w:ascii="Arial Narrow" w:hAnsi="Arial Narrow"/>
                <w:snapToGrid w:val="0"/>
                <w:sz w:val="20"/>
                <w:szCs w:val="22"/>
                <w:lang w:val="en-US" w:eastAsia="en-US"/>
              </w:rPr>
              <w:t>#</w:t>
            </w:r>
          </w:p>
        </w:tc>
        <w:tc>
          <w:tcPr>
            <w:tcW w:w="1257" w:type="pct"/>
            <w:shd w:val="clear" w:color="auto" w:fill="auto"/>
            <w:vAlign w:val="center"/>
          </w:tcPr>
          <w:p w:rsidR="00C91809" w:rsidRPr="00142AA9" w:rsidRDefault="00C91809" w:rsidP="00C91809">
            <w:pPr>
              <w:keepNext/>
              <w:jc w:val="center"/>
              <w:rPr>
                <w:rFonts w:ascii="Arial Narrow" w:hAnsi="Arial Narrow"/>
                <w:iCs/>
                <w:snapToGrid w:val="0"/>
                <w:sz w:val="20"/>
                <w:szCs w:val="22"/>
                <w:lang w:val="en-US" w:eastAsia="en-US"/>
              </w:rPr>
            </w:pPr>
            <w:r w:rsidRPr="00142AA9">
              <w:rPr>
                <w:rFonts w:ascii="Arial Narrow" w:hAnsi="Arial Narrow"/>
                <w:iCs/>
                <w:snapToGrid w:val="0"/>
                <w:sz w:val="20"/>
                <w:szCs w:val="22"/>
                <w:lang w:val="en-US" w:eastAsia="en-US"/>
              </w:rPr>
              <w:t>$</w:t>
            </w:r>
            <w:r w:rsidR="006F551D">
              <w:rPr>
                <w:rFonts w:ascii="Arial Narrow" w:hAnsi="Arial Narrow"/>
                <w:iCs/>
                <w:noProof/>
                <w:snapToGrid w:val="0"/>
                <w:color w:val="000000"/>
                <w:sz w:val="20"/>
                <w:szCs w:val="22"/>
                <w:highlight w:val="black"/>
                <w:lang w:val="en-US" w:eastAsia="en-US"/>
              </w:rPr>
              <w:t>'''''''''''''''''''''</w:t>
            </w:r>
            <w:r w:rsidR="008E2459" w:rsidRPr="00142AA9">
              <w:rPr>
                <w:rFonts w:ascii="Arial Narrow" w:hAnsi="Arial Narrow"/>
                <w:iCs/>
                <w:snapToGrid w:val="0"/>
                <w:sz w:val="20"/>
                <w:szCs w:val="22"/>
                <w:lang w:val="en-US" w:eastAsia="en-US"/>
              </w:rPr>
              <w:t>^</w:t>
            </w:r>
          </w:p>
        </w:tc>
      </w:tr>
      <w:tr w:rsidR="00C91809" w:rsidRPr="00142AA9" w:rsidTr="00E17CFC">
        <w:trPr>
          <w:jc w:val="center"/>
        </w:trPr>
        <w:tc>
          <w:tcPr>
            <w:tcW w:w="1226" w:type="pct"/>
            <w:shd w:val="clear" w:color="auto" w:fill="auto"/>
            <w:vAlign w:val="center"/>
          </w:tcPr>
          <w:p w:rsidR="00C91809" w:rsidRPr="00142AA9" w:rsidRDefault="00C91809" w:rsidP="00C91809">
            <w:pPr>
              <w:keepNext/>
              <w:jc w:val="left"/>
              <w:rPr>
                <w:rFonts w:ascii="Arial Narrow" w:hAnsi="Arial Narrow"/>
                <w:snapToGrid w:val="0"/>
                <w:sz w:val="20"/>
                <w:szCs w:val="22"/>
                <w:lang w:val="en-US" w:eastAsia="en-US"/>
              </w:rPr>
            </w:pPr>
            <w:r w:rsidRPr="00142AA9">
              <w:rPr>
                <w:rFonts w:ascii="Arial Narrow" w:hAnsi="Arial Narrow"/>
                <w:snapToGrid w:val="0"/>
                <w:sz w:val="20"/>
                <w:szCs w:val="22"/>
                <w:lang w:val="en-US" w:eastAsia="en-US"/>
              </w:rPr>
              <w:t>Cost/patient/course</w:t>
            </w:r>
          </w:p>
        </w:tc>
        <w:tc>
          <w:tcPr>
            <w:tcW w:w="1258" w:type="pct"/>
            <w:shd w:val="clear" w:color="auto" w:fill="B8CCE4" w:themeFill="accent1" w:themeFillTint="66"/>
            <w:vAlign w:val="center"/>
          </w:tcPr>
          <w:p w:rsidR="00C91809" w:rsidRPr="00142AA9" w:rsidRDefault="00C91809" w:rsidP="00C91809">
            <w:pPr>
              <w:keepNext/>
              <w:jc w:val="center"/>
              <w:rPr>
                <w:rFonts w:ascii="Arial Narrow" w:hAnsi="Arial Narrow"/>
                <w:snapToGrid w:val="0"/>
                <w:sz w:val="20"/>
                <w:szCs w:val="22"/>
                <w:lang w:val="en-US" w:eastAsia="en-US"/>
              </w:rPr>
            </w:pPr>
            <w:r w:rsidRPr="00142AA9">
              <w:rPr>
                <w:rFonts w:ascii="Arial Narrow" w:hAnsi="Arial Narrow"/>
                <w:snapToGrid w:val="0"/>
                <w:sz w:val="20"/>
                <w:szCs w:val="22"/>
                <w:lang w:val="en-US" w:eastAsia="en-US"/>
              </w:rPr>
              <w:t>-</w:t>
            </w:r>
          </w:p>
        </w:tc>
        <w:tc>
          <w:tcPr>
            <w:tcW w:w="1258" w:type="pct"/>
            <w:shd w:val="clear" w:color="auto" w:fill="auto"/>
            <w:vAlign w:val="center"/>
          </w:tcPr>
          <w:p w:rsidR="00C91809" w:rsidRPr="00142AA9" w:rsidRDefault="00C91809" w:rsidP="00C91809">
            <w:pPr>
              <w:keepNext/>
              <w:jc w:val="center"/>
              <w:rPr>
                <w:rFonts w:ascii="Arial Narrow" w:hAnsi="Arial Narrow"/>
                <w:snapToGrid w:val="0"/>
                <w:sz w:val="20"/>
                <w:szCs w:val="22"/>
                <w:lang w:val="en-US" w:eastAsia="en-US"/>
              </w:rPr>
            </w:pPr>
            <w:r w:rsidRPr="00142AA9">
              <w:rPr>
                <w:rFonts w:ascii="Arial Narrow" w:hAnsi="Arial Narrow"/>
                <w:snapToGrid w:val="0"/>
                <w:sz w:val="20"/>
                <w:szCs w:val="22"/>
                <w:lang w:val="en-US" w:eastAsia="en-US"/>
              </w:rPr>
              <w:t>$</w:t>
            </w:r>
            <w:r w:rsidR="006F551D">
              <w:rPr>
                <w:rFonts w:ascii="Arial Narrow" w:hAnsi="Arial Narrow"/>
                <w:noProof/>
                <w:snapToGrid w:val="0"/>
                <w:color w:val="000000"/>
                <w:sz w:val="20"/>
                <w:szCs w:val="22"/>
                <w:highlight w:val="black"/>
                <w:lang w:val="en-US" w:eastAsia="en-US"/>
              </w:rPr>
              <w:t>'''''''''''''''''''''''</w:t>
            </w:r>
            <w:r w:rsidRPr="00142AA9">
              <w:rPr>
                <w:rFonts w:ascii="Arial Narrow" w:hAnsi="Arial Narrow"/>
                <w:snapToGrid w:val="0"/>
                <w:sz w:val="20"/>
                <w:szCs w:val="22"/>
                <w:lang w:val="en-US" w:eastAsia="en-US"/>
              </w:rPr>
              <w:t>#</w:t>
            </w:r>
          </w:p>
        </w:tc>
        <w:tc>
          <w:tcPr>
            <w:tcW w:w="1257" w:type="pct"/>
            <w:shd w:val="clear" w:color="auto" w:fill="auto"/>
            <w:vAlign w:val="center"/>
          </w:tcPr>
          <w:p w:rsidR="00C91809" w:rsidRPr="00142AA9" w:rsidRDefault="00C91809" w:rsidP="00C91809">
            <w:pPr>
              <w:keepNext/>
              <w:jc w:val="center"/>
              <w:rPr>
                <w:rFonts w:ascii="Arial Narrow" w:hAnsi="Arial Narrow"/>
                <w:iCs/>
                <w:snapToGrid w:val="0"/>
                <w:sz w:val="20"/>
                <w:szCs w:val="22"/>
                <w:lang w:val="en-US" w:eastAsia="en-US"/>
              </w:rPr>
            </w:pPr>
            <w:r w:rsidRPr="00142AA9">
              <w:rPr>
                <w:rFonts w:ascii="Arial Narrow" w:hAnsi="Arial Narrow"/>
                <w:iCs/>
                <w:snapToGrid w:val="0"/>
                <w:sz w:val="20"/>
                <w:szCs w:val="22"/>
                <w:lang w:val="en-US" w:eastAsia="en-US"/>
              </w:rPr>
              <w:t>$</w:t>
            </w:r>
            <w:r w:rsidR="006F551D">
              <w:rPr>
                <w:rFonts w:ascii="Arial Narrow" w:hAnsi="Arial Narrow"/>
                <w:iCs/>
                <w:noProof/>
                <w:snapToGrid w:val="0"/>
                <w:color w:val="000000"/>
                <w:sz w:val="20"/>
                <w:szCs w:val="22"/>
                <w:highlight w:val="black"/>
                <w:lang w:val="en-US" w:eastAsia="en-US"/>
              </w:rPr>
              <w:t>'''''''''''''''''''''''</w:t>
            </w:r>
            <w:r w:rsidR="008E2459" w:rsidRPr="00142AA9">
              <w:rPr>
                <w:rFonts w:ascii="Arial Narrow" w:hAnsi="Arial Narrow"/>
                <w:iCs/>
                <w:snapToGrid w:val="0"/>
                <w:sz w:val="20"/>
                <w:szCs w:val="22"/>
                <w:lang w:val="en-US" w:eastAsia="en-US"/>
              </w:rPr>
              <w:t>^</w:t>
            </w:r>
            <w:r w:rsidRPr="00142AA9">
              <w:rPr>
                <w:rFonts w:ascii="Arial Narrow" w:hAnsi="Arial Narrow"/>
                <w:iCs/>
                <w:snapToGrid w:val="0"/>
                <w:sz w:val="20"/>
                <w:szCs w:val="22"/>
                <w:lang w:val="en-US" w:eastAsia="en-US"/>
              </w:rPr>
              <w:t>*</w:t>
            </w:r>
          </w:p>
        </w:tc>
      </w:tr>
    </w:tbl>
    <w:p w:rsidR="00C91809" w:rsidRPr="00142AA9" w:rsidRDefault="00C91809" w:rsidP="00C91809">
      <w:pPr>
        <w:widowControl w:val="0"/>
        <w:tabs>
          <w:tab w:val="left" w:pos="142"/>
        </w:tabs>
        <w:rPr>
          <w:rFonts w:ascii="Arial Narrow" w:hAnsi="Arial Narrow"/>
          <w:snapToGrid w:val="0"/>
          <w:sz w:val="18"/>
          <w:szCs w:val="22"/>
          <w:lang w:eastAsia="en-US"/>
        </w:rPr>
      </w:pPr>
      <w:r w:rsidRPr="00142AA9">
        <w:rPr>
          <w:rFonts w:ascii="Arial Narrow" w:hAnsi="Arial Narrow"/>
          <w:snapToGrid w:val="0"/>
          <w:sz w:val="18"/>
          <w:szCs w:val="22"/>
          <w:lang w:eastAsia="en-US"/>
        </w:rPr>
        <w:t xml:space="preserve"># </w:t>
      </w:r>
      <w:r w:rsidR="000C500F" w:rsidRPr="00142AA9">
        <w:rPr>
          <w:rFonts w:ascii="Arial Narrow" w:hAnsi="Arial Narrow"/>
          <w:snapToGrid w:val="0"/>
          <w:sz w:val="18"/>
          <w:szCs w:val="22"/>
          <w:lang w:eastAsia="en-US"/>
        </w:rPr>
        <w:t>Private</w:t>
      </w:r>
      <w:r w:rsidRPr="00142AA9">
        <w:rPr>
          <w:rFonts w:ascii="Arial Narrow" w:hAnsi="Arial Narrow"/>
          <w:snapToGrid w:val="0"/>
          <w:sz w:val="18"/>
          <w:szCs w:val="22"/>
          <w:lang w:eastAsia="en-US"/>
        </w:rPr>
        <w:t xml:space="preserve"> use</w:t>
      </w:r>
    </w:p>
    <w:p w:rsidR="00C91809" w:rsidRPr="00142AA9" w:rsidRDefault="000C500F" w:rsidP="00C91809">
      <w:pPr>
        <w:widowControl w:val="0"/>
        <w:tabs>
          <w:tab w:val="left" w:pos="142"/>
        </w:tabs>
        <w:rPr>
          <w:rFonts w:ascii="Arial Narrow" w:hAnsi="Arial Narrow"/>
          <w:snapToGrid w:val="0"/>
          <w:sz w:val="18"/>
          <w:szCs w:val="22"/>
          <w:lang w:eastAsia="en-US"/>
        </w:rPr>
      </w:pPr>
      <w:r w:rsidRPr="00142AA9">
        <w:rPr>
          <w:rFonts w:ascii="Arial Narrow" w:hAnsi="Arial Narrow"/>
          <w:snapToGrid w:val="0"/>
          <w:sz w:val="18"/>
          <w:szCs w:val="22"/>
          <w:lang w:eastAsia="en-US"/>
        </w:rPr>
        <w:t>^ A</w:t>
      </w:r>
      <w:r w:rsidR="00C91809" w:rsidRPr="00142AA9">
        <w:rPr>
          <w:rFonts w:ascii="Arial Narrow" w:hAnsi="Arial Narrow"/>
          <w:snapToGrid w:val="0"/>
          <w:sz w:val="18"/>
          <w:szCs w:val="22"/>
          <w:lang w:eastAsia="en-US"/>
        </w:rPr>
        <w:t>ssumed 50% public use and 50% private use</w:t>
      </w:r>
    </w:p>
    <w:p w:rsidR="00C91809" w:rsidRPr="00142AA9" w:rsidRDefault="00C91809" w:rsidP="00C91809">
      <w:pPr>
        <w:widowControl w:val="0"/>
        <w:shd w:val="clear" w:color="auto" w:fill="B8CCE4" w:themeFill="accent1" w:themeFillTint="66"/>
        <w:tabs>
          <w:tab w:val="left" w:pos="142"/>
        </w:tabs>
        <w:rPr>
          <w:rFonts w:ascii="Arial Narrow" w:hAnsi="Arial Narrow"/>
          <w:snapToGrid w:val="0"/>
          <w:sz w:val="18"/>
          <w:szCs w:val="22"/>
          <w:lang w:eastAsia="en-US"/>
        </w:rPr>
      </w:pPr>
      <w:r w:rsidRPr="00142AA9">
        <w:rPr>
          <w:rFonts w:ascii="Arial Narrow" w:hAnsi="Arial Narrow"/>
          <w:snapToGrid w:val="0"/>
          <w:sz w:val="18"/>
          <w:szCs w:val="22"/>
          <w:lang w:eastAsia="en-US"/>
        </w:rPr>
        <w:t xml:space="preserve">* </w:t>
      </w:r>
      <w:r w:rsidRPr="00142AA9">
        <w:rPr>
          <w:rFonts w:ascii="Arial Narrow" w:hAnsi="Arial Narrow"/>
          <w:iCs/>
          <w:snapToGrid w:val="0"/>
          <w:sz w:val="18"/>
          <w:szCs w:val="18"/>
          <w:lang w:eastAsia="en-US"/>
        </w:rPr>
        <w:t>Although</w:t>
      </w:r>
      <w:r w:rsidRPr="00142AA9">
        <w:rPr>
          <w:rFonts w:ascii="Arial Narrow" w:hAnsi="Arial Narrow"/>
          <w:iCs/>
          <w:snapToGrid w:val="0"/>
          <w:sz w:val="18"/>
          <w:szCs w:val="22"/>
          <w:lang w:eastAsia="en-US"/>
        </w:rPr>
        <w:t xml:space="preserve"> the resubmission stated the financial estimates assumed repeat dosing of bezlotoxumab in recurrent episodes (either treated or untreated) from the prior year, however the estimates presented in Section 4 spreadsheet indicated that it did not account for repeat dosing with bezlotoxumab for CDI recurrence beyond 90 days of the index episode.</w:t>
      </w:r>
    </w:p>
    <w:p w:rsidR="00C91809" w:rsidRPr="00142AA9" w:rsidRDefault="00C91809" w:rsidP="00C91809">
      <w:pPr>
        <w:widowControl w:val="0"/>
        <w:shd w:val="clear" w:color="auto" w:fill="B8CCE4" w:themeFill="accent1" w:themeFillTint="66"/>
        <w:tabs>
          <w:tab w:val="left" w:pos="142"/>
        </w:tabs>
        <w:rPr>
          <w:rFonts w:ascii="Arial Narrow" w:hAnsi="Arial Narrow"/>
          <w:iCs/>
          <w:snapToGrid w:val="0"/>
          <w:sz w:val="18"/>
          <w:szCs w:val="22"/>
          <w:lang w:eastAsia="en-US"/>
        </w:rPr>
      </w:pPr>
      <w:r w:rsidRPr="00142AA9">
        <w:rPr>
          <w:rFonts w:ascii="Arial Narrow" w:hAnsi="Arial Narrow"/>
          <w:snapToGrid w:val="0"/>
          <w:sz w:val="18"/>
          <w:szCs w:val="22"/>
          <w:vertAlign w:val="superscript"/>
          <w:lang w:eastAsia="en-US"/>
        </w:rPr>
        <w:t>a</w:t>
      </w:r>
      <w:r w:rsidRPr="00142AA9">
        <w:rPr>
          <w:rFonts w:ascii="Arial Narrow" w:hAnsi="Arial Narrow"/>
          <w:snapToGrid w:val="0"/>
          <w:sz w:val="18"/>
          <w:szCs w:val="22"/>
          <w:lang w:eastAsia="en-US"/>
        </w:rPr>
        <w:t xml:space="preserve"> </w:t>
      </w:r>
      <w:r w:rsidRPr="00142AA9">
        <w:rPr>
          <w:rFonts w:ascii="Arial Narrow" w:hAnsi="Arial Narrow"/>
          <w:iCs/>
          <w:snapToGrid w:val="0"/>
          <w:sz w:val="18"/>
          <w:szCs w:val="18"/>
          <w:lang w:eastAsia="en-US"/>
        </w:rPr>
        <w:t>Derived</w:t>
      </w:r>
      <w:r w:rsidRPr="00142AA9">
        <w:rPr>
          <w:rFonts w:ascii="Arial Narrow" w:hAnsi="Arial Narrow"/>
          <w:iCs/>
          <w:snapToGrid w:val="0"/>
          <w:sz w:val="18"/>
          <w:szCs w:val="22"/>
          <w:lang w:eastAsia="en-US"/>
        </w:rPr>
        <w:t xml:space="preserve"> from Appendix 2.7.3-rcdi:19, p214 of MSD rCDI Integrated Analysis.</w:t>
      </w:r>
    </w:p>
    <w:p w:rsidR="00C91809" w:rsidRDefault="00C91809" w:rsidP="00C91809">
      <w:pPr>
        <w:widowControl w:val="0"/>
        <w:tabs>
          <w:tab w:val="left" w:pos="142"/>
        </w:tabs>
        <w:rPr>
          <w:rFonts w:ascii="Arial Narrow" w:hAnsi="Arial Narrow"/>
          <w:iCs/>
          <w:snapToGrid w:val="0"/>
          <w:sz w:val="18"/>
          <w:szCs w:val="22"/>
          <w:lang w:eastAsia="en-US"/>
        </w:rPr>
      </w:pPr>
      <w:r w:rsidRPr="00142AA9">
        <w:rPr>
          <w:rFonts w:ascii="Arial Narrow" w:hAnsi="Arial Narrow"/>
          <w:iCs/>
          <w:snapToGrid w:val="0"/>
          <w:sz w:val="18"/>
          <w:szCs w:val="22"/>
          <w:vertAlign w:val="superscript"/>
          <w:lang w:eastAsia="en-US"/>
        </w:rPr>
        <w:t>b</w:t>
      </w:r>
      <w:r w:rsidRPr="00142AA9">
        <w:rPr>
          <w:rFonts w:ascii="Arial Narrow" w:hAnsi="Arial Narrow"/>
          <w:iCs/>
          <w:snapToGrid w:val="0"/>
          <w:sz w:val="18"/>
          <w:szCs w:val="22"/>
          <w:lang w:eastAsia="en-US"/>
        </w:rPr>
        <w:t xml:space="preserve"> 4.4% of patients assumed to weigh &gt; 100 kg and require two vials of bezlotoxumab.</w:t>
      </w:r>
    </w:p>
    <w:p w:rsidR="00E51A85" w:rsidRPr="00142AA9" w:rsidRDefault="00E51A85" w:rsidP="00C91809">
      <w:pPr>
        <w:widowControl w:val="0"/>
        <w:tabs>
          <w:tab w:val="left" w:pos="142"/>
        </w:tabs>
        <w:rPr>
          <w:rFonts w:ascii="Arial Narrow" w:hAnsi="Arial Narrow"/>
          <w:iCs/>
          <w:snapToGrid w:val="0"/>
          <w:sz w:val="18"/>
          <w:szCs w:val="22"/>
          <w:lang w:eastAsia="en-US"/>
        </w:rPr>
      </w:pPr>
    </w:p>
    <w:p w:rsidR="00494207" w:rsidRPr="00A873A2" w:rsidRDefault="00F968EF" w:rsidP="00E51A85">
      <w:pPr>
        <w:pStyle w:val="3-BodyText"/>
        <w:numPr>
          <w:ilvl w:val="1"/>
          <w:numId w:val="5"/>
        </w:numPr>
      </w:pPr>
      <w:r w:rsidRPr="00A873A2">
        <w:rPr>
          <w:lang w:eastAsia="en-US"/>
        </w:rPr>
        <w:t>The PSCR updated</w:t>
      </w:r>
      <w:r w:rsidR="00B66A99" w:rsidRPr="00A873A2">
        <w:rPr>
          <w:lang w:eastAsia="en-US"/>
        </w:rPr>
        <w:t xml:space="preserve"> the </w:t>
      </w:r>
      <w:r w:rsidRPr="00A873A2">
        <w:rPr>
          <w:lang w:eastAsia="en-US"/>
        </w:rPr>
        <w:t>public</w:t>
      </w:r>
      <w:r w:rsidR="00B66A99" w:rsidRPr="00A873A2">
        <w:rPr>
          <w:lang w:eastAsia="en-US"/>
        </w:rPr>
        <w:t>/private hospital split for</w:t>
      </w:r>
      <w:r w:rsidRPr="00A873A2">
        <w:rPr>
          <w:lang w:eastAsia="en-US"/>
        </w:rPr>
        <w:t xml:space="preserve"> both the economic and financial estimates </w:t>
      </w:r>
      <w:r w:rsidR="00E51A85" w:rsidRPr="00A873A2">
        <w:rPr>
          <w:lang w:eastAsia="en-US"/>
        </w:rPr>
        <w:t>to 68</w:t>
      </w:r>
      <w:r w:rsidR="00B66A99" w:rsidRPr="00A873A2">
        <w:rPr>
          <w:lang w:eastAsia="en-US"/>
        </w:rPr>
        <w:t xml:space="preserve">% public use and </w:t>
      </w:r>
      <w:r w:rsidR="00E51A85" w:rsidRPr="00A873A2">
        <w:rPr>
          <w:lang w:eastAsia="en-US"/>
        </w:rPr>
        <w:t>32</w:t>
      </w:r>
      <w:r w:rsidR="00B66A99" w:rsidRPr="00A873A2">
        <w:rPr>
          <w:lang w:eastAsia="en-US"/>
        </w:rPr>
        <w:t>% private use</w:t>
      </w:r>
      <w:r w:rsidR="00E51A85" w:rsidRPr="00A873A2">
        <w:rPr>
          <w:lang w:eastAsia="en-US"/>
        </w:rPr>
        <w:t xml:space="preserve"> based on AIHW data</w:t>
      </w:r>
      <w:r w:rsidR="00194B54" w:rsidRPr="00194B54">
        <w:rPr>
          <w:lang w:eastAsia="en-US"/>
        </w:rPr>
        <w:t xml:space="preserve"> </w:t>
      </w:r>
      <w:r w:rsidR="00194B54" w:rsidRPr="00A873A2">
        <w:rPr>
          <w:lang w:eastAsia="en-US"/>
        </w:rPr>
        <w:t>of total hospital days across public and private hospitals</w:t>
      </w:r>
      <w:r w:rsidR="00B66A99" w:rsidRPr="00A873A2">
        <w:rPr>
          <w:lang w:eastAsia="en-US"/>
        </w:rPr>
        <w:t>.</w:t>
      </w:r>
      <w:r w:rsidR="00F13772" w:rsidRPr="00A873A2">
        <w:rPr>
          <w:lang w:eastAsia="en-US"/>
        </w:rPr>
        <w:t xml:space="preserve"> </w:t>
      </w:r>
      <w:r w:rsidR="00C023FC">
        <w:rPr>
          <w:lang w:eastAsia="en-US"/>
        </w:rPr>
        <w:t>T</w:t>
      </w:r>
      <w:r w:rsidR="00F13772" w:rsidRPr="00A873A2">
        <w:rPr>
          <w:lang w:eastAsia="en-US"/>
        </w:rPr>
        <w:t xml:space="preserve">he revised cost/patient/course was </w:t>
      </w:r>
      <w:r w:rsidR="00E12738" w:rsidRPr="00A873A2">
        <w:rPr>
          <w:lang w:eastAsia="en-US"/>
        </w:rPr>
        <w:t>$</w:t>
      </w:r>
      <w:r w:rsidR="006F551D">
        <w:rPr>
          <w:noProof/>
          <w:color w:val="000000"/>
          <w:highlight w:val="black"/>
          <w:lang w:eastAsia="en-US"/>
        </w:rPr>
        <w:t>''''''''''''''''</w:t>
      </w:r>
      <w:r w:rsidR="00E12738" w:rsidRPr="00A873A2">
        <w:rPr>
          <w:lang w:eastAsia="en-US"/>
        </w:rPr>
        <w:t xml:space="preserve"> for both the model and financial estimates. </w:t>
      </w:r>
      <w:r w:rsidR="00B66A99" w:rsidRPr="00A873A2">
        <w:rPr>
          <w:lang w:eastAsia="en-US"/>
        </w:rPr>
        <w:t xml:space="preserve"> </w:t>
      </w:r>
    </w:p>
    <w:p w:rsidR="00B60939" w:rsidRPr="00DD1999" w:rsidRDefault="00B60939" w:rsidP="002B05A1">
      <w:pPr>
        <w:pStyle w:val="4-SubsectionHeading"/>
      </w:pPr>
      <w:bookmarkStart w:id="25" w:name="_Toc22897647"/>
      <w:bookmarkStart w:id="26" w:name="_Toc30493369"/>
      <w:r w:rsidRPr="00DD1999">
        <w:t>Estimated PBS usage &amp; financial implications</w:t>
      </w:r>
      <w:bookmarkEnd w:id="25"/>
      <w:bookmarkEnd w:id="26"/>
    </w:p>
    <w:p w:rsidR="00A57376" w:rsidRPr="00B77468" w:rsidRDefault="00A57376" w:rsidP="00006346">
      <w:pPr>
        <w:pStyle w:val="3-BodyText"/>
        <w:numPr>
          <w:ilvl w:val="1"/>
          <w:numId w:val="5"/>
        </w:numPr>
      </w:pPr>
      <w:bookmarkStart w:id="27" w:name="_Toc22897648"/>
      <w:r>
        <w:t xml:space="preserve">DUSC considered the first submission in November 2017; this resubmission </w:t>
      </w:r>
      <w:r w:rsidR="00292FD9">
        <w:t xml:space="preserve">was </w:t>
      </w:r>
      <w:r>
        <w:t>not considered</w:t>
      </w:r>
      <w:r w:rsidR="000C03C4">
        <w:t xml:space="preserve"> by DUSC</w:t>
      </w:r>
      <w:r>
        <w:t xml:space="preserve">.  </w:t>
      </w:r>
      <w:r w:rsidRPr="002477AF">
        <w:t>Th</w:t>
      </w:r>
      <w:r>
        <w:t>e</w:t>
      </w:r>
      <w:r w:rsidRPr="002477AF">
        <w:t xml:space="preserve"> resubmission presented </w:t>
      </w:r>
      <w:r>
        <w:t xml:space="preserve">revised financial implications based on a new </w:t>
      </w:r>
      <w:r w:rsidRPr="002477AF">
        <w:t xml:space="preserve">epidemiological approach </w:t>
      </w:r>
      <w:r>
        <w:t>to estimate</w:t>
      </w:r>
      <w:r w:rsidRPr="002477AF">
        <w:t xml:space="preserve"> the eligible population </w:t>
      </w:r>
      <w:r>
        <w:t>using</w:t>
      </w:r>
      <w:r w:rsidRPr="002477AF">
        <w:t xml:space="preserve"> hospital admission data</w:t>
      </w:r>
      <w:r>
        <w:t xml:space="preserve">, updated CDI recurrence rates in line with the economic evaluation and updated drug costs for </w:t>
      </w:r>
      <w:r w:rsidRPr="00B77468">
        <w:t>treatment.</w:t>
      </w:r>
    </w:p>
    <w:p w:rsidR="00A57376" w:rsidRPr="00142AA9" w:rsidRDefault="00A57376" w:rsidP="00006346">
      <w:pPr>
        <w:pStyle w:val="3-BodyText"/>
      </w:pPr>
      <w:r w:rsidRPr="00142AA9">
        <w:rPr>
          <w:iCs/>
        </w:rPr>
        <w:t>The PBAC had previously considered that the financial estimates were highly uncertain and likely an underestimate for several reasons including the derivation of the eligible population from oral vancomycin scripts on the PBS, which only accounted for approximately 10% of CDI related diarrho</w:t>
      </w:r>
      <w:r w:rsidR="00F5680A" w:rsidRPr="00142AA9">
        <w:rPr>
          <w:iCs/>
        </w:rPr>
        <w:t>eas (paragraphs 6.47 and 6.48; b</w:t>
      </w:r>
      <w:r w:rsidRPr="00142AA9">
        <w:rPr>
          <w:iCs/>
        </w:rPr>
        <w:t>ezlotoxumab</w:t>
      </w:r>
      <w:r w:rsidR="00F5680A" w:rsidRPr="00142AA9">
        <w:rPr>
          <w:iCs/>
        </w:rPr>
        <w:t>, Public Summary Document, July 2018 PBAC meeting</w:t>
      </w:r>
      <w:r w:rsidRPr="00142AA9">
        <w:rPr>
          <w:iCs/>
        </w:rPr>
        <w:t>).</w:t>
      </w:r>
    </w:p>
    <w:p w:rsidR="00A57376" w:rsidRPr="00142AA9" w:rsidRDefault="00A57376" w:rsidP="00006346">
      <w:pPr>
        <w:pStyle w:val="3-BodyText"/>
      </w:pPr>
      <w:r w:rsidRPr="00142AA9">
        <w:rPr>
          <w:lang w:eastAsia="en-US"/>
        </w:rPr>
        <w:t>The eligible PBS population</w:t>
      </w:r>
      <w:r w:rsidR="006C4552" w:rsidRPr="00142AA9">
        <w:rPr>
          <w:lang w:eastAsia="en-US"/>
        </w:rPr>
        <w:t xml:space="preserve"> estimated in the resubmission</w:t>
      </w:r>
      <w:r w:rsidRPr="00142AA9">
        <w:rPr>
          <w:lang w:eastAsia="en-US"/>
        </w:rPr>
        <w:t xml:space="preserve"> only included patients with </w:t>
      </w:r>
      <w:r w:rsidRPr="00142AA9">
        <w:rPr>
          <w:rFonts w:cs="Calibri"/>
          <w:lang w:eastAsia="en-US"/>
        </w:rPr>
        <w:t>≥</w:t>
      </w:r>
      <w:r w:rsidRPr="00142AA9">
        <w:rPr>
          <w:lang w:eastAsia="en-US"/>
        </w:rPr>
        <w:t xml:space="preserve">1 of 2 risk factors (i.e. age ≥65 years or history of CDI in the past 6 months) and did not include immunocompromised patients due to history of HSCT or SOT for whom listing was also requested.  </w:t>
      </w:r>
      <w:r w:rsidRPr="00142AA9">
        <w:rPr>
          <w:iCs/>
          <w:lang w:eastAsia="en-US"/>
        </w:rPr>
        <w:t xml:space="preserve">The Sponsor stated approximately 600 transplant patients will not meet the other eligibility criteria but the cost of treating those patients </w:t>
      </w:r>
      <w:r w:rsidRPr="00142AA9">
        <w:rPr>
          <w:iCs/>
        </w:rPr>
        <w:t>will be covered as part of the risk sharing arrangement.</w:t>
      </w:r>
    </w:p>
    <w:p w:rsidR="00A57376" w:rsidRPr="000D42BB" w:rsidRDefault="00A57376" w:rsidP="00006346">
      <w:pPr>
        <w:pStyle w:val="3-BodyText"/>
        <w:rPr>
          <w:szCs w:val="22"/>
          <w:lang w:eastAsia="en-US"/>
        </w:rPr>
      </w:pPr>
      <w:r w:rsidRPr="000D42BB">
        <w:rPr>
          <w:szCs w:val="22"/>
          <w:lang w:eastAsia="en-US"/>
        </w:rPr>
        <w:t>Table 1</w:t>
      </w:r>
      <w:r w:rsidR="00C07BDB" w:rsidRPr="000D42BB">
        <w:rPr>
          <w:szCs w:val="22"/>
          <w:lang w:eastAsia="en-US"/>
        </w:rPr>
        <w:t>4</w:t>
      </w:r>
      <w:r w:rsidRPr="000D42BB">
        <w:rPr>
          <w:szCs w:val="22"/>
          <w:lang w:eastAsia="en-US"/>
        </w:rPr>
        <w:t xml:space="preserve"> presents the </w:t>
      </w:r>
      <w:r w:rsidR="000D42BB" w:rsidRPr="000D42BB">
        <w:rPr>
          <w:szCs w:val="22"/>
          <w:lang w:eastAsia="en-US"/>
        </w:rPr>
        <w:t>key inputs for financial estimates</w:t>
      </w:r>
      <w:r w:rsidRPr="000D42BB">
        <w:rPr>
          <w:szCs w:val="22"/>
          <w:lang w:eastAsia="en-US"/>
        </w:rPr>
        <w:t>.</w:t>
      </w:r>
    </w:p>
    <w:p w:rsidR="00A57376" w:rsidRPr="002477AF" w:rsidRDefault="00A57376" w:rsidP="00BD5974">
      <w:pPr>
        <w:keepNext/>
        <w:keepLines/>
        <w:jc w:val="left"/>
        <w:rPr>
          <w:rFonts w:ascii="Arial Narrow" w:eastAsiaTheme="majorEastAsia" w:hAnsi="Arial Narrow" w:cstheme="majorBidi"/>
          <w:b/>
          <w:bCs/>
          <w:sz w:val="20"/>
        </w:rPr>
      </w:pPr>
      <w:r w:rsidRPr="00A57376">
        <w:rPr>
          <w:rFonts w:ascii="Arial Narrow" w:eastAsiaTheme="majorEastAsia" w:hAnsi="Arial Narrow" w:cstheme="majorBidi"/>
          <w:b/>
          <w:bCs/>
          <w:sz w:val="20"/>
        </w:rPr>
        <w:lastRenderedPageBreak/>
        <w:t>Table 1</w:t>
      </w:r>
      <w:r w:rsidR="00C07BDB">
        <w:rPr>
          <w:rFonts w:ascii="Arial Narrow" w:eastAsiaTheme="majorEastAsia" w:hAnsi="Arial Narrow" w:cstheme="majorBidi"/>
          <w:b/>
          <w:bCs/>
          <w:sz w:val="20"/>
        </w:rPr>
        <w:t>4</w:t>
      </w:r>
      <w:r w:rsidRPr="00A57376">
        <w:rPr>
          <w:rFonts w:ascii="Arial Narrow" w:eastAsiaTheme="majorEastAsia" w:hAnsi="Arial Narrow" w:cstheme="majorBidi"/>
          <w:b/>
          <w:bCs/>
          <w:sz w:val="20"/>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2676"/>
        <w:gridCol w:w="4628"/>
      </w:tblGrid>
      <w:tr w:rsidR="00A57376" w:rsidRPr="00142AA9" w:rsidTr="00A57376">
        <w:trPr>
          <w:tblHeader/>
        </w:trPr>
        <w:tc>
          <w:tcPr>
            <w:tcW w:w="950" w:type="pct"/>
            <w:shd w:val="clear" w:color="auto" w:fill="auto"/>
            <w:vAlign w:val="center"/>
          </w:tcPr>
          <w:p w:rsidR="00A57376" w:rsidRPr="00142AA9" w:rsidRDefault="00A57376" w:rsidP="00BD5974">
            <w:pPr>
              <w:keepNext/>
              <w:keepLines/>
              <w:jc w:val="left"/>
              <w:rPr>
                <w:rFonts w:ascii="Arial Narrow" w:eastAsiaTheme="majorEastAsia" w:hAnsi="Arial Narrow" w:cs="Times New Roman"/>
                <w:b/>
                <w:sz w:val="20"/>
                <w:lang w:val="en-US"/>
              </w:rPr>
            </w:pPr>
            <w:r w:rsidRPr="00142AA9">
              <w:rPr>
                <w:rFonts w:ascii="Arial Narrow" w:eastAsiaTheme="majorEastAsia" w:hAnsi="Arial Narrow" w:cs="Times New Roman"/>
                <w:b/>
                <w:sz w:val="20"/>
                <w:lang w:val="en-US"/>
              </w:rPr>
              <w:t>Parameter</w:t>
            </w:r>
          </w:p>
        </w:tc>
        <w:tc>
          <w:tcPr>
            <w:tcW w:w="1484" w:type="pct"/>
            <w:shd w:val="clear" w:color="auto" w:fill="auto"/>
            <w:vAlign w:val="center"/>
          </w:tcPr>
          <w:p w:rsidR="00A57376" w:rsidRPr="00142AA9" w:rsidRDefault="00A57376" w:rsidP="00BD5974">
            <w:pPr>
              <w:keepNext/>
              <w:keepLines/>
              <w:jc w:val="left"/>
              <w:rPr>
                <w:rFonts w:ascii="Arial Narrow" w:eastAsiaTheme="majorEastAsia" w:hAnsi="Arial Narrow" w:cs="Times New Roman"/>
                <w:b/>
                <w:sz w:val="20"/>
                <w:lang w:val="en-US"/>
              </w:rPr>
            </w:pPr>
            <w:r w:rsidRPr="00142AA9">
              <w:rPr>
                <w:rFonts w:ascii="Arial Narrow" w:eastAsiaTheme="majorEastAsia" w:hAnsi="Arial Narrow" w:cs="Times New Roman"/>
                <w:b/>
                <w:sz w:val="20"/>
                <w:lang w:val="en-US"/>
              </w:rPr>
              <w:t>Value applied and source</w:t>
            </w:r>
          </w:p>
        </w:tc>
        <w:tc>
          <w:tcPr>
            <w:tcW w:w="2566" w:type="pct"/>
            <w:shd w:val="clear" w:color="auto" w:fill="auto"/>
            <w:vAlign w:val="center"/>
          </w:tcPr>
          <w:p w:rsidR="00A57376" w:rsidRPr="00142AA9" w:rsidRDefault="00A57376" w:rsidP="00BD5974">
            <w:pPr>
              <w:keepNext/>
              <w:keepLines/>
              <w:jc w:val="left"/>
              <w:rPr>
                <w:rFonts w:ascii="Arial Narrow" w:eastAsiaTheme="majorEastAsia" w:hAnsi="Arial Narrow" w:cs="Times New Roman"/>
                <w:b/>
                <w:sz w:val="20"/>
                <w:lang w:val="en-US"/>
              </w:rPr>
            </w:pPr>
            <w:r w:rsidRPr="00142AA9">
              <w:rPr>
                <w:rFonts w:ascii="Arial Narrow" w:eastAsiaTheme="majorEastAsia" w:hAnsi="Arial Narrow" w:cs="Times New Roman"/>
                <w:b/>
                <w:sz w:val="20"/>
                <w:lang w:val="en-US"/>
              </w:rPr>
              <w:t>Comment</w:t>
            </w:r>
          </w:p>
        </w:tc>
      </w:tr>
      <w:tr w:rsidR="00A57376" w:rsidRPr="00142AA9" w:rsidTr="00A57376">
        <w:tc>
          <w:tcPr>
            <w:tcW w:w="950" w:type="pct"/>
            <w:tcBorders>
              <w:bottom w:val="nil"/>
            </w:tcBorders>
            <w:shd w:val="clear" w:color="auto" w:fill="auto"/>
            <w:vAlign w:val="center"/>
          </w:tcPr>
          <w:p w:rsidR="00A57376" w:rsidRPr="009F36FA" w:rsidRDefault="00A57376" w:rsidP="00BD5974">
            <w:pPr>
              <w:keepNext/>
              <w:keepLines/>
              <w:jc w:val="left"/>
              <w:rPr>
                <w:rFonts w:ascii="Arial Narrow" w:eastAsiaTheme="majorEastAsia" w:hAnsi="Arial Narrow" w:cstheme="majorBidi"/>
                <w:bCs/>
                <w:sz w:val="20"/>
                <w:lang w:val="en-US"/>
              </w:rPr>
            </w:pPr>
            <w:r w:rsidRPr="009F36FA">
              <w:rPr>
                <w:rFonts w:ascii="Arial Narrow" w:eastAsiaTheme="majorEastAsia" w:hAnsi="Arial Narrow" w:cstheme="majorBidi"/>
                <w:bCs/>
                <w:sz w:val="20"/>
                <w:lang w:val="en-US"/>
              </w:rPr>
              <w:t>Total CDI episodes</w:t>
            </w:r>
          </w:p>
        </w:tc>
        <w:tc>
          <w:tcPr>
            <w:tcW w:w="1484" w:type="pct"/>
            <w:tcBorders>
              <w:bottom w:val="nil"/>
            </w:tcBorders>
            <w:shd w:val="clear" w:color="auto" w:fill="auto"/>
            <w:vAlign w:val="center"/>
          </w:tcPr>
          <w:p w:rsidR="00A57376" w:rsidRPr="009F36FA" w:rsidRDefault="00A57376" w:rsidP="00BD5974">
            <w:pPr>
              <w:keepNext/>
              <w:keepLines/>
              <w:jc w:val="left"/>
              <w:rPr>
                <w:rFonts w:ascii="Arial Narrow" w:eastAsiaTheme="majorEastAsia" w:hAnsi="Arial Narrow" w:cstheme="majorBidi"/>
                <w:bCs/>
                <w:sz w:val="20"/>
                <w:lang w:val="en-US"/>
              </w:rPr>
            </w:pPr>
            <w:r w:rsidRPr="009F36FA">
              <w:rPr>
                <w:rFonts w:ascii="Arial Narrow" w:eastAsiaTheme="majorEastAsia" w:hAnsi="Arial Narrow" w:cstheme="majorBidi"/>
                <w:bCs/>
                <w:sz w:val="20"/>
                <w:lang w:val="en-US"/>
              </w:rPr>
              <w:t>Total number of CDI episodes per year based on hospitalisations for CDI identified by diagnosis code A04.7 Gastroenterocolitis in 2015 and 2016</w:t>
            </w:r>
          </w:p>
        </w:tc>
        <w:tc>
          <w:tcPr>
            <w:tcW w:w="2566" w:type="pct"/>
            <w:vMerge w:val="restart"/>
            <w:shd w:val="clear" w:color="auto" w:fill="auto"/>
            <w:vAlign w:val="center"/>
          </w:tcPr>
          <w:p w:rsidR="00A57376" w:rsidRPr="009F36FA" w:rsidRDefault="00A57376" w:rsidP="00BD5974">
            <w:pPr>
              <w:keepNext/>
              <w:keepLines/>
              <w:rPr>
                <w:rFonts w:ascii="Arial Narrow" w:hAnsi="Arial Narrow"/>
                <w:iCs/>
                <w:snapToGrid w:val="0"/>
                <w:sz w:val="20"/>
                <w:szCs w:val="20"/>
                <w:lang w:eastAsia="en-US"/>
              </w:rPr>
            </w:pPr>
            <w:r w:rsidRPr="009F36FA">
              <w:rPr>
                <w:rFonts w:ascii="Arial Narrow" w:hAnsi="Arial Narrow"/>
                <w:iCs/>
                <w:snapToGrid w:val="0"/>
                <w:sz w:val="20"/>
                <w:szCs w:val="20"/>
                <w:lang w:eastAsia="en-US"/>
              </w:rPr>
              <w:t>May be a potential underestimate</w:t>
            </w:r>
          </w:p>
          <w:p w:rsidR="00A57376" w:rsidRPr="009F36FA" w:rsidRDefault="00A57376" w:rsidP="00BD5974">
            <w:pPr>
              <w:keepNext/>
              <w:keepLines/>
              <w:numPr>
                <w:ilvl w:val="0"/>
                <w:numId w:val="12"/>
              </w:numPr>
              <w:spacing w:after="120"/>
              <w:ind w:left="259" w:hanging="254"/>
              <w:rPr>
                <w:rFonts w:ascii="Arial Narrow" w:hAnsi="Arial Narrow"/>
                <w:iCs/>
                <w:snapToGrid w:val="0"/>
                <w:sz w:val="20"/>
                <w:szCs w:val="20"/>
                <w:lang w:eastAsia="en-US"/>
              </w:rPr>
            </w:pPr>
            <w:r w:rsidRPr="009F36FA">
              <w:rPr>
                <w:rFonts w:ascii="Arial Narrow" w:hAnsi="Arial Narrow"/>
                <w:iCs/>
                <w:snapToGrid w:val="0"/>
                <w:sz w:val="20"/>
                <w:szCs w:val="20"/>
                <w:lang w:eastAsia="en-US"/>
              </w:rPr>
              <w:t xml:space="preserve">Use of hospitalisation data only may not capture </w:t>
            </w:r>
            <w:r w:rsidR="00C72460" w:rsidRPr="009F36FA">
              <w:rPr>
                <w:rFonts w:ascii="Arial Narrow" w:hAnsi="Arial Narrow"/>
                <w:iCs/>
                <w:snapToGrid w:val="0"/>
                <w:sz w:val="20"/>
                <w:szCs w:val="20"/>
                <w:lang w:eastAsia="en-US"/>
              </w:rPr>
              <w:t xml:space="preserve">patients with </w:t>
            </w:r>
            <w:r w:rsidRPr="009F36FA">
              <w:rPr>
                <w:rFonts w:ascii="Arial Narrow" w:hAnsi="Arial Narrow"/>
                <w:iCs/>
                <w:snapToGrid w:val="0"/>
                <w:sz w:val="20"/>
                <w:szCs w:val="20"/>
                <w:lang w:eastAsia="en-US"/>
              </w:rPr>
              <w:t xml:space="preserve">mild/moderate episodes of CDI currently treated in the community including nursing homes </w:t>
            </w:r>
            <w:r w:rsidR="00C72460" w:rsidRPr="009F36FA">
              <w:rPr>
                <w:rFonts w:ascii="Arial Narrow" w:hAnsi="Arial Narrow"/>
                <w:iCs/>
                <w:snapToGrid w:val="0"/>
                <w:sz w:val="20"/>
                <w:szCs w:val="20"/>
                <w:lang w:eastAsia="en-US"/>
              </w:rPr>
              <w:t>(</w:t>
            </w:r>
            <w:r w:rsidR="00FB076F" w:rsidRPr="009F36FA">
              <w:rPr>
                <w:rFonts w:ascii="Arial Narrow" w:hAnsi="Arial Narrow"/>
                <w:iCs/>
                <w:snapToGrid w:val="0"/>
                <w:sz w:val="20"/>
                <w:szCs w:val="20"/>
                <w:lang w:eastAsia="en-US"/>
              </w:rPr>
              <w:t xml:space="preserve">i.e. </w:t>
            </w:r>
            <w:r w:rsidR="00C72460" w:rsidRPr="009F36FA">
              <w:rPr>
                <w:rFonts w:ascii="Arial Narrow" w:hAnsi="Arial Narrow"/>
                <w:iCs/>
                <w:snapToGrid w:val="0"/>
                <w:sz w:val="20"/>
                <w:szCs w:val="20"/>
                <w:lang w:eastAsia="en-US"/>
              </w:rPr>
              <w:t>without PBS listed bezlotoxumab available) but who may in the future be treated in hospital (with PBS – Section 100 listed bezlotoxumab</w:t>
            </w:r>
            <w:r w:rsidR="00FB076F" w:rsidRPr="009F36FA">
              <w:rPr>
                <w:rFonts w:ascii="Arial Narrow" w:hAnsi="Arial Narrow"/>
                <w:iCs/>
                <w:snapToGrid w:val="0"/>
                <w:sz w:val="20"/>
                <w:szCs w:val="20"/>
                <w:lang w:eastAsia="en-US"/>
              </w:rPr>
              <w:t xml:space="preserve"> available</w:t>
            </w:r>
            <w:r w:rsidR="00C72460" w:rsidRPr="009F36FA">
              <w:rPr>
                <w:rFonts w:ascii="Arial Narrow" w:hAnsi="Arial Narrow"/>
                <w:iCs/>
                <w:snapToGrid w:val="0"/>
                <w:sz w:val="20"/>
                <w:szCs w:val="20"/>
                <w:lang w:eastAsia="en-US"/>
              </w:rPr>
              <w:t>)</w:t>
            </w:r>
            <w:r w:rsidRPr="009F36FA">
              <w:rPr>
                <w:rFonts w:ascii="Arial Narrow" w:hAnsi="Arial Narrow"/>
                <w:iCs/>
                <w:snapToGrid w:val="0"/>
                <w:sz w:val="20"/>
                <w:szCs w:val="20"/>
                <w:lang w:eastAsia="en-US"/>
              </w:rPr>
              <w:t>.</w:t>
            </w:r>
            <w:r w:rsidR="00BA5AFC" w:rsidRPr="009F36FA">
              <w:rPr>
                <w:rFonts w:ascii="Arial Narrow" w:hAnsi="Arial Narrow"/>
                <w:iCs/>
                <w:snapToGrid w:val="0"/>
                <w:sz w:val="20"/>
                <w:szCs w:val="20"/>
                <w:lang w:eastAsia="en-US"/>
              </w:rPr>
              <w:t xml:space="preserve"> The PSCR (p2) stated this was unlikely due to the need for an infusion. The ESC considered that treatment of CDI appears to be uncommon in Australian nursing homes (AC-NAPS</w:t>
            </w:r>
            <w:r w:rsidR="007F3312" w:rsidRPr="009F36FA">
              <w:rPr>
                <w:rFonts w:ascii="Arial Narrow" w:hAnsi="Arial Narrow"/>
                <w:iCs/>
                <w:snapToGrid w:val="0"/>
                <w:sz w:val="20"/>
                <w:szCs w:val="20"/>
                <w:lang w:eastAsia="en-US"/>
              </w:rPr>
              <w:t xml:space="preserve"> 2015</w:t>
            </w:r>
            <w:r w:rsidR="00BA5AFC" w:rsidRPr="009F36FA">
              <w:rPr>
                <w:rFonts w:ascii="Arial Narrow" w:hAnsi="Arial Narrow"/>
                <w:iCs/>
                <w:snapToGrid w:val="0"/>
                <w:sz w:val="20"/>
                <w:szCs w:val="20"/>
                <w:lang w:eastAsia="en-US"/>
              </w:rPr>
              <w:t>) but the overall prevalence of Australian community treatment of CDI was not known.</w:t>
            </w:r>
          </w:p>
          <w:p w:rsidR="00A57376" w:rsidRPr="009F36FA" w:rsidRDefault="00A57376" w:rsidP="00BD5974">
            <w:pPr>
              <w:keepNext/>
              <w:keepLines/>
              <w:numPr>
                <w:ilvl w:val="0"/>
                <w:numId w:val="12"/>
              </w:numPr>
              <w:spacing w:after="120"/>
              <w:ind w:left="259" w:hanging="254"/>
              <w:rPr>
                <w:rFonts w:ascii="Arial Narrow" w:hAnsi="Arial Narrow"/>
                <w:iCs/>
                <w:snapToGrid w:val="0"/>
                <w:sz w:val="20"/>
                <w:szCs w:val="20"/>
                <w:lang w:eastAsia="en-US"/>
              </w:rPr>
            </w:pPr>
            <w:r w:rsidRPr="009F36FA">
              <w:rPr>
                <w:rFonts w:ascii="Arial Narrow" w:hAnsi="Arial Narrow"/>
                <w:snapToGrid w:val="0"/>
                <w:sz w:val="20"/>
                <w:szCs w:val="20"/>
                <w:lang w:eastAsia="en-US"/>
              </w:rPr>
              <w:t xml:space="preserve">The resubmission did not provide any justification for the assumption that all patients with a principal diagnosis </w:t>
            </w:r>
            <w:r w:rsidR="00FC248A" w:rsidRPr="009F36FA">
              <w:rPr>
                <w:rFonts w:ascii="Arial Narrow" w:hAnsi="Arial Narrow"/>
                <w:snapToGrid w:val="0"/>
                <w:sz w:val="20"/>
                <w:szCs w:val="20"/>
                <w:lang w:eastAsia="en-US"/>
              </w:rPr>
              <w:t xml:space="preserve">of CDI </w:t>
            </w:r>
            <w:r w:rsidRPr="009F36FA">
              <w:rPr>
                <w:rFonts w:ascii="Arial Narrow" w:hAnsi="Arial Narrow"/>
                <w:snapToGrid w:val="0"/>
                <w:sz w:val="20"/>
                <w:szCs w:val="20"/>
                <w:lang w:eastAsia="en-US"/>
              </w:rPr>
              <w:t>are treated in public hospitals.</w:t>
            </w:r>
            <w:r w:rsidR="00BA5AFC" w:rsidRPr="009F36FA">
              <w:rPr>
                <w:rFonts w:ascii="Arial Narrow" w:hAnsi="Arial Narrow"/>
                <w:snapToGrid w:val="0"/>
                <w:sz w:val="20"/>
                <w:szCs w:val="20"/>
                <w:lang w:eastAsia="en-US"/>
              </w:rPr>
              <w:t xml:space="preserve"> The PSCR (p3) argued that patients who are admitted with a principal diagnosis of CDI are likely to be admitted following presentation to an Emergency Department (ED), with most EDs affiliated with public hospitals. The ESC noted that in 2017-18 public hospitals provided 92% of emergency admissions.</w:t>
            </w:r>
            <w:r w:rsidR="008A0163" w:rsidRPr="009F36FA">
              <w:rPr>
                <w:rFonts w:ascii="Arial Narrow" w:hAnsi="Arial Narrow"/>
                <w:snapToGrid w:val="0"/>
                <w:sz w:val="20"/>
                <w:szCs w:val="20"/>
                <w:vertAlign w:val="superscript"/>
                <w:lang w:eastAsia="en-US"/>
              </w:rPr>
              <w:t>a</w:t>
            </w:r>
            <w:r w:rsidR="00BA5AFC" w:rsidRPr="009F36FA">
              <w:rPr>
                <w:rFonts w:ascii="Arial Narrow" w:hAnsi="Arial Narrow"/>
                <w:snapToGrid w:val="0"/>
                <w:sz w:val="20"/>
                <w:szCs w:val="20"/>
                <w:lang w:eastAsia="en-US"/>
              </w:rPr>
              <w:t xml:space="preserve"> </w:t>
            </w:r>
          </w:p>
        </w:tc>
      </w:tr>
      <w:tr w:rsidR="00A57376" w:rsidRPr="00142AA9" w:rsidTr="00A57376">
        <w:tc>
          <w:tcPr>
            <w:tcW w:w="950" w:type="pct"/>
            <w:tcBorders>
              <w:top w:val="nil"/>
              <w:left w:val="single" w:sz="4" w:space="0" w:color="auto"/>
              <w:bottom w:val="nil"/>
              <w:right w:val="single" w:sz="4" w:space="0" w:color="auto"/>
            </w:tcBorders>
            <w:shd w:val="clear" w:color="auto" w:fill="auto"/>
            <w:vAlign w:val="center"/>
          </w:tcPr>
          <w:p w:rsidR="00A57376" w:rsidRPr="009F36FA" w:rsidRDefault="00A57376" w:rsidP="00BD5974">
            <w:pPr>
              <w:keepNext/>
              <w:keepLines/>
              <w:jc w:val="left"/>
              <w:rPr>
                <w:rFonts w:ascii="Arial Narrow" w:eastAsiaTheme="majorEastAsia" w:hAnsi="Arial Narrow" w:cstheme="majorBidi"/>
                <w:bCs/>
                <w:sz w:val="20"/>
                <w:lang w:val="en-US"/>
              </w:rPr>
            </w:pPr>
            <w:r w:rsidRPr="009F36FA">
              <w:rPr>
                <w:rFonts w:ascii="Arial Narrow" w:eastAsiaTheme="majorEastAsia" w:hAnsi="Arial Narrow" w:cstheme="majorBidi"/>
                <w:bCs/>
                <w:sz w:val="20"/>
                <w:lang w:val="en-US"/>
              </w:rPr>
              <w:t>% in public hospitals</w:t>
            </w:r>
          </w:p>
        </w:tc>
        <w:tc>
          <w:tcPr>
            <w:tcW w:w="1484" w:type="pct"/>
            <w:tcBorders>
              <w:top w:val="nil"/>
              <w:left w:val="single" w:sz="4" w:space="0" w:color="auto"/>
              <w:bottom w:val="nil"/>
              <w:right w:val="single" w:sz="4" w:space="0" w:color="auto"/>
            </w:tcBorders>
            <w:shd w:val="clear" w:color="auto" w:fill="auto"/>
            <w:vAlign w:val="center"/>
          </w:tcPr>
          <w:p w:rsidR="00A57376" w:rsidRPr="009F36FA" w:rsidRDefault="00A57376" w:rsidP="00BD5974">
            <w:pPr>
              <w:keepNext/>
              <w:keepLines/>
              <w:jc w:val="left"/>
              <w:rPr>
                <w:rFonts w:ascii="Arial Narrow" w:eastAsiaTheme="majorEastAsia" w:hAnsi="Arial Narrow" w:cstheme="majorBidi"/>
                <w:bCs/>
                <w:sz w:val="20"/>
                <w:lang w:val="en-US"/>
              </w:rPr>
            </w:pPr>
            <w:r w:rsidRPr="009F36FA">
              <w:rPr>
                <w:rFonts w:ascii="Arial Narrow" w:eastAsiaTheme="majorEastAsia" w:hAnsi="Arial Narrow" w:cstheme="majorBidi"/>
                <w:bCs/>
                <w:sz w:val="20"/>
                <w:lang w:val="en-US"/>
              </w:rPr>
              <w:t>67.7% based on AIHW data (average 2014/15 to 2016/17)</w:t>
            </w:r>
          </w:p>
        </w:tc>
        <w:tc>
          <w:tcPr>
            <w:tcW w:w="2566" w:type="pct"/>
            <w:vMerge/>
            <w:tcBorders>
              <w:left w:val="single" w:sz="4" w:space="0" w:color="auto"/>
            </w:tcBorders>
            <w:shd w:val="clear" w:color="auto" w:fill="auto"/>
            <w:vAlign w:val="center"/>
          </w:tcPr>
          <w:p w:rsidR="00A57376" w:rsidRPr="009F36FA" w:rsidRDefault="00A57376" w:rsidP="00BD5974">
            <w:pPr>
              <w:keepNext/>
              <w:keepLines/>
              <w:rPr>
                <w:rFonts w:ascii="Arial Narrow" w:hAnsi="Arial Narrow"/>
                <w:iCs/>
                <w:snapToGrid w:val="0"/>
                <w:sz w:val="20"/>
                <w:szCs w:val="20"/>
                <w:lang w:eastAsia="en-US"/>
              </w:rPr>
            </w:pPr>
          </w:p>
        </w:tc>
      </w:tr>
      <w:tr w:rsidR="00A57376" w:rsidRPr="00142AA9" w:rsidTr="00A57376">
        <w:tc>
          <w:tcPr>
            <w:tcW w:w="950" w:type="pct"/>
            <w:tcBorders>
              <w:top w:val="nil"/>
              <w:left w:val="single" w:sz="4" w:space="0" w:color="auto"/>
              <w:bottom w:val="single" w:sz="4" w:space="0" w:color="auto"/>
              <w:right w:val="single" w:sz="4" w:space="0" w:color="auto"/>
            </w:tcBorders>
            <w:shd w:val="clear" w:color="auto" w:fill="auto"/>
            <w:vAlign w:val="center"/>
          </w:tcPr>
          <w:p w:rsidR="00A57376" w:rsidRPr="009F36FA" w:rsidRDefault="00A57376" w:rsidP="00BD5974">
            <w:pPr>
              <w:keepNext/>
              <w:keepLines/>
              <w:jc w:val="left"/>
              <w:rPr>
                <w:rFonts w:ascii="Arial Narrow" w:eastAsiaTheme="majorEastAsia" w:hAnsi="Arial Narrow" w:cstheme="majorBidi"/>
                <w:bCs/>
                <w:sz w:val="20"/>
                <w:lang w:val="en-US"/>
              </w:rPr>
            </w:pPr>
            <w:r w:rsidRPr="009F36FA">
              <w:rPr>
                <w:rFonts w:ascii="Arial Narrow" w:eastAsiaTheme="majorEastAsia" w:hAnsi="Arial Narrow" w:cstheme="majorBidi"/>
                <w:bCs/>
                <w:sz w:val="20"/>
                <w:lang w:val="en-US"/>
              </w:rPr>
              <w:t>Population growth rate</w:t>
            </w:r>
          </w:p>
        </w:tc>
        <w:tc>
          <w:tcPr>
            <w:tcW w:w="1484" w:type="pct"/>
            <w:tcBorders>
              <w:top w:val="nil"/>
              <w:left w:val="single" w:sz="4" w:space="0" w:color="auto"/>
              <w:bottom w:val="single" w:sz="4" w:space="0" w:color="auto"/>
              <w:right w:val="single" w:sz="4" w:space="0" w:color="auto"/>
            </w:tcBorders>
            <w:shd w:val="clear" w:color="auto" w:fill="auto"/>
            <w:vAlign w:val="center"/>
          </w:tcPr>
          <w:p w:rsidR="00A57376" w:rsidRPr="009F36FA" w:rsidRDefault="00A57376" w:rsidP="00BD5974">
            <w:pPr>
              <w:keepNext/>
              <w:keepLines/>
              <w:jc w:val="left"/>
              <w:rPr>
                <w:rFonts w:ascii="Arial Narrow" w:eastAsiaTheme="majorEastAsia" w:hAnsi="Arial Narrow" w:cstheme="majorBidi"/>
                <w:bCs/>
                <w:sz w:val="20"/>
                <w:lang w:val="en-US"/>
              </w:rPr>
            </w:pPr>
            <w:r w:rsidRPr="009F36FA">
              <w:rPr>
                <w:rFonts w:ascii="Arial Narrow" w:eastAsiaTheme="majorEastAsia" w:hAnsi="Arial Narrow" w:cstheme="majorBidi"/>
                <w:bCs/>
                <w:sz w:val="20"/>
                <w:lang w:val="en-US"/>
              </w:rPr>
              <w:t>1.6% per year based on ABS 2018 data.</w:t>
            </w:r>
          </w:p>
        </w:tc>
        <w:tc>
          <w:tcPr>
            <w:tcW w:w="2566" w:type="pct"/>
            <w:vMerge/>
            <w:tcBorders>
              <w:left w:val="single" w:sz="4" w:space="0" w:color="auto"/>
            </w:tcBorders>
            <w:shd w:val="clear" w:color="auto" w:fill="auto"/>
            <w:vAlign w:val="center"/>
          </w:tcPr>
          <w:p w:rsidR="00A57376" w:rsidRPr="009F36FA" w:rsidRDefault="00A57376" w:rsidP="00BD5974">
            <w:pPr>
              <w:keepNext/>
              <w:keepLines/>
              <w:rPr>
                <w:rFonts w:ascii="Arial Narrow" w:hAnsi="Arial Narrow"/>
                <w:iCs/>
                <w:snapToGrid w:val="0"/>
                <w:sz w:val="20"/>
                <w:szCs w:val="20"/>
                <w:lang w:eastAsia="en-US"/>
              </w:rPr>
            </w:pPr>
          </w:p>
        </w:tc>
      </w:tr>
      <w:tr w:rsidR="00A57376" w:rsidRPr="00142AA9" w:rsidTr="00A57376">
        <w:tc>
          <w:tcPr>
            <w:tcW w:w="950" w:type="pct"/>
            <w:tcBorders>
              <w:top w:val="single" w:sz="4" w:space="0" w:color="auto"/>
            </w:tcBorders>
            <w:shd w:val="clear" w:color="auto" w:fill="auto"/>
            <w:vAlign w:val="center"/>
          </w:tcPr>
          <w:p w:rsidR="00A57376" w:rsidRPr="009F36FA" w:rsidRDefault="00A57376" w:rsidP="00BD5974">
            <w:pPr>
              <w:keepNext/>
              <w:keepLines/>
              <w:jc w:val="left"/>
              <w:rPr>
                <w:rFonts w:ascii="Arial Narrow" w:eastAsiaTheme="majorEastAsia" w:hAnsi="Arial Narrow" w:cstheme="majorBidi"/>
                <w:bCs/>
                <w:sz w:val="20"/>
                <w:lang w:val="en-US"/>
              </w:rPr>
            </w:pPr>
            <w:r w:rsidRPr="009F36FA">
              <w:rPr>
                <w:rFonts w:ascii="Arial Narrow" w:eastAsiaTheme="majorEastAsia" w:hAnsi="Arial Narrow" w:cstheme="majorBidi"/>
                <w:bCs/>
                <w:sz w:val="20"/>
                <w:lang w:val="en-US"/>
              </w:rPr>
              <w:t>% with positive toxin B</w:t>
            </w:r>
          </w:p>
        </w:tc>
        <w:tc>
          <w:tcPr>
            <w:tcW w:w="1484" w:type="pct"/>
            <w:tcBorders>
              <w:top w:val="single" w:sz="4" w:space="0" w:color="auto"/>
            </w:tcBorders>
            <w:shd w:val="clear" w:color="auto" w:fill="auto"/>
            <w:vAlign w:val="center"/>
          </w:tcPr>
          <w:p w:rsidR="00A57376" w:rsidRPr="009F36FA" w:rsidRDefault="00A57376" w:rsidP="00BD5974">
            <w:pPr>
              <w:keepNext/>
              <w:keepLines/>
              <w:jc w:val="left"/>
              <w:rPr>
                <w:rFonts w:ascii="Arial Narrow" w:eastAsiaTheme="majorEastAsia" w:hAnsi="Arial Narrow" w:cstheme="majorBidi"/>
                <w:bCs/>
                <w:sz w:val="20"/>
                <w:lang w:val="en-US"/>
              </w:rPr>
            </w:pPr>
            <w:r w:rsidRPr="009F36FA">
              <w:rPr>
                <w:rFonts w:ascii="Arial Narrow" w:eastAsiaTheme="majorEastAsia" w:hAnsi="Arial Narrow" w:cstheme="majorBidi"/>
                <w:bCs/>
                <w:sz w:val="20"/>
                <w:lang w:val="en-US"/>
              </w:rPr>
              <w:t>95% based on two Australian population-based studies (Roder et al 2015; Furuya-Kanomori et al 2017)</w:t>
            </w:r>
          </w:p>
        </w:tc>
        <w:tc>
          <w:tcPr>
            <w:tcW w:w="2566" w:type="pct"/>
            <w:shd w:val="clear" w:color="auto" w:fill="auto"/>
            <w:vAlign w:val="center"/>
          </w:tcPr>
          <w:p w:rsidR="00A57376" w:rsidRPr="009F36FA" w:rsidRDefault="00A57376" w:rsidP="00BD5974">
            <w:pPr>
              <w:keepNext/>
              <w:keepLines/>
              <w:jc w:val="left"/>
              <w:rPr>
                <w:rFonts w:ascii="Arial Narrow" w:eastAsiaTheme="majorEastAsia" w:hAnsi="Arial Narrow" w:cstheme="majorBidi"/>
                <w:bCs/>
                <w:sz w:val="20"/>
                <w:lang w:val="en-US"/>
              </w:rPr>
            </w:pPr>
            <w:r w:rsidRPr="009F36FA">
              <w:rPr>
                <w:rFonts w:ascii="Arial Narrow" w:eastAsiaTheme="majorEastAsia" w:hAnsi="Arial Narrow" w:cs="Times New Roman"/>
                <w:bCs/>
                <w:iCs/>
                <w:sz w:val="20"/>
                <w:szCs w:val="22"/>
                <w:lang w:eastAsia="en-US"/>
              </w:rPr>
              <w:t>Unchanged from the previous resubmission but may be an overestimate as only 82% (106/129) tested positive for the toxin B gene in Roder et al 2015 and only half (49.7%, 773/1554) of the patients enrolled in the MODIFY trials had toxin B positive CDI.</w:t>
            </w:r>
          </w:p>
        </w:tc>
      </w:tr>
      <w:tr w:rsidR="00A57376" w:rsidRPr="00142AA9" w:rsidTr="00A57376">
        <w:tc>
          <w:tcPr>
            <w:tcW w:w="950" w:type="pct"/>
            <w:tcBorders>
              <w:top w:val="single" w:sz="4" w:space="0" w:color="auto"/>
            </w:tcBorders>
            <w:shd w:val="clear" w:color="auto" w:fill="auto"/>
            <w:vAlign w:val="center"/>
          </w:tcPr>
          <w:p w:rsidR="00A57376" w:rsidRPr="009F36FA" w:rsidRDefault="00A57376" w:rsidP="00BD5974">
            <w:pPr>
              <w:keepNext/>
              <w:keepLines/>
              <w:jc w:val="left"/>
              <w:rPr>
                <w:rFonts w:ascii="Arial Narrow" w:eastAsiaTheme="majorEastAsia" w:hAnsi="Arial Narrow" w:cstheme="majorBidi"/>
                <w:bCs/>
                <w:sz w:val="20"/>
                <w:lang w:val="en-US"/>
              </w:rPr>
            </w:pPr>
            <w:r w:rsidRPr="009F36FA">
              <w:rPr>
                <w:rFonts w:ascii="Arial Narrow" w:eastAsiaTheme="majorEastAsia" w:hAnsi="Arial Narrow" w:cstheme="majorBidi"/>
                <w:bCs/>
                <w:sz w:val="20"/>
                <w:lang w:val="en-US"/>
              </w:rPr>
              <w:t>% high risk (≥1 of 2 risk factors)</w:t>
            </w:r>
          </w:p>
        </w:tc>
        <w:tc>
          <w:tcPr>
            <w:tcW w:w="1484" w:type="pct"/>
            <w:tcBorders>
              <w:top w:val="single" w:sz="4" w:space="0" w:color="auto"/>
            </w:tcBorders>
            <w:shd w:val="clear" w:color="auto" w:fill="auto"/>
            <w:vAlign w:val="center"/>
          </w:tcPr>
          <w:p w:rsidR="00A57376" w:rsidRPr="009F36FA" w:rsidRDefault="00A57376" w:rsidP="00BD5974">
            <w:pPr>
              <w:keepNext/>
              <w:keepLines/>
              <w:jc w:val="left"/>
              <w:rPr>
                <w:rFonts w:ascii="Arial Narrow" w:eastAsiaTheme="majorEastAsia" w:hAnsi="Arial Narrow" w:cstheme="majorBidi"/>
                <w:bCs/>
                <w:sz w:val="20"/>
                <w:lang w:val="en-US"/>
              </w:rPr>
            </w:pPr>
            <w:r w:rsidRPr="009F36FA">
              <w:rPr>
                <w:rFonts w:ascii="Arial Narrow" w:eastAsiaTheme="majorEastAsia" w:hAnsi="Arial Narrow" w:cstheme="majorBidi"/>
                <w:bCs/>
                <w:sz w:val="20"/>
                <w:lang w:val="en-US"/>
              </w:rPr>
              <w:t>67.3% based on MODIFY subgroup data</w:t>
            </w:r>
          </w:p>
        </w:tc>
        <w:tc>
          <w:tcPr>
            <w:tcW w:w="2566" w:type="pct"/>
            <w:shd w:val="clear" w:color="auto" w:fill="auto"/>
            <w:vAlign w:val="center"/>
          </w:tcPr>
          <w:p w:rsidR="00A57376" w:rsidRPr="009F36FA" w:rsidRDefault="00A57376" w:rsidP="00BD5974">
            <w:pPr>
              <w:keepNext/>
              <w:keepLines/>
              <w:jc w:val="left"/>
              <w:rPr>
                <w:rFonts w:ascii="Arial Narrow" w:eastAsiaTheme="majorEastAsia" w:hAnsi="Arial Narrow" w:cs="Times New Roman"/>
                <w:bCs/>
                <w:iCs/>
                <w:sz w:val="20"/>
                <w:szCs w:val="22"/>
                <w:lang w:val="en-US" w:eastAsia="en-US"/>
              </w:rPr>
            </w:pPr>
            <w:r w:rsidRPr="009F36FA">
              <w:rPr>
                <w:rFonts w:ascii="Arial Narrow" w:eastAsiaTheme="majorEastAsia" w:hAnsi="Arial Narrow" w:cs="Times New Roman"/>
                <w:bCs/>
                <w:iCs/>
                <w:sz w:val="20"/>
                <w:szCs w:val="22"/>
                <w:lang w:eastAsia="en-US"/>
              </w:rPr>
              <w:t>Generally reasonable, given limited Australian data.</w:t>
            </w:r>
          </w:p>
        </w:tc>
      </w:tr>
      <w:tr w:rsidR="00A57376" w:rsidRPr="00142AA9" w:rsidTr="00A57376">
        <w:tc>
          <w:tcPr>
            <w:tcW w:w="950" w:type="pct"/>
            <w:shd w:val="clear" w:color="auto" w:fill="auto"/>
            <w:vAlign w:val="center"/>
          </w:tcPr>
          <w:p w:rsidR="00A57376" w:rsidRPr="009F36FA" w:rsidRDefault="00A57376" w:rsidP="00BD5974">
            <w:pPr>
              <w:keepNext/>
              <w:keepLines/>
              <w:jc w:val="left"/>
              <w:rPr>
                <w:rFonts w:ascii="Arial Narrow" w:eastAsiaTheme="majorEastAsia" w:hAnsi="Arial Narrow" w:cstheme="majorBidi"/>
                <w:bCs/>
                <w:sz w:val="20"/>
                <w:lang w:val="en-US"/>
              </w:rPr>
            </w:pPr>
            <w:r w:rsidRPr="009F36FA">
              <w:rPr>
                <w:rFonts w:ascii="Arial Narrow" w:eastAsiaTheme="majorEastAsia" w:hAnsi="Arial Narrow" w:cstheme="majorBidi"/>
                <w:bCs/>
                <w:sz w:val="20"/>
                <w:lang w:val="en-US"/>
              </w:rPr>
              <w:t>Uptake rate</w:t>
            </w:r>
          </w:p>
        </w:tc>
        <w:tc>
          <w:tcPr>
            <w:tcW w:w="1484" w:type="pct"/>
            <w:shd w:val="clear" w:color="auto" w:fill="auto"/>
            <w:vAlign w:val="center"/>
          </w:tcPr>
          <w:p w:rsidR="00A57376" w:rsidRPr="009F36FA" w:rsidRDefault="00A57376" w:rsidP="00BD5974">
            <w:pPr>
              <w:keepNext/>
              <w:keepLines/>
              <w:jc w:val="left"/>
              <w:rPr>
                <w:rFonts w:ascii="Arial Narrow" w:eastAsiaTheme="majorEastAsia" w:hAnsi="Arial Narrow" w:cstheme="majorBidi"/>
                <w:bCs/>
                <w:sz w:val="20"/>
                <w:lang w:val="en-US"/>
              </w:rPr>
            </w:pPr>
            <w:r w:rsidRPr="009F36FA">
              <w:rPr>
                <w:rFonts w:ascii="Arial Narrow" w:eastAsiaTheme="majorEastAsia" w:hAnsi="Arial Narrow" w:cstheme="majorBidi"/>
                <w:bCs/>
                <w:sz w:val="20"/>
                <w:lang w:val="en-US"/>
              </w:rPr>
              <w:t>40% in Year 1 increasing to 80% in Year 6. Based on assumptions.</w:t>
            </w:r>
          </w:p>
        </w:tc>
        <w:tc>
          <w:tcPr>
            <w:tcW w:w="2566" w:type="pct"/>
            <w:shd w:val="clear" w:color="auto" w:fill="auto"/>
            <w:vAlign w:val="center"/>
          </w:tcPr>
          <w:p w:rsidR="00A57376" w:rsidRPr="009F36FA" w:rsidRDefault="00A57376" w:rsidP="00BD5974">
            <w:pPr>
              <w:keepNext/>
              <w:keepLines/>
              <w:jc w:val="left"/>
              <w:rPr>
                <w:rFonts w:ascii="Arial Narrow" w:eastAsiaTheme="majorEastAsia" w:hAnsi="Arial Narrow" w:cstheme="majorBidi"/>
                <w:bCs/>
                <w:sz w:val="20"/>
                <w:lang w:val="en-US"/>
              </w:rPr>
            </w:pPr>
            <w:r w:rsidRPr="009F36FA">
              <w:rPr>
                <w:rFonts w:ascii="Arial Narrow" w:eastAsiaTheme="majorEastAsia" w:hAnsi="Arial Narrow" w:cs="Times New Roman"/>
                <w:bCs/>
                <w:iCs/>
                <w:sz w:val="20"/>
                <w:szCs w:val="22"/>
                <w:lang w:eastAsia="en-US"/>
              </w:rPr>
              <w:t xml:space="preserve">Unchanged from the previous resubmissions. </w:t>
            </w:r>
          </w:p>
        </w:tc>
      </w:tr>
      <w:tr w:rsidR="00A57376" w:rsidRPr="00142AA9" w:rsidTr="00A57376">
        <w:tc>
          <w:tcPr>
            <w:tcW w:w="950" w:type="pct"/>
            <w:shd w:val="clear" w:color="auto" w:fill="auto"/>
            <w:vAlign w:val="center"/>
          </w:tcPr>
          <w:p w:rsidR="00A57376" w:rsidRPr="009F36FA" w:rsidRDefault="001E1BA2" w:rsidP="00A57376">
            <w:pPr>
              <w:jc w:val="left"/>
              <w:rPr>
                <w:rFonts w:ascii="Arial Narrow" w:eastAsiaTheme="majorEastAsia" w:hAnsi="Arial Narrow" w:cstheme="majorBidi"/>
                <w:bCs/>
                <w:sz w:val="20"/>
                <w:lang w:val="en-US"/>
              </w:rPr>
            </w:pPr>
            <w:r w:rsidRPr="009F36FA">
              <w:rPr>
                <w:rFonts w:ascii="Arial Narrow" w:eastAsiaTheme="majorEastAsia" w:hAnsi="Arial Narrow" w:cstheme="majorBidi"/>
                <w:bCs/>
                <w:sz w:val="20"/>
                <w:lang w:val="en-US"/>
              </w:rPr>
              <w:t>Adjusting for CDI r</w:t>
            </w:r>
            <w:r w:rsidR="00A57376" w:rsidRPr="009F36FA">
              <w:rPr>
                <w:rFonts w:ascii="Arial Narrow" w:eastAsiaTheme="majorEastAsia" w:hAnsi="Arial Narrow" w:cstheme="majorBidi"/>
                <w:bCs/>
                <w:sz w:val="20"/>
                <w:lang w:val="en-US"/>
              </w:rPr>
              <w:t xml:space="preserve">ecurrence </w:t>
            </w:r>
            <w:r w:rsidRPr="009F36FA">
              <w:rPr>
                <w:rFonts w:ascii="Arial Narrow" w:eastAsiaTheme="majorEastAsia" w:hAnsi="Arial Narrow" w:cstheme="majorBidi"/>
                <w:bCs/>
                <w:sz w:val="20"/>
                <w:lang w:val="en-US"/>
              </w:rPr>
              <w:t>if</w:t>
            </w:r>
            <w:r w:rsidR="00A57376" w:rsidRPr="009F36FA">
              <w:rPr>
                <w:rFonts w:ascii="Arial Narrow" w:eastAsiaTheme="majorEastAsia" w:hAnsi="Arial Narrow" w:cstheme="majorBidi"/>
                <w:bCs/>
                <w:sz w:val="20"/>
                <w:lang w:val="en-US"/>
              </w:rPr>
              <w:t xml:space="preserve"> bezlotoxumab</w:t>
            </w:r>
            <w:r w:rsidRPr="009F36FA">
              <w:rPr>
                <w:rFonts w:ascii="Arial Narrow" w:eastAsiaTheme="majorEastAsia" w:hAnsi="Arial Narrow" w:cstheme="majorBidi"/>
                <w:bCs/>
                <w:sz w:val="20"/>
                <w:lang w:val="en-US"/>
              </w:rPr>
              <w:t xml:space="preserve"> is reimbursed</w:t>
            </w:r>
          </w:p>
        </w:tc>
        <w:tc>
          <w:tcPr>
            <w:tcW w:w="1484" w:type="pct"/>
            <w:shd w:val="clear" w:color="auto" w:fill="auto"/>
            <w:vAlign w:val="center"/>
          </w:tcPr>
          <w:p w:rsidR="00A57376" w:rsidRPr="009F36FA" w:rsidRDefault="00A57376" w:rsidP="008A0163">
            <w:pPr>
              <w:jc w:val="left"/>
              <w:rPr>
                <w:rFonts w:ascii="Arial Narrow" w:eastAsiaTheme="majorEastAsia" w:hAnsi="Arial Narrow" w:cstheme="majorBidi"/>
                <w:bCs/>
                <w:sz w:val="20"/>
                <w:lang w:val="en-US"/>
              </w:rPr>
            </w:pPr>
            <w:r w:rsidRPr="009F36FA">
              <w:rPr>
                <w:rFonts w:ascii="Arial Narrow" w:eastAsiaTheme="majorEastAsia" w:hAnsi="Arial Narrow" w:cstheme="majorBidi"/>
                <w:bCs/>
                <w:sz w:val="20"/>
                <w:lang w:val="en-US"/>
              </w:rPr>
              <w:t>12% for bezlotoxumab and 23.9% for placebo, based on assumptions</w:t>
            </w:r>
            <w:r w:rsidR="008A0163" w:rsidRPr="009F36FA">
              <w:rPr>
                <w:rFonts w:ascii="Arial Narrow" w:eastAsiaTheme="majorEastAsia" w:hAnsi="Arial Narrow" w:cstheme="majorBidi"/>
                <w:bCs/>
                <w:sz w:val="20"/>
                <w:lang w:val="en-US"/>
              </w:rPr>
              <w:t xml:space="preserve"> outlined in paragraph 6.2</w:t>
            </w:r>
            <w:r w:rsidR="007E5C9A">
              <w:rPr>
                <w:rFonts w:ascii="Arial Narrow" w:eastAsiaTheme="majorEastAsia" w:hAnsi="Arial Narrow" w:cstheme="majorBidi"/>
                <w:bCs/>
                <w:sz w:val="20"/>
                <w:lang w:val="en-US"/>
              </w:rPr>
              <w:t>8</w:t>
            </w:r>
            <w:r w:rsidRPr="009F36FA">
              <w:rPr>
                <w:rFonts w:ascii="Arial Narrow" w:eastAsiaTheme="majorEastAsia" w:hAnsi="Arial Narrow" w:cstheme="majorBidi"/>
                <w:bCs/>
                <w:sz w:val="20"/>
                <w:lang w:val="en-US"/>
              </w:rPr>
              <w:t>.</w:t>
            </w:r>
          </w:p>
        </w:tc>
        <w:tc>
          <w:tcPr>
            <w:tcW w:w="2566" w:type="pct"/>
            <w:shd w:val="clear" w:color="auto" w:fill="auto"/>
            <w:vAlign w:val="center"/>
          </w:tcPr>
          <w:p w:rsidR="00A57376" w:rsidRPr="009F36FA" w:rsidRDefault="00A57376" w:rsidP="00A57376">
            <w:pPr>
              <w:jc w:val="left"/>
              <w:rPr>
                <w:rFonts w:ascii="Arial Narrow" w:eastAsiaTheme="majorEastAsia" w:hAnsi="Arial Narrow" w:cs="Times New Roman"/>
                <w:bCs/>
                <w:iCs/>
                <w:sz w:val="20"/>
                <w:szCs w:val="22"/>
                <w:lang w:eastAsia="en-US"/>
              </w:rPr>
            </w:pPr>
            <w:r w:rsidRPr="009F36FA">
              <w:rPr>
                <w:rFonts w:ascii="Arial Narrow" w:eastAsia="Calibri" w:hAnsi="Arial Narrow" w:cstheme="majorBidi"/>
                <w:bCs/>
                <w:iCs/>
                <w:sz w:val="20"/>
                <w:szCs w:val="22"/>
                <w:lang w:eastAsia="en-US"/>
              </w:rPr>
              <w:t>Methodology unchanged from the previous resubmission, but CDI recurrence rates were updated in line</w:t>
            </w:r>
            <w:r w:rsidR="00983EBB" w:rsidRPr="009F36FA">
              <w:rPr>
                <w:rFonts w:ascii="Arial Narrow" w:eastAsia="Calibri" w:hAnsi="Arial Narrow" w:cstheme="majorBidi"/>
                <w:bCs/>
                <w:iCs/>
                <w:sz w:val="20"/>
                <w:szCs w:val="22"/>
                <w:lang w:eastAsia="en-US"/>
              </w:rPr>
              <w:t xml:space="preserve"> with</w:t>
            </w:r>
            <w:r w:rsidRPr="009F36FA">
              <w:rPr>
                <w:rFonts w:ascii="Arial Narrow" w:eastAsia="Calibri" w:hAnsi="Arial Narrow" w:cstheme="majorBidi"/>
                <w:bCs/>
                <w:iCs/>
                <w:sz w:val="20"/>
                <w:szCs w:val="22"/>
                <w:lang w:eastAsia="en-US"/>
              </w:rPr>
              <w:t xml:space="preserve"> the economic evaluation.  It is not known what the true rate of recurrence is in the proposed population.</w:t>
            </w:r>
          </w:p>
        </w:tc>
      </w:tr>
      <w:tr w:rsidR="00EC43FB" w:rsidRPr="00142AA9" w:rsidTr="00F40ACC">
        <w:tc>
          <w:tcPr>
            <w:tcW w:w="950" w:type="pct"/>
            <w:shd w:val="clear" w:color="auto" w:fill="auto"/>
            <w:vAlign w:val="center"/>
          </w:tcPr>
          <w:p w:rsidR="00EC43FB" w:rsidRPr="009F36FA" w:rsidRDefault="00EC43FB" w:rsidP="00EC43FB">
            <w:pPr>
              <w:jc w:val="left"/>
              <w:rPr>
                <w:rFonts w:ascii="Arial Narrow" w:eastAsiaTheme="majorEastAsia" w:hAnsi="Arial Narrow" w:cstheme="majorBidi"/>
                <w:bCs/>
                <w:sz w:val="20"/>
                <w:lang w:val="en-US"/>
              </w:rPr>
            </w:pPr>
            <w:r w:rsidRPr="009F36FA">
              <w:rPr>
                <w:rFonts w:ascii="Arial Narrow" w:hAnsi="Arial Narrow" w:cs="Times New Roman"/>
                <w:sz w:val="20"/>
                <w:szCs w:val="22"/>
                <w:lang w:eastAsia="en-US"/>
              </w:rPr>
              <w:t>Bezlotoxumab dose/vials per patient</w:t>
            </w:r>
          </w:p>
        </w:tc>
        <w:tc>
          <w:tcPr>
            <w:tcW w:w="1484" w:type="pct"/>
            <w:shd w:val="clear" w:color="auto" w:fill="auto"/>
            <w:vAlign w:val="center"/>
          </w:tcPr>
          <w:p w:rsidR="00EC43FB" w:rsidRPr="009F36FA" w:rsidRDefault="00EC43FB" w:rsidP="00EC43FB">
            <w:pPr>
              <w:jc w:val="left"/>
              <w:rPr>
                <w:rFonts w:ascii="Arial Narrow" w:eastAsiaTheme="majorEastAsia" w:hAnsi="Arial Narrow" w:cstheme="majorBidi"/>
                <w:bCs/>
                <w:sz w:val="20"/>
                <w:lang w:val="en-US"/>
              </w:rPr>
            </w:pPr>
            <w:r w:rsidRPr="009F36FA">
              <w:rPr>
                <w:rFonts w:ascii="Arial Narrow" w:hAnsi="Arial Narrow" w:cs="Times New Roman"/>
                <w:sz w:val="20"/>
                <w:szCs w:val="22"/>
                <w:lang w:eastAsia="en-US"/>
              </w:rPr>
              <w:t xml:space="preserve">4.4%, based on proportion of patients weighing &gt;100kg in the relevant MODIFY subgroup </w:t>
            </w:r>
          </w:p>
        </w:tc>
        <w:tc>
          <w:tcPr>
            <w:tcW w:w="2566" w:type="pct"/>
            <w:shd w:val="clear" w:color="auto" w:fill="auto"/>
            <w:vAlign w:val="center"/>
          </w:tcPr>
          <w:p w:rsidR="00EC43FB" w:rsidRPr="009F36FA" w:rsidRDefault="00EC43FB" w:rsidP="00EC43FB">
            <w:pPr>
              <w:jc w:val="left"/>
              <w:rPr>
                <w:rFonts w:ascii="Arial Narrow" w:eastAsia="Calibri" w:hAnsi="Arial Narrow" w:cstheme="majorBidi"/>
                <w:bCs/>
                <w:iCs/>
                <w:sz w:val="20"/>
                <w:szCs w:val="22"/>
                <w:lang w:eastAsia="en-US"/>
              </w:rPr>
            </w:pPr>
            <w:r w:rsidRPr="009F36FA">
              <w:rPr>
                <w:rFonts w:ascii="Arial Narrow" w:eastAsia="Calibri" w:hAnsi="Arial Narrow"/>
                <w:iCs/>
                <w:sz w:val="20"/>
                <w:szCs w:val="22"/>
                <w:lang w:eastAsia="en-US"/>
              </w:rPr>
              <w:t>Reasonable. Parameter revised from the previous resubmi</w:t>
            </w:r>
            <w:r w:rsidR="00E078A9" w:rsidRPr="009F36FA">
              <w:rPr>
                <w:rFonts w:ascii="Arial Narrow" w:eastAsia="Calibri" w:hAnsi="Arial Narrow"/>
                <w:iCs/>
                <w:sz w:val="20"/>
                <w:szCs w:val="22"/>
                <w:lang w:eastAsia="en-US"/>
              </w:rPr>
              <w:t>ssion based on the new subgroup.</w:t>
            </w:r>
          </w:p>
        </w:tc>
      </w:tr>
      <w:tr w:rsidR="00A57376" w:rsidRPr="00142AA9" w:rsidTr="00A57376">
        <w:tc>
          <w:tcPr>
            <w:tcW w:w="950" w:type="pct"/>
            <w:shd w:val="clear" w:color="auto" w:fill="auto"/>
            <w:vAlign w:val="center"/>
          </w:tcPr>
          <w:p w:rsidR="00A57376" w:rsidRPr="009F36FA" w:rsidRDefault="00A57376" w:rsidP="00A57376">
            <w:pPr>
              <w:jc w:val="left"/>
              <w:rPr>
                <w:rFonts w:ascii="Arial Narrow" w:eastAsiaTheme="majorEastAsia" w:hAnsi="Arial Narrow" w:cstheme="majorBidi"/>
                <w:bCs/>
                <w:sz w:val="20"/>
                <w:lang w:val="en-US"/>
              </w:rPr>
            </w:pPr>
            <w:r w:rsidRPr="009F36FA">
              <w:rPr>
                <w:rFonts w:ascii="Arial Narrow" w:eastAsiaTheme="majorEastAsia" w:hAnsi="Arial Narrow" w:cstheme="majorBidi"/>
                <w:bCs/>
                <w:sz w:val="20"/>
                <w:lang w:val="en-US"/>
              </w:rPr>
              <w:t>MBS item</w:t>
            </w:r>
          </w:p>
        </w:tc>
        <w:tc>
          <w:tcPr>
            <w:tcW w:w="1484" w:type="pct"/>
            <w:shd w:val="clear" w:color="auto" w:fill="auto"/>
            <w:vAlign w:val="center"/>
          </w:tcPr>
          <w:p w:rsidR="00A57376" w:rsidRPr="009F36FA" w:rsidRDefault="00A57376" w:rsidP="00A57376">
            <w:pPr>
              <w:jc w:val="left"/>
              <w:rPr>
                <w:rFonts w:ascii="Arial Narrow" w:eastAsiaTheme="majorEastAsia" w:hAnsi="Arial Narrow" w:cstheme="majorBidi"/>
                <w:bCs/>
                <w:sz w:val="20"/>
                <w:lang w:val="en-US"/>
              </w:rPr>
            </w:pPr>
            <w:r w:rsidRPr="009F36FA">
              <w:rPr>
                <w:rFonts w:ascii="Arial Narrow" w:eastAsiaTheme="majorEastAsia" w:hAnsi="Arial Narrow" w:cstheme="majorBidi"/>
                <w:bCs/>
                <w:sz w:val="20"/>
                <w:lang w:val="en-US"/>
              </w:rPr>
              <w:t>$99.50 for bezlotoxumab infusion based on MBS item 14245.</w:t>
            </w:r>
          </w:p>
        </w:tc>
        <w:tc>
          <w:tcPr>
            <w:tcW w:w="2566" w:type="pct"/>
            <w:shd w:val="clear" w:color="auto" w:fill="auto"/>
            <w:vAlign w:val="center"/>
          </w:tcPr>
          <w:p w:rsidR="00A57376" w:rsidRPr="009F36FA" w:rsidRDefault="00A57376" w:rsidP="00A57376">
            <w:pPr>
              <w:jc w:val="left"/>
              <w:rPr>
                <w:rFonts w:ascii="Arial Narrow" w:hAnsi="Arial Narrow" w:cs="Times New Roman"/>
                <w:iCs/>
                <w:sz w:val="20"/>
                <w:szCs w:val="22"/>
                <w:lang w:eastAsia="en-US"/>
              </w:rPr>
            </w:pPr>
            <w:r w:rsidRPr="009F36FA">
              <w:rPr>
                <w:rFonts w:ascii="Arial Narrow" w:hAnsi="Arial Narrow" w:cs="Times New Roman"/>
                <w:iCs/>
                <w:sz w:val="20"/>
                <w:szCs w:val="22"/>
                <w:lang w:eastAsia="en-US"/>
              </w:rPr>
              <w:t>Item number unchanged from the previous resubmission but the unit cost was updat</w:t>
            </w:r>
            <w:r w:rsidR="00FC248A" w:rsidRPr="009F36FA">
              <w:rPr>
                <w:rFonts w:ascii="Arial Narrow" w:hAnsi="Arial Narrow" w:cs="Times New Roman"/>
                <w:iCs/>
                <w:sz w:val="20"/>
                <w:szCs w:val="22"/>
                <w:lang w:eastAsia="en-US"/>
              </w:rPr>
              <w:t>ed.</w:t>
            </w:r>
          </w:p>
        </w:tc>
      </w:tr>
    </w:tbl>
    <w:p w:rsidR="00A57376" w:rsidRPr="00142AA9" w:rsidRDefault="00A57376" w:rsidP="00A57376">
      <w:pPr>
        <w:spacing w:after="120"/>
        <w:contextualSpacing/>
        <w:rPr>
          <w:rFonts w:ascii="Arial Narrow" w:hAnsi="Arial Narrow"/>
          <w:snapToGrid w:val="0"/>
          <w:sz w:val="18"/>
          <w:szCs w:val="22"/>
        </w:rPr>
      </w:pPr>
      <w:r w:rsidRPr="00142AA9">
        <w:rPr>
          <w:rFonts w:ascii="Arial Narrow" w:hAnsi="Arial Narrow"/>
          <w:snapToGrid w:val="0"/>
          <w:sz w:val="18"/>
          <w:szCs w:val="22"/>
        </w:rPr>
        <w:t xml:space="preserve">Source: </w:t>
      </w:r>
      <w:r w:rsidRPr="00142AA9">
        <w:rPr>
          <w:rFonts w:ascii="Arial Narrow" w:hAnsi="Arial Narrow"/>
          <w:snapToGrid w:val="0"/>
          <w:sz w:val="18"/>
          <w:szCs w:val="22"/>
          <w:lang w:eastAsia="en-US"/>
        </w:rPr>
        <w:t>Constructed during the evaluation from Bezlotoxumab Section 4 Workbook of the resubmission</w:t>
      </w:r>
      <w:r w:rsidRPr="00142AA9">
        <w:rPr>
          <w:rFonts w:ascii="Arial Narrow" w:hAnsi="Arial Narrow"/>
          <w:snapToGrid w:val="0"/>
          <w:sz w:val="18"/>
          <w:szCs w:val="22"/>
        </w:rPr>
        <w:t>.</w:t>
      </w:r>
    </w:p>
    <w:p w:rsidR="00A57376" w:rsidRPr="00A873A2" w:rsidRDefault="008A0163" w:rsidP="00A57376">
      <w:pPr>
        <w:spacing w:after="120"/>
        <w:contextualSpacing/>
        <w:rPr>
          <w:rFonts w:ascii="Arial Narrow" w:hAnsi="Arial Narrow"/>
          <w:snapToGrid w:val="0"/>
          <w:sz w:val="18"/>
          <w:szCs w:val="22"/>
          <w:lang w:eastAsia="en-US"/>
        </w:rPr>
      </w:pPr>
      <w:r w:rsidRPr="00A873A2">
        <w:rPr>
          <w:rFonts w:ascii="Arial Narrow" w:hAnsi="Arial Narrow"/>
          <w:snapToGrid w:val="0"/>
          <w:sz w:val="18"/>
          <w:szCs w:val="22"/>
          <w:vertAlign w:val="superscript"/>
        </w:rPr>
        <w:t>a</w:t>
      </w:r>
      <w:r w:rsidRPr="00A873A2">
        <w:rPr>
          <w:rFonts w:ascii="Arial Narrow" w:hAnsi="Arial Narrow"/>
          <w:snapToGrid w:val="0"/>
          <w:sz w:val="18"/>
          <w:szCs w:val="22"/>
        </w:rPr>
        <w:t xml:space="preserve"> </w:t>
      </w:r>
      <w:r w:rsidRPr="00A873A2">
        <w:rPr>
          <w:rFonts w:ascii="Arial Narrow" w:hAnsi="Arial Narrow"/>
          <w:snapToGrid w:val="0"/>
          <w:sz w:val="18"/>
          <w:szCs w:val="22"/>
          <w:lang w:eastAsia="en-US"/>
        </w:rPr>
        <w:t>Australian Institute of Health and Welfare 2019. Admitted patient care 2017–18: Australian hospital statistics. Health services series no. 90. Cat. no. HSE 225. Canberra: AIHW.</w:t>
      </w:r>
    </w:p>
    <w:p w:rsidR="00A57376" w:rsidRPr="00FC248A" w:rsidRDefault="00A57376" w:rsidP="00006346">
      <w:pPr>
        <w:pStyle w:val="3-BodyText"/>
      </w:pPr>
      <w:r w:rsidRPr="00FC248A">
        <w:t>Table 1</w:t>
      </w:r>
      <w:r w:rsidR="00C07BDB">
        <w:t>5</w:t>
      </w:r>
      <w:r w:rsidRPr="00FC248A">
        <w:t xml:space="preserve"> presents the estimated use and financial implications of listing bezlotoxumab on the PBS.</w:t>
      </w:r>
    </w:p>
    <w:p w:rsidR="00A57376" w:rsidRPr="002477AF" w:rsidRDefault="00A57376" w:rsidP="00EB6077">
      <w:pPr>
        <w:keepNext/>
        <w:keepLines/>
        <w:jc w:val="left"/>
        <w:rPr>
          <w:rFonts w:ascii="Arial Narrow" w:eastAsiaTheme="majorEastAsia" w:hAnsi="Arial Narrow" w:cstheme="majorBidi"/>
          <w:b/>
          <w:bCs/>
          <w:sz w:val="20"/>
        </w:rPr>
      </w:pPr>
      <w:r w:rsidRPr="00FC248A">
        <w:rPr>
          <w:rFonts w:ascii="Arial Narrow" w:eastAsiaTheme="majorEastAsia" w:hAnsi="Arial Narrow" w:cstheme="majorBidi"/>
          <w:b/>
          <w:bCs/>
          <w:sz w:val="20"/>
        </w:rPr>
        <w:lastRenderedPageBreak/>
        <w:t>Table 1</w:t>
      </w:r>
      <w:r w:rsidR="00C07BDB">
        <w:rPr>
          <w:rFonts w:ascii="Arial Narrow" w:eastAsiaTheme="majorEastAsia" w:hAnsi="Arial Narrow" w:cstheme="majorBidi"/>
          <w:b/>
          <w:bCs/>
          <w:sz w:val="20"/>
        </w:rPr>
        <w:t>5</w:t>
      </w:r>
      <w:r w:rsidRPr="00FC248A">
        <w:rPr>
          <w:rFonts w:ascii="Arial Narrow" w:eastAsiaTheme="majorEastAsia" w:hAnsi="Arial Narrow" w:cstheme="majorBidi"/>
          <w:b/>
          <w:bCs/>
          <w:sz w:val="20"/>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A57376" w:rsidRPr="002477AF" w:rsidTr="00A57376">
        <w:trPr>
          <w:tblHeader/>
        </w:trPr>
        <w:tc>
          <w:tcPr>
            <w:tcW w:w="1116" w:type="pct"/>
            <w:shd w:val="clear" w:color="auto" w:fill="auto"/>
            <w:vAlign w:val="center"/>
          </w:tcPr>
          <w:p w:rsidR="00A57376" w:rsidRPr="009F36FA" w:rsidRDefault="00A57376" w:rsidP="00EB6077">
            <w:pPr>
              <w:keepNext/>
              <w:keepLines/>
              <w:jc w:val="center"/>
              <w:rPr>
                <w:rFonts w:ascii="Arial Narrow" w:eastAsiaTheme="majorEastAsia" w:hAnsi="Arial Narrow" w:cs="Times New Roman"/>
                <w:b/>
                <w:sz w:val="20"/>
                <w:lang w:val="en-US"/>
              </w:rPr>
            </w:pP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imes New Roman"/>
                <w:b/>
                <w:sz w:val="20"/>
                <w:lang w:val="en-US"/>
              </w:rPr>
            </w:pPr>
            <w:r w:rsidRPr="009F36FA">
              <w:rPr>
                <w:rFonts w:ascii="Arial Narrow" w:eastAsiaTheme="majorEastAsia" w:hAnsi="Arial Narrow" w:cs="Times New Roman"/>
                <w:b/>
                <w:sz w:val="20"/>
                <w:lang w:val="en-US"/>
              </w:rPr>
              <w:t>Year 1</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imes New Roman"/>
                <w:b/>
                <w:sz w:val="20"/>
                <w:lang w:val="en-US"/>
              </w:rPr>
            </w:pPr>
            <w:r w:rsidRPr="009F36FA">
              <w:rPr>
                <w:rFonts w:ascii="Arial Narrow" w:eastAsiaTheme="majorEastAsia" w:hAnsi="Arial Narrow" w:cs="Times New Roman"/>
                <w:b/>
                <w:sz w:val="20"/>
                <w:lang w:val="en-US"/>
              </w:rPr>
              <w:t>Year 2</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imes New Roman"/>
                <w:b/>
                <w:sz w:val="20"/>
                <w:lang w:val="en-US"/>
              </w:rPr>
            </w:pPr>
            <w:r w:rsidRPr="009F36FA">
              <w:rPr>
                <w:rFonts w:ascii="Arial Narrow" w:eastAsiaTheme="majorEastAsia" w:hAnsi="Arial Narrow" w:cs="Times New Roman"/>
                <w:b/>
                <w:sz w:val="20"/>
                <w:lang w:val="en-US"/>
              </w:rPr>
              <w:t>Year 3</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imes New Roman"/>
                <w:b/>
                <w:sz w:val="20"/>
                <w:lang w:val="en-US"/>
              </w:rPr>
            </w:pPr>
            <w:r w:rsidRPr="009F36FA">
              <w:rPr>
                <w:rFonts w:ascii="Arial Narrow" w:eastAsiaTheme="majorEastAsia" w:hAnsi="Arial Narrow" w:cs="Times New Roman"/>
                <w:b/>
                <w:sz w:val="20"/>
                <w:lang w:val="en-US"/>
              </w:rPr>
              <w:t>Year 4</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imes New Roman"/>
                <w:b/>
                <w:sz w:val="20"/>
                <w:lang w:val="en-US"/>
              </w:rPr>
            </w:pPr>
            <w:r w:rsidRPr="009F36FA">
              <w:rPr>
                <w:rFonts w:ascii="Arial Narrow" w:eastAsiaTheme="majorEastAsia" w:hAnsi="Arial Narrow" w:cs="Times New Roman"/>
                <w:b/>
                <w:sz w:val="20"/>
                <w:lang w:val="en-US"/>
              </w:rPr>
              <w:t>Year 5</w:t>
            </w:r>
          </w:p>
        </w:tc>
        <w:tc>
          <w:tcPr>
            <w:tcW w:w="649" w:type="pct"/>
          </w:tcPr>
          <w:p w:rsidR="00A57376" w:rsidRPr="009F36FA" w:rsidRDefault="00A57376" w:rsidP="00EB6077">
            <w:pPr>
              <w:keepNext/>
              <w:keepLines/>
              <w:jc w:val="center"/>
              <w:rPr>
                <w:rFonts w:ascii="Arial Narrow" w:eastAsiaTheme="majorEastAsia" w:hAnsi="Arial Narrow" w:cs="Times New Roman"/>
                <w:b/>
                <w:sz w:val="20"/>
                <w:lang w:val="en-US"/>
              </w:rPr>
            </w:pPr>
            <w:r w:rsidRPr="009F36FA">
              <w:rPr>
                <w:rFonts w:ascii="Arial Narrow" w:eastAsiaTheme="majorEastAsia" w:hAnsi="Arial Narrow" w:cs="Times New Roman"/>
                <w:b/>
                <w:sz w:val="20"/>
                <w:lang w:val="en-US"/>
              </w:rPr>
              <w:t>Year 6</w:t>
            </w:r>
          </w:p>
        </w:tc>
      </w:tr>
      <w:tr w:rsidR="00A57376" w:rsidRPr="002477AF" w:rsidTr="00A57376">
        <w:tc>
          <w:tcPr>
            <w:tcW w:w="5000" w:type="pct"/>
            <w:gridSpan w:val="7"/>
            <w:shd w:val="clear" w:color="auto" w:fill="auto"/>
            <w:vAlign w:val="center"/>
          </w:tcPr>
          <w:p w:rsidR="00A57376" w:rsidRPr="009F36FA" w:rsidRDefault="00A57376" w:rsidP="00EB6077">
            <w:pPr>
              <w:keepNext/>
              <w:keepLines/>
              <w:jc w:val="left"/>
              <w:rPr>
                <w:rFonts w:ascii="Arial Narrow" w:eastAsiaTheme="majorEastAsia" w:hAnsi="Arial Narrow" w:cs="Times New Roman"/>
                <w:b/>
                <w:bCs/>
                <w:color w:val="000000"/>
                <w:sz w:val="20"/>
                <w:lang w:val="en-US"/>
              </w:rPr>
            </w:pPr>
            <w:r w:rsidRPr="009F36FA">
              <w:rPr>
                <w:rFonts w:ascii="Arial Narrow" w:eastAsiaTheme="majorEastAsia" w:hAnsi="Arial Narrow" w:cs="Times New Roman"/>
                <w:b/>
                <w:bCs/>
                <w:color w:val="000000"/>
                <w:sz w:val="20"/>
                <w:lang w:val="en-US"/>
              </w:rPr>
              <w:t>Estimated extent of use</w:t>
            </w:r>
          </w:p>
        </w:tc>
      </w:tr>
      <w:tr w:rsidR="00A57376" w:rsidRPr="002477AF" w:rsidTr="00FC248A">
        <w:tc>
          <w:tcPr>
            <w:tcW w:w="1116" w:type="pct"/>
            <w:shd w:val="clear" w:color="auto" w:fill="auto"/>
            <w:vAlign w:val="center"/>
          </w:tcPr>
          <w:p w:rsidR="00A57376" w:rsidRPr="009F36FA" w:rsidRDefault="00A57376" w:rsidP="00EB6077">
            <w:pPr>
              <w:keepNext/>
              <w:keepLines/>
              <w:jc w:val="left"/>
              <w:rPr>
                <w:rFonts w:ascii="Arial Narrow" w:eastAsiaTheme="majorEastAsia" w:hAnsi="Arial Narrow" w:cstheme="majorBidi"/>
                <w:bCs/>
                <w:sz w:val="20"/>
              </w:rPr>
            </w:pPr>
            <w:r w:rsidRPr="009F36FA">
              <w:rPr>
                <w:rFonts w:ascii="Arial Narrow" w:eastAsiaTheme="majorEastAsia" w:hAnsi="Arial Narrow" w:cstheme="majorBidi"/>
                <w:bCs/>
                <w:sz w:val="20"/>
              </w:rPr>
              <w:t>Number of eligible patient episodes</w:t>
            </w:r>
          </w:p>
        </w:tc>
        <w:tc>
          <w:tcPr>
            <w:tcW w:w="647" w:type="pct"/>
            <w:shd w:val="clear" w:color="auto" w:fill="auto"/>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c>
          <w:tcPr>
            <w:tcW w:w="647" w:type="pct"/>
            <w:shd w:val="clear" w:color="auto" w:fill="auto"/>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c>
          <w:tcPr>
            <w:tcW w:w="647" w:type="pct"/>
            <w:shd w:val="clear" w:color="auto" w:fill="auto"/>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c>
          <w:tcPr>
            <w:tcW w:w="647" w:type="pct"/>
            <w:shd w:val="clear" w:color="auto" w:fill="auto"/>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c>
          <w:tcPr>
            <w:tcW w:w="647" w:type="pct"/>
            <w:shd w:val="clear" w:color="auto" w:fill="auto"/>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c>
          <w:tcPr>
            <w:tcW w:w="649" w:type="pct"/>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r>
      <w:tr w:rsidR="00A57376" w:rsidRPr="002477AF" w:rsidTr="00A57376">
        <w:tc>
          <w:tcPr>
            <w:tcW w:w="1116" w:type="pct"/>
            <w:shd w:val="clear" w:color="auto" w:fill="auto"/>
            <w:vAlign w:val="center"/>
          </w:tcPr>
          <w:p w:rsidR="00A57376" w:rsidRPr="009F36FA" w:rsidRDefault="00A57376" w:rsidP="00EB6077">
            <w:pPr>
              <w:keepNext/>
              <w:keepLines/>
              <w:jc w:val="left"/>
              <w:rPr>
                <w:rFonts w:ascii="Times" w:eastAsiaTheme="majorEastAsia" w:hAnsi="Times" w:cstheme="majorBidi"/>
                <w:bCs/>
                <w:sz w:val="20"/>
              </w:rPr>
            </w:pPr>
            <w:r w:rsidRPr="009F36FA">
              <w:rPr>
                <w:rFonts w:ascii="Arial Narrow" w:eastAsiaTheme="majorEastAsia" w:hAnsi="Arial Narrow" w:cstheme="majorBidi"/>
                <w:bCs/>
                <w:sz w:val="20"/>
              </w:rPr>
              <w:t>Number of patient episodes treated</w:t>
            </w:r>
          </w:p>
        </w:tc>
        <w:tc>
          <w:tcPr>
            <w:tcW w:w="647" w:type="pct"/>
            <w:shd w:val="clear" w:color="auto" w:fill="auto"/>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c>
          <w:tcPr>
            <w:tcW w:w="647" w:type="pct"/>
            <w:shd w:val="clear" w:color="auto" w:fill="auto"/>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c>
          <w:tcPr>
            <w:tcW w:w="647" w:type="pct"/>
            <w:shd w:val="clear" w:color="auto" w:fill="auto"/>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c>
          <w:tcPr>
            <w:tcW w:w="647" w:type="pct"/>
            <w:shd w:val="clear" w:color="auto" w:fill="auto"/>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c>
          <w:tcPr>
            <w:tcW w:w="647" w:type="pct"/>
            <w:shd w:val="clear" w:color="auto" w:fill="auto"/>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c>
          <w:tcPr>
            <w:tcW w:w="649" w:type="pct"/>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r>
      <w:tr w:rsidR="00A57376" w:rsidRPr="002477AF" w:rsidTr="00A57376">
        <w:tc>
          <w:tcPr>
            <w:tcW w:w="1116" w:type="pct"/>
            <w:shd w:val="clear" w:color="auto" w:fill="auto"/>
            <w:vAlign w:val="center"/>
          </w:tcPr>
          <w:p w:rsidR="00A57376" w:rsidRPr="009F36FA" w:rsidRDefault="00A57376" w:rsidP="00EB6077">
            <w:pPr>
              <w:keepNext/>
              <w:keepLines/>
              <w:jc w:val="left"/>
              <w:rPr>
                <w:rFonts w:ascii="Times" w:eastAsiaTheme="majorEastAsia" w:hAnsi="Times" w:cstheme="majorBidi"/>
                <w:bCs/>
                <w:sz w:val="20"/>
              </w:rPr>
            </w:pPr>
            <w:r w:rsidRPr="009F36FA">
              <w:rPr>
                <w:rFonts w:ascii="Arial Narrow" w:eastAsiaTheme="majorEastAsia" w:hAnsi="Arial Narrow" w:cstheme="majorBidi"/>
                <w:bCs/>
                <w:sz w:val="20"/>
              </w:rPr>
              <w:t>Number of vials dispensed</w:t>
            </w:r>
            <w:r w:rsidRPr="009F36FA">
              <w:rPr>
                <w:rFonts w:ascii="Arial Narrow" w:eastAsiaTheme="majorEastAsia" w:hAnsi="Arial Narrow" w:cstheme="majorBidi"/>
                <w:bCs/>
                <w:sz w:val="20"/>
                <w:vertAlign w:val="superscript"/>
              </w:rPr>
              <w:t>a</w:t>
            </w:r>
          </w:p>
        </w:tc>
        <w:tc>
          <w:tcPr>
            <w:tcW w:w="647" w:type="pct"/>
            <w:shd w:val="clear" w:color="auto" w:fill="auto"/>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c>
          <w:tcPr>
            <w:tcW w:w="647" w:type="pct"/>
            <w:shd w:val="clear" w:color="auto" w:fill="auto"/>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c>
          <w:tcPr>
            <w:tcW w:w="647" w:type="pct"/>
            <w:shd w:val="clear" w:color="auto" w:fill="auto"/>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c>
          <w:tcPr>
            <w:tcW w:w="647" w:type="pct"/>
            <w:shd w:val="clear" w:color="auto" w:fill="auto"/>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c>
          <w:tcPr>
            <w:tcW w:w="647" w:type="pct"/>
            <w:shd w:val="clear" w:color="auto" w:fill="auto"/>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c>
          <w:tcPr>
            <w:tcW w:w="649" w:type="pct"/>
            <w:vAlign w:val="center"/>
          </w:tcPr>
          <w:p w:rsidR="00A57376" w:rsidRPr="006F551D" w:rsidRDefault="006F551D" w:rsidP="00EB6077">
            <w:pPr>
              <w:keepNext/>
              <w:keepLines/>
              <w:jc w:val="center"/>
              <w:rPr>
                <w:rFonts w:ascii="Arial Narrow" w:eastAsiaTheme="majorEastAsia" w:hAnsi="Arial Narrow" w:cstheme="majorBidi"/>
                <w:bCs/>
                <w:color w:val="000000"/>
                <w:sz w:val="20"/>
                <w:highlight w:val="black"/>
              </w:rPr>
            </w:pPr>
            <w:r>
              <w:rPr>
                <w:rFonts w:ascii="Arial Narrow" w:eastAsiaTheme="majorEastAsia" w:hAnsi="Arial Narrow" w:cstheme="majorBidi"/>
                <w:bCs/>
                <w:noProof/>
                <w:color w:val="000000"/>
                <w:sz w:val="20"/>
                <w:highlight w:val="black"/>
              </w:rPr>
              <w:t>'''''''''''''</w:t>
            </w:r>
          </w:p>
        </w:tc>
      </w:tr>
      <w:tr w:rsidR="00A57376" w:rsidRPr="002477AF" w:rsidTr="00A57376">
        <w:tc>
          <w:tcPr>
            <w:tcW w:w="5000" w:type="pct"/>
            <w:gridSpan w:val="7"/>
            <w:shd w:val="clear" w:color="auto" w:fill="auto"/>
            <w:vAlign w:val="center"/>
          </w:tcPr>
          <w:p w:rsidR="00A57376" w:rsidRPr="009F36FA" w:rsidRDefault="00A57376" w:rsidP="00EB6077">
            <w:pPr>
              <w:keepNext/>
              <w:keepLines/>
              <w:jc w:val="left"/>
              <w:rPr>
                <w:rFonts w:ascii="Arial Narrow" w:eastAsiaTheme="majorEastAsia" w:hAnsi="Arial Narrow" w:cs="Times New Roman"/>
                <w:b/>
                <w:sz w:val="20"/>
                <w:lang w:val="en-US"/>
              </w:rPr>
            </w:pPr>
            <w:r w:rsidRPr="009F36FA">
              <w:rPr>
                <w:rFonts w:ascii="Arial Narrow" w:eastAsiaTheme="majorEastAsia" w:hAnsi="Arial Narrow" w:cs="Times New Roman"/>
                <w:b/>
                <w:sz w:val="20"/>
                <w:lang w:val="en-US"/>
              </w:rPr>
              <w:t>Estimated financial implications of bezlotoxumab</w:t>
            </w:r>
          </w:p>
        </w:tc>
      </w:tr>
      <w:tr w:rsidR="00A57376" w:rsidRPr="002477AF" w:rsidTr="00A57376">
        <w:tc>
          <w:tcPr>
            <w:tcW w:w="1116" w:type="pct"/>
            <w:shd w:val="clear" w:color="auto" w:fill="auto"/>
            <w:vAlign w:val="center"/>
          </w:tcPr>
          <w:p w:rsidR="00A57376" w:rsidRPr="009F36FA" w:rsidRDefault="00A57376" w:rsidP="00EB6077">
            <w:pPr>
              <w:keepNext/>
              <w:keepLines/>
              <w:jc w:val="left"/>
              <w:rPr>
                <w:rFonts w:ascii="Arial Narrow" w:eastAsiaTheme="majorEastAsia" w:hAnsi="Arial Narrow" w:cstheme="majorBidi"/>
                <w:bCs/>
                <w:sz w:val="19"/>
                <w:szCs w:val="19"/>
              </w:rPr>
            </w:pPr>
            <w:r w:rsidRPr="009F36FA">
              <w:rPr>
                <w:rFonts w:ascii="Arial Narrow" w:eastAsiaTheme="majorEastAsia" w:hAnsi="Arial Narrow" w:cstheme="majorBidi"/>
                <w:bCs/>
                <w:sz w:val="19"/>
                <w:szCs w:val="19"/>
              </w:rPr>
              <w:t>Cost to PBS/RPBS less copayments</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9"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r>
      <w:tr w:rsidR="00A57376" w:rsidRPr="002477AF" w:rsidTr="00A57376">
        <w:tc>
          <w:tcPr>
            <w:tcW w:w="5000" w:type="pct"/>
            <w:gridSpan w:val="7"/>
            <w:shd w:val="clear" w:color="auto" w:fill="auto"/>
            <w:vAlign w:val="center"/>
          </w:tcPr>
          <w:p w:rsidR="00A57376" w:rsidRPr="009F36FA" w:rsidRDefault="00A57376" w:rsidP="00EB6077">
            <w:pPr>
              <w:keepNext/>
              <w:keepLines/>
              <w:jc w:val="left"/>
              <w:rPr>
                <w:rFonts w:ascii="Arial Narrow" w:eastAsiaTheme="majorEastAsia" w:hAnsi="Arial Narrow" w:cstheme="majorBidi"/>
                <w:bCs/>
                <w:sz w:val="20"/>
                <w:szCs w:val="20"/>
              </w:rPr>
            </w:pPr>
            <w:r w:rsidRPr="009F36FA">
              <w:rPr>
                <w:rFonts w:ascii="Arial Narrow" w:eastAsiaTheme="majorEastAsia" w:hAnsi="Arial Narrow" w:cstheme="majorBidi"/>
                <w:bCs/>
                <w:sz w:val="20"/>
                <w:szCs w:val="20"/>
              </w:rPr>
              <w:t>Estimated financial implications for vancomycin</w:t>
            </w:r>
          </w:p>
        </w:tc>
      </w:tr>
      <w:tr w:rsidR="00A57376" w:rsidRPr="002477AF" w:rsidTr="00A57376">
        <w:tc>
          <w:tcPr>
            <w:tcW w:w="1116" w:type="pct"/>
            <w:shd w:val="clear" w:color="auto" w:fill="auto"/>
            <w:vAlign w:val="center"/>
          </w:tcPr>
          <w:p w:rsidR="00A57376" w:rsidRPr="009F36FA" w:rsidRDefault="00A57376" w:rsidP="00EB6077">
            <w:pPr>
              <w:keepNext/>
              <w:keepLines/>
              <w:jc w:val="left"/>
              <w:rPr>
                <w:rFonts w:ascii="Arial Narrow" w:eastAsiaTheme="majorEastAsia" w:hAnsi="Arial Narrow" w:cstheme="majorBidi"/>
                <w:bCs/>
                <w:sz w:val="19"/>
                <w:szCs w:val="19"/>
              </w:rPr>
            </w:pPr>
            <w:r w:rsidRPr="009F36FA">
              <w:rPr>
                <w:rFonts w:ascii="Arial Narrow" w:eastAsiaTheme="majorEastAsia" w:hAnsi="Arial Narrow" w:cstheme="majorBidi"/>
                <w:bCs/>
                <w:sz w:val="19"/>
                <w:szCs w:val="19"/>
              </w:rPr>
              <w:t>Cost to PBS/RPBS less copayments</w:t>
            </w:r>
          </w:p>
        </w:tc>
        <w:tc>
          <w:tcPr>
            <w:tcW w:w="647" w:type="pct"/>
            <w:tcBorders>
              <w:bottom w:val="single" w:sz="4" w:space="0" w:color="auto"/>
            </w:tcBorders>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tcBorders>
              <w:bottom w:val="single" w:sz="4" w:space="0" w:color="auto"/>
            </w:tcBorders>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tcBorders>
              <w:bottom w:val="single" w:sz="4" w:space="0" w:color="auto"/>
            </w:tcBorders>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tcBorders>
              <w:bottom w:val="single" w:sz="4" w:space="0" w:color="auto"/>
            </w:tcBorders>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tcBorders>
              <w:bottom w:val="single" w:sz="4" w:space="0" w:color="auto"/>
            </w:tcBorders>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9" w:type="pct"/>
            <w:tcBorders>
              <w:bottom w:val="single" w:sz="4" w:space="0" w:color="auto"/>
            </w:tcBorders>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r>
      <w:tr w:rsidR="00A57376" w:rsidRPr="00B645C6" w:rsidTr="00A57376">
        <w:tc>
          <w:tcPr>
            <w:tcW w:w="5000" w:type="pct"/>
            <w:gridSpan w:val="7"/>
            <w:shd w:val="clear" w:color="auto" w:fill="auto"/>
            <w:vAlign w:val="center"/>
          </w:tcPr>
          <w:p w:rsidR="00A57376" w:rsidRPr="009F36FA" w:rsidRDefault="00A57376" w:rsidP="00EB6077">
            <w:pPr>
              <w:keepNext/>
              <w:keepLines/>
              <w:jc w:val="left"/>
              <w:rPr>
                <w:rFonts w:ascii="Arial Narrow" w:eastAsiaTheme="majorEastAsia" w:hAnsi="Arial Narrow" w:cs="Times New Roman"/>
                <w:b/>
                <w:sz w:val="20"/>
                <w:lang w:val="fr-FR"/>
              </w:rPr>
            </w:pPr>
            <w:r w:rsidRPr="009F36FA">
              <w:rPr>
                <w:rFonts w:ascii="Arial Narrow" w:eastAsiaTheme="majorEastAsia" w:hAnsi="Arial Narrow" w:cs="Times New Roman"/>
                <w:b/>
                <w:sz w:val="20"/>
                <w:lang w:val="fr-FR"/>
              </w:rPr>
              <w:t>Net financial implications (current resubmission)</w:t>
            </w:r>
          </w:p>
        </w:tc>
      </w:tr>
      <w:tr w:rsidR="00A57376" w:rsidRPr="002477AF" w:rsidTr="00A57376">
        <w:tc>
          <w:tcPr>
            <w:tcW w:w="1116" w:type="pct"/>
            <w:shd w:val="clear" w:color="auto" w:fill="auto"/>
            <w:vAlign w:val="center"/>
          </w:tcPr>
          <w:p w:rsidR="00A57376" w:rsidRPr="009F36FA" w:rsidRDefault="00A57376" w:rsidP="00EB6077">
            <w:pPr>
              <w:keepNext/>
              <w:keepLines/>
              <w:jc w:val="left"/>
              <w:rPr>
                <w:rFonts w:ascii="Arial Narrow" w:eastAsiaTheme="majorEastAsia" w:hAnsi="Arial Narrow" w:cstheme="majorBidi"/>
                <w:bCs/>
                <w:sz w:val="19"/>
                <w:szCs w:val="19"/>
              </w:rPr>
            </w:pPr>
            <w:r w:rsidRPr="009F36FA">
              <w:rPr>
                <w:rFonts w:ascii="Arial Narrow" w:eastAsiaTheme="majorEastAsia" w:hAnsi="Arial Narrow" w:cstheme="majorBidi"/>
                <w:bCs/>
                <w:sz w:val="19"/>
                <w:szCs w:val="19"/>
              </w:rPr>
              <w:t>Net cost to PBS/RPBS</w:t>
            </w:r>
          </w:p>
        </w:tc>
        <w:tc>
          <w:tcPr>
            <w:tcW w:w="647" w:type="pct"/>
            <w:tcBorders>
              <w:top w:val="single" w:sz="4" w:space="0" w:color="auto"/>
              <w:left w:val="single" w:sz="4" w:space="0" w:color="auto"/>
              <w:bottom w:val="single" w:sz="4" w:space="0" w:color="auto"/>
              <w:right w:val="single" w:sz="4" w:space="0" w:color="auto"/>
            </w:tcBorders>
            <w:shd w:val="clear" w:color="000000"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
                <w:sz w:val="20"/>
                <w:szCs w:val="20"/>
                <w:lang w:eastAsia="en-US"/>
              </w:rPr>
              <w:t>$</w:t>
            </w:r>
            <w:r w:rsidR="006F551D">
              <w:rPr>
                <w:rFonts w:ascii="Arial Narrow" w:eastAsiaTheme="majorEastAsia" w:hAnsi="Arial Narrow" w:cs="Times New Roman"/>
                <w:b/>
                <w:noProof/>
                <w:color w:val="000000"/>
                <w:sz w:val="20"/>
                <w:szCs w:val="20"/>
                <w:highlight w:val="black"/>
                <w:lang w:eastAsia="en-US"/>
              </w:rPr>
              <w:t>'''''''''''''''''''''</w:t>
            </w:r>
            <w:r w:rsidRPr="009F36FA">
              <w:rPr>
                <w:rFonts w:ascii="Arial Narrow" w:eastAsiaTheme="majorEastAsia" w:hAnsi="Arial Narrow" w:cs="Times New Roman"/>
                <w:b/>
                <w:sz w:val="20"/>
                <w:szCs w:val="20"/>
                <w:lang w:eastAsia="en-US"/>
              </w:rPr>
              <w:t xml:space="preserve"> </w:t>
            </w:r>
          </w:p>
        </w:tc>
        <w:tc>
          <w:tcPr>
            <w:tcW w:w="647" w:type="pct"/>
            <w:tcBorders>
              <w:top w:val="single" w:sz="4" w:space="0" w:color="auto"/>
              <w:left w:val="nil"/>
              <w:bottom w:val="single" w:sz="4" w:space="0" w:color="auto"/>
              <w:right w:val="single" w:sz="4" w:space="0" w:color="auto"/>
            </w:tcBorders>
            <w:shd w:val="clear" w:color="000000"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
                <w:sz w:val="20"/>
                <w:szCs w:val="20"/>
                <w:lang w:eastAsia="en-US"/>
              </w:rPr>
              <w:t>$</w:t>
            </w:r>
            <w:r w:rsidR="006F551D">
              <w:rPr>
                <w:rFonts w:ascii="Arial Narrow" w:eastAsiaTheme="majorEastAsia" w:hAnsi="Arial Narrow" w:cs="Times New Roman"/>
                <w:b/>
                <w:noProof/>
                <w:color w:val="000000"/>
                <w:sz w:val="20"/>
                <w:szCs w:val="20"/>
                <w:highlight w:val="black"/>
                <w:lang w:eastAsia="en-US"/>
              </w:rPr>
              <w:t>'''''''''''''''''''''</w:t>
            </w:r>
            <w:r w:rsidRPr="009F36FA">
              <w:rPr>
                <w:rFonts w:ascii="Arial Narrow" w:eastAsiaTheme="majorEastAsia" w:hAnsi="Arial Narrow" w:cs="Times New Roman"/>
                <w:b/>
                <w:sz w:val="20"/>
                <w:szCs w:val="20"/>
                <w:lang w:eastAsia="en-US"/>
              </w:rPr>
              <w:t xml:space="preserve"> </w:t>
            </w:r>
          </w:p>
        </w:tc>
        <w:tc>
          <w:tcPr>
            <w:tcW w:w="647" w:type="pct"/>
            <w:tcBorders>
              <w:top w:val="single" w:sz="4" w:space="0" w:color="auto"/>
              <w:left w:val="nil"/>
              <w:bottom w:val="single" w:sz="4" w:space="0" w:color="auto"/>
              <w:right w:val="single" w:sz="4" w:space="0" w:color="auto"/>
            </w:tcBorders>
            <w:shd w:val="clear" w:color="000000"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
                <w:sz w:val="20"/>
                <w:szCs w:val="20"/>
                <w:lang w:eastAsia="en-US"/>
              </w:rPr>
              <w:t>$</w:t>
            </w:r>
            <w:r w:rsidR="006F551D">
              <w:rPr>
                <w:rFonts w:ascii="Arial Narrow" w:eastAsiaTheme="majorEastAsia" w:hAnsi="Arial Narrow" w:cs="Times New Roman"/>
                <w:b/>
                <w:noProof/>
                <w:color w:val="000000"/>
                <w:sz w:val="20"/>
                <w:szCs w:val="20"/>
                <w:highlight w:val="black"/>
                <w:lang w:eastAsia="en-US"/>
              </w:rPr>
              <w:t>''''''''''''''''''</w:t>
            </w:r>
            <w:r w:rsidRPr="009F36FA">
              <w:rPr>
                <w:rFonts w:ascii="Arial Narrow" w:eastAsiaTheme="majorEastAsia" w:hAnsi="Arial Narrow" w:cs="Times New Roman"/>
                <w:b/>
                <w:sz w:val="20"/>
                <w:szCs w:val="20"/>
                <w:lang w:eastAsia="en-US"/>
              </w:rPr>
              <w:t xml:space="preserve"> </w:t>
            </w:r>
          </w:p>
        </w:tc>
        <w:tc>
          <w:tcPr>
            <w:tcW w:w="647" w:type="pct"/>
            <w:tcBorders>
              <w:top w:val="single" w:sz="4" w:space="0" w:color="auto"/>
              <w:left w:val="nil"/>
              <w:bottom w:val="single" w:sz="4" w:space="0" w:color="auto"/>
              <w:right w:val="single" w:sz="4" w:space="0" w:color="auto"/>
            </w:tcBorders>
            <w:shd w:val="clear" w:color="000000"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
                <w:sz w:val="20"/>
                <w:szCs w:val="20"/>
                <w:lang w:eastAsia="en-US"/>
              </w:rPr>
              <w:t>$</w:t>
            </w:r>
            <w:r w:rsidR="006F551D">
              <w:rPr>
                <w:rFonts w:ascii="Arial Narrow" w:eastAsiaTheme="majorEastAsia" w:hAnsi="Arial Narrow" w:cs="Times New Roman"/>
                <w:b/>
                <w:noProof/>
                <w:color w:val="000000"/>
                <w:sz w:val="20"/>
                <w:szCs w:val="20"/>
                <w:highlight w:val="black"/>
                <w:lang w:eastAsia="en-US"/>
              </w:rPr>
              <w:t>'''''''''''''''''''</w:t>
            </w:r>
            <w:r w:rsidRPr="009F36FA">
              <w:rPr>
                <w:rFonts w:ascii="Arial Narrow" w:eastAsiaTheme="majorEastAsia" w:hAnsi="Arial Narrow" w:cs="Times New Roman"/>
                <w:b/>
                <w:sz w:val="20"/>
                <w:szCs w:val="20"/>
                <w:lang w:eastAsia="en-US"/>
              </w:rPr>
              <w:t xml:space="preserve"> </w:t>
            </w:r>
          </w:p>
        </w:tc>
        <w:tc>
          <w:tcPr>
            <w:tcW w:w="647" w:type="pct"/>
            <w:tcBorders>
              <w:top w:val="single" w:sz="4" w:space="0" w:color="auto"/>
              <w:left w:val="nil"/>
              <w:bottom w:val="single" w:sz="4" w:space="0" w:color="auto"/>
              <w:right w:val="single" w:sz="4" w:space="0" w:color="auto"/>
            </w:tcBorders>
            <w:shd w:val="clear" w:color="000000"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
                <w:sz w:val="20"/>
                <w:szCs w:val="20"/>
                <w:lang w:eastAsia="en-US"/>
              </w:rPr>
              <w:t>$</w:t>
            </w:r>
            <w:r w:rsidR="006F551D">
              <w:rPr>
                <w:rFonts w:ascii="Arial Narrow" w:eastAsiaTheme="majorEastAsia" w:hAnsi="Arial Narrow" w:cs="Times New Roman"/>
                <w:b/>
                <w:noProof/>
                <w:color w:val="000000"/>
                <w:sz w:val="20"/>
                <w:szCs w:val="20"/>
                <w:highlight w:val="black"/>
                <w:lang w:eastAsia="en-US"/>
              </w:rPr>
              <w:t>'''''''''''''''''''''</w:t>
            </w:r>
            <w:r w:rsidRPr="009F36FA">
              <w:rPr>
                <w:rFonts w:ascii="Arial Narrow" w:eastAsiaTheme="majorEastAsia" w:hAnsi="Arial Narrow" w:cs="Times New Roman"/>
                <w:b/>
                <w:sz w:val="20"/>
                <w:szCs w:val="20"/>
                <w:lang w:eastAsia="en-US"/>
              </w:rPr>
              <w:t xml:space="preserve"> </w:t>
            </w:r>
          </w:p>
        </w:tc>
        <w:tc>
          <w:tcPr>
            <w:tcW w:w="649" w:type="pct"/>
            <w:tcBorders>
              <w:top w:val="single" w:sz="4" w:space="0" w:color="auto"/>
              <w:left w:val="nil"/>
              <w:bottom w:val="single" w:sz="4" w:space="0" w:color="auto"/>
              <w:right w:val="single" w:sz="4" w:space="0" w:color="auto"/>
            </w:tcBorders>
            <w:shd w:val="clear" w:color="000000"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
                <w:sz w:val="20"/>
                <w:szCs w:val="20"/>
                <w:lang w:eastAsia="en-US"/>
              </w:rPr>
              <w:t>$</w:t>
            </w:r>
            <w:r w:rsidR="006F551D">
              <w:rPr>
                <w:rFonts w:ascii="Arial Narrow" w:eastAsiaTheme="majorEastAsia" w:hAnsi="Arial Narrow" w:cs="Times New Roman"/>
                <w:b/>
                <w:noProof/>
                <w:color w:val="000000"/>
                <w:sz w:val="20"/>
                <w:szCs w:val="20"/>
                <w:highlight w:val="black"/>
                <w:lang w:eastAsia="en-US"/>
              </w:rPr>
              <w:t>''''''''''''''''''''''</w:t>
            </w:r>
            <w:r w:rsidRPr="009F36FA">
              <w:rPr>
                <w:rFonts w:ascii="Arial Narrow" w:eastAsiaTheme="majorEastAsia" w:hAnsi="Arial Narrow" w:cs="Times New Roman"/>
                <w:b/>
                <w:sz w:val="20"/>
                <w:szCs w:val="20"/>
                <w:lang w:eastAsia="en-US"/>
              </w:rPr>
              <w:t xml:space="preserve"> </w:t>
            </w:r>
          </w:p>
        </w:tc>
      </w:tr>
      <w:tr w:rsidR="00A57376" w:rsidRPr="002477AF" w:rsidTr="00A57376">
        <w:tc>
          <w:tcPr>
            <w:tcW w:w="1116" w:type="pct"/>
            <w:shd w:val="clear" w:color="auto" w:fill="auto"/>
            <w:vAlign w:val="center"/>
          </w:tcPr>
          <w:p w:rsidR="00A57376" w:rsidRPr="009F36FA" w:rsidRDefault="00A57376" w:rsidP="00EB6077">
            <w:pPr>
              <w:keepNext/>
              <w:keepLines/>
              <w:jc w:val="left"/>
              <w:rPr>
                <w:rFonts w:ascii="Times" w:eastAsiaTheme="majorEastAsia" w:hAnsi="Times" w:cstheme="majorBidi"/>
                <w:bCs/>
                <w:sz w:val="20"/>
              </w:rPr>
            </w:pPr>
            <w:r w:rsidRPr="009F36FA">
              <w:rPr>
                <w:rFonts w:ascii="Arial Narrow" w:eastAsiaTheme="majorEastAsia" w:hAnsi="Arial Narrow" w:cstheme="majorBidi"/>
                <w:bCs/>
                <w:sz w:val="19"/>
                <w:szCs w:val="19"/>
              </w:rPr>
              <w:t>Net cost to MBS</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9"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r>
      <w:tr w:rsidR="00A57376" w:rsidRPr="002477AF" w:rsidTr="00A57376">
        <w:tc>
          <w:tcPr>
            <w:tcW w:w="1116" w:type="pct"/>
            <w:shd w:val="clear" w:color="auto" w:fill="auto"/>
            <w:vAlign w:val="center"/>
          </w:tcPr>
          <w:p w:rsidR="00A57376" w:rsidRPr="009F36FA" w:rsidRDefault="00A57376" w:rsidP="00EB6077">
            <w:pPr>
              <w:keepNext/>
              <w:keepLines/>
              <w:jc w:val="left"/>
              <w:rPr>
                <w:rFonts w:ascii="Arial Narrow" w:eastAsiaTheme="majorEastAsia" w:hAnsi="Arial Narrow" w:cstheme="majorBidi"/>
                <w:bCs/>
                <w:sz w:val="19"/>
                <w:szCs w:val="19"/>
              </w:rPr>
            </w:pPr>
            <w:r w:rsidRPr="009F36FA">
              <w:rPr>
                <w:rFonts w:ascii="Arial Narrow" w:eastAsiaTheme="majorEastAsia" w:hAnsi="Arial Narrow" w:cstheme="majorBidi"/>
                <w:bCs/>
                <w:sz w:val="19"/>
                <w:szCs w:val="19"/>
              </w:rPr>
              <w:t>Net cost to PBS/RPBS/MBS</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r w:rsidRPr="009F36FA">
              <w:rPr>
                <w:rFonts w:ascii="Arial Narrow" w:eastAsiaTheme="majorEastAsia" w:hAnsi="Arial Narrow" w:cs="Times New Roman"/>
                <w:bCs/>
                <w:sz w:val="20"/>
                <w:szCs w:val="20"/>
                <w:lang w:eastAsia="en-US"/>
              </w:rPr>
              <w:t xml:space="preserve"> </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r w:rsidRPr="009F36FA">
              <w:rPr>
                <w:rFonts w:ascii="Arial Narrow" w:eastAsiaTheme="majorEastAsia" w:hAnsi="Arial Narrow" w:cs="Times New Roman"/>
                <w:bCs/>
                <w:sz w:val="20"/>
                <w:szCs w:val="20"/>
                <w:lang w:eastAsia="en-US"/>
              </w:rPr>
              <w:t xml:space="preserve"> </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r w:rsidRPr="009F36FA">
              <w:rPr>
                <w:rFonts w:ascii="Arial Narrow" w:eastAsiaTheme="majorEastAsia" w:hAnsi="Arial Narrow" w:cs="Times New Roman"/>
                <w:bCs/>
                <w:sz w:val="20"/>
                <w:szCs w:val="20"/>
                <w:lang w:eastAsia="en-US"/>
              </w:rPr>
              <w:t xml:space="preserve"> </w:t>
            </w:r>
          </w:p>
        </w:tc>
        <w:tc>
          <w:tcPr>
            <w:tcW w:w="647"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r w:rsidRPr="009F36FA">
              <w:rPr>
                <w:rFonts w:ascii="Arial Narrow" w:eastAsiaTheme="majorEastAsia" w:hAnsi="Arial Narrow" w:cs="Times New Roman"/>
                <w:bCs/>
                <w:sz w:val="20"/>
                <w:szCs w:val="20"/>
                <w:lang w:eastAsia="en-US"/>
              </w:rPr>
              <w:t xml:space="preserve"> </w:t>
            </w:r>
          </w:p>
        </w:tc>
        <w:tc>
          <w:tcPr>
            <w:tcW w:w="649" w:type="pct"/>
            <w:shd w:val="clear" w:color="auto" w:fill="auto"/>
            <w:vAlign w:val="center"/>
          </w:tcPr>
          <w:p w:rsidR="00A57376" w:rsidRPr="009F36FA" w:rsidRDefault="00A57376" w:rsidP="00EB6077">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r w:rsidRPr="009F36FA">
              <w:rPr>
                <w:rFonts w:ascii="Arial Narrow" w:eastAsiaTheme="majorEastAsia" w:hAnsi="Arial Narrow" w:cs="Times New Roman"/>
                <w:bCs/>
                <w:sz w:val="20"/>
                <w:szCs w:val="20"/>
                <w:lang w:eastAsia="en-US"/>
              </w:rPr>
              <w:t xml:space="preserve"> </w:t>
            </w:r>
          </w:p>
        </w:tc>
      </w:tr>
      <w:tr w:rsidR="00194FC5" w:rsidRPr="002477AF" w:rsidTr="00194FC5">
        <w:tc>
          <w:tcPr>
            <w:tcW w:w="5000" w:type="pct"/>
            <w:gridSpan w:val="7"/>
            <w:shd w:val="clear" w:color="auto" w:fill="auto"/>
            <w:vAlign w:val="center"/>
          </w:tcPr>
          <w:p w:rsidR="00194FC5" w:rsidRPr="009F36FA" w:rsidRDefault="00194FC5" w:rsidP="00194FC5">
            <w:pPr>
              <w:keepNext/>
              <w:keepLines/>
              <w:jc w:val="left"/>
              <w:rPr>
                <w:rFonts w:ascii="Arial Narrow" w:eastAsiaTheme="majorEastAsia" w:hAnsi="Arial Narrow" w:cs="Times New Roman"/>
                <w:bCs/>
                <w:sz w:val="20"/>
                <w:szCs w:val="20"/>
                <w:lang w:eastAsia="en-US"/>
              </w:rPr>
            </w:pPr>
            <w:r w:rsidRPr="009F36FA">
              <w:rPr>
                <w:rFonts w:ascii="Arial Narrow" w:eastAsiaTheme="majorEastAsia" w:hAnsi="Arial Narrow" w:cs="Times New Roman"/>
                <w:b/>
                <w:sz w:val="20"/>
                <w:lang w:val="fr-FR"/>
              </w:rPr>
              <w:t>Net financial implications (current resubmission –</w:t>
            </w:r>
            <w:r w:rsidR="00B35130" w:rsidRPr="009F36FA">
              <w:rPr>
                <w:rFonts w:ascii="Arial Narrow" w:eastAsiaTheme="majorEastAsia" w:hAnsi="Arial Narrow" w:cs="Times New Roman"/>
                <w:b/>
                <w:sz w:val="20"/>
                <w:lang w:val="fr-FR"/>
              </w:rPr>
              <w:t xml:space="preserve"> PSCR</w:t>
            </w:r>
            <w:r w:rsidR="00B35130" w:rsidRPr="009F36FA">
              <w:rPr>
                <w:rFonts w:ascii="Arial Narrow" w:eastAsiaTheme="majorEastAsia" w:hAnsi="Arial Narrow" w:cs="Times New Roman"/>
                <w:b/>
                <w:sz w:val="20"/>
                <w:vertAlign w:val="superscript"/>
                <w:lang w:val="fr-FR"/>
              </w:rPr>
              <w:t>b</w:t>
            </w:r>
            <w:r w:rsidRPr="009F36FA">
              <w:rPr>
                <w:rFonts w:ascii="Arial Narrow" w:eastAsiaTheme="majorEastAsia" w:hAnsi="Arial Narrow" w:cs="Times New Roman"/>
                <w:b/>
                <w:sz w:val="20"/>
                <w:lang w:val="fr-FR"/>
              </w:rPr>
              <w:t>)</w:t>
            </w:r>
          </w:p>
        </w:tc>
      </w:tr>
      <w:tr w:rsidR="00194FC5" w:rsidRPr="002477AF" w:rsidTr="00E12738">
        <w:tc>
          <w:tcPr>
            <w:tcW w:w="1116" w:type="pct"/>
            <w:shd w:val="clear" w:color="auto" w:fill="auto"/>
            <w:vAlign w:val="center"/>
          </w:tcPr>
          <w:p w:rsidR="00194FC5" w:rsidRPr="009F36FA" w:rsidRDefault="00194FC5" w:rsidP="00194FC5">
            <w:pPr>
              <w:keepNext/>
              <w:keepLines/>
              <w:jc w:val="left"/>
              <w:rPr>
                <w:rFonts w:ascii="Arial Narrow" w:eastAsiaTheme="majorEastAsia" w:hAnsi="Arial Narrow" w:cstheme="majorBidi"/>
                <w:bCs/>
                <w:sz w:val="19"/>
                <w:szCs w:val="19"/>
              </w:rPr>
            </w:pPr>
            <w:r w:rsidRPr="009F36FA">
              <w:rPr>
                <w:rFonts w:ascii="Arial Narrow" w:eastAsiaTheme="majorEastAsia" w:hAnsi="Arial Narrow" w:cstheme="majorBidi"/>
                <w:bCs/>
                <w:sz w:val="19"/>
                <w:szCs w:val="19"/>
              </w:rPr>
              <w:t>Net cost to PBS/RPBS</w:t>
            </w:r>
          </w:p>
        </w:tc>
        <w:tc>
          <w:tcPr>
            <w:tcW w:w="647" w:type="pct"/>
            <w:shd w:val="clear" w:color="auto" w:fill="auto"/>
          </w:tcPr>
          <w:p w:rsidR="00194FC5" w:rsidRPr="009F36FA" w:rsidRDefault="00194FC5" w:rsidP="00194FC5">
            <w:pPr>
              <w:keepNext/>
              <w:keepLines/>
              <w:jc w:val="center"/>
              <w:rPr>
                <w:rFonts w:ascii="Arial Narrow" w:eastAsiaTheme="majorEastAsia" w:hAnsi="Arial Narrow" w:cs="Times New Roman"/>
                <w:b/>
                <w:sz w:val="20"/>
                <w:szCs w:val="20"/>
                <w:lang w:eastAsia="en-US"/>
              </w:rPr>
            </w:pPr>
            <w:r w:rsidRPr="009F36FA">
              <w:rPr>
                <w:rFonts w:ascii="Arial Narrow" w:eastAsiaTheme="majorEastAsia" w:hAnsi="Arial Narrow" w:cs="Times New Roman"/>
                <w:b/>
                <w:sz w:val="20"/>
                <w:szCs w:val="20"/>
                <w:lang w:eastAsia="en-US"/>
              </w:rPr>
              <w:t>$</w:t>
            </w:r>
            <w:r w:rsidR="006F551D">
              <w:rPr>
                <w:rFonts w:ascii="Arial Narrow" w:eastAsiaTheme="majorEastAsia" w:hAnsi="Arial Narrow" w:cs="Times New Roman"/>
                <w:b/>
                <w:noProof/>
                <w:color w:val="000000"/>
                <w:sz w:val="20"/>
                <w:szCs w:val="20"/>
                <w:highlight w:val="black"/>
                <w:lang w:eastAsia="en-US"/>
              </w:rPr>
              <w:t>'''''''''''''''''''''</w:t>
            </w:r>
            <w:r w:rsidRPr="009F36FA">
              <w:rPr>
                <w:rFonts w:ascii="Arial Narrow" w:eastAsiaTheme="majorEastAsia" w:hAnsi="Arial Narrow" w:cs="Times New Roman"/>
                <w:b/>
                <w:sz w:val="20"/>
                <w:szCs w:val="20"/>
                <w:lang w:eastAsia="en-US"/>
              </w:rPr>
              <w:t xml:space="preserve"> </w:t>
            </w:r>
          </w:p>
        </w:tc>
        <w:tc>
          <w:tcPr>
            <w:tcW w:w="647" w:type="pct"/>
            <w:shd w:val="clear" w:color="auto" w:fill="auto"/>
          </w:tcPr>
          <w:p w:rsidR="00194FC5" w:rsidRPr="009F36FA" w:rsidRDefault="00194FC5" w:rsidP="00194FC5">
            <w:pPr>
              <w:keepNext/>
              <w:keepLines/>
              <w:jc w:val="center"/>
              <w:rPr>
                <w:rFonts w:ascii="Arial Narrow" w:eastAsiaTheme="majorEastAsia" w:hAnsi="Arial Narrow" w:cs="Times New Roman"/>
                <w:b/>
                <w:sz w:val="20"/>
                <w:szCs w:val="20"/>
                <w:lang w:eastAsia="en-US"/>
              </w:rPr>
            </w:pPr>
            <w:r w:rsidRPr="009F36FA">
              <w:rPr>
                <w:rFonts w:ascii="Arial Narrow" w:eastAsiaTheme="majorEastAsia" w:hAnsi="Arial Narrow" w:cs="Times New Roman"/>
                <w:b/>
                <w:sz w:val="20"/>
                <w:szCs w:val="20"/>
                <w:lang w:eastAsia="en-US"/>
              </w:rPr>
              <w:t>$</w:t>
            </w:r>
            <w:r w:rsidR="006F551D">
              <w:rPr>
                <w:rFonts w:ascii="Arial Narrow" w:eastAsiaTheme="majorEastAsia" w:hAnsi="Arial Narrow" w:cs="Times New Roman"/>
                <w:b/>
                <w:noProof/>
                <w:color w:val="000000"/>
                <w:sz w:val="20"/>
                <w:szCs w:val="20"/>
                <w:highlight w:val="black"/>
                <w:lang w:eastAsia="en-US"/>
              </w:rPr>
              <w:t>''''''''''''''''''''</w:t>
            </w:r>
            <w:r w:rsidRPr="009F36FA">
              <w:rPr>
                <w:rFonts w:ascii="Arial Narrow" w:eastAsiaTheme="majorEastAsia" w:hAnsi="Arial Narrow" w:cs="Times New Roman"/>
                <w:b/>
                <w:sz w:val="20"/>
                <w:szCs w:val="20"/>
                <w:lang w:eastAsia="en-US"/>
              </w:rPr>
              <w:t xml:space="preserve"> </w:t>
            </w:r>
          </w:p>
        </w:tc>
        <w:tc>
          <w:tcPr>
            <w:tcW w:w="647" w:type="pct"/>
            <w:shd w:val="clear" w:color="auto" w:fill="auto"/>
          </w:tcPr>
          <w:p w:rsidR="00194FC5" w:rsidRPr="009F36FA" w:rsidRDefault="00194FC5" w:rsidP="00194FC5">
            <w:pPr>
              <w:keepNext/>
              <w:keepLines/>
              <w:jc w:val="center"/>
              <w:rPr>
                <w:rFonts w:ascii="Arial Narrow" w:eastAsiaTheme="majorEastAsia" w:hAnsi="Arial Narrow" w:cs="Times New Roman"/>
                <w:b/>
                <w:sz w:val="20"/>
                <w:szCs w:val="20"/>
                <w:lang w:eastAsia="en-US"/>
              </w:rPr>
            </w:pPr>
            <w:r w:rsidRPr="009F36FA">
              <w:rPr>
                <w:rFonts w:ascii="Arial Narrow" w:eastAsiaTheme="majorEastAsia" w:hAnsi="Arial Narrow" w:cs="Times New Roman"/>
                <w:b/>
                <w:sz w:val="20"/>
                <w:szCs w:val="20"/>
                <w:lang w:eastAsia="en-US"/>
              </w:rPr>
              <w:t>$</w:t>
            </w:r>
            <w:r w:rsidR="006F551D">
              <w:rPr>
                <w:rFonts w:ascii="Arial Narrow" w:eastAsiaTheme="majorEastAsia" w:hAnsi="Arial Narrow" w:cs="Times New Roman"/>
                <w:b/>
                <w:noProof/>
                <w:color w:val="000000"/>
                <w:sz w:val="20"/>
                <w:szCs w:val="20"/>
                <w:highlight w:val="black"/>
                <w:lang w:eastAsia="en-US"/>
              </w:rPr>
              <w:t>'''''''''''''''''''''</w:t>
            </w:r>
            <w:r w:rsidRPr="009F36FA">
              <w:rPr>
                <w:rFonts w:ascii="Arial Narrow" w:eastAsiaTheme="majorEastAsia" w:hAnsi="Arial Narrow" w:cs="Times New Roman"/>
                <w:b/>
                <w:sz w:val="20"/>
                <w:szCs w:val="20"/>
                <w:lang w:eastAsia="en-US"/>
              </w:rPr>
              <w:t xml:space="preserve"> </w:t>
            </w:r>
          </w:p>
        </w:tc>
        <w:tc>
          <w:tcPr>
            <w:tcW w:w="647" w:type="pct"/>
            <w:shd w:val="clear" w:color="auto" w:fill="auto"/>
          </w:tcPr>
          <w:p w:rsidR="00194FC5" w:rsidRPr="009F36FA" w:rsidRDefault="00194FC5" w:rsidP="00194FC5">
            <w:pPr>
              <w:keepNext/>
              <w:keepLines/>
              <w:jc w:val="center"/>
              <w:rPr>
                <w:rFonts w:ascii="Arial Narrow" w:eastAsiaTheme="majorEastAsia" w:hAnsi="Arial Narrow" w:cs="Times New Roman"/>
                <w:b/>
                <w:sz w:val="20"/>
                <w:szCs w:val="20"/>
                <w:lang w:eastAsia="en-US"/>
              </w:rPr>
            </w:pPr>
            <w:r w:rsidRPr="009F36FA">
              <w:rPr>
                <w:rFonts w:ascii="Arial Narrow" w:eastAsiaTheme="majorEastAsia" w:hAnsi="Arial Narrow" w:cs="Times New Roman"/>
                <w:b/>
                <w:sz w:val="20"/>
                <w:szCs w:val="20"/>
                <w:lang w:eastAsia="en-US"/>
              </w:rPr>
              <w:t>$</w:t>
            </w:r>
            <w:r w:rsidR="006F551D">
              <w:rPr>
                <w:rFonts w:ascii="Arial Narrow" w:eastAsiaTheme="majorEastAsia" w:hAnsi="Arial Narrow" w:cs="Times New Roman"/>
                <w:b/>
                <w:noProof/>
                <w:color w:val="000000"/>
                <w:sz w:val="20"/>
                <w:szCs w:val="20"/>
                <w:highlight w:val="black"/>
                <w:lang w:eastAsia="en-US"/>
              </w:rPr>
              <w:t>'''''''''''''''''</w:t>
            </w:r>
            <w:r w:rsidRPr="009F36FA">
              <w:rPr>
                <w:rFonts w:ascii="Arial Narrow" w:eastAsiaTheme="majorEastAsia" w:hAnsi="Arial Narrow" w:cs="Times New Roman"/>
                <w:b/>
                <w:sz w:val="20"/>
                <w:szCs w:val="20"/>
                <w:lang w:eastAsia="en-US"/>
              </w:rPr>
              <w:t xml:space="preserve"> </w:t>
            </w:r>
          </w:p>
        </w:tc>
        <w:tc>
          <w:tcPr>
            <w:tcW w:w="647" w:type="pct"/>
            <w:shd w:val="clear" w:color="auto" w:fill="auto"/>
          </w:tcPr>
          <w:p w:rsidR="00194FC5" w:rsidRPr="009F36FA" w:rsidRDefault="00194FC5" w:rsidP="00194FC5">
            <w:pPr>
              <w:keepNext/>
              <w:keepLines/>
              <w:jc w:val="center"/>
              <w:rPr>
                <w:rFonts w:ascii="Arial Narrow" w:eastAsiaTheme="majorEastAsia" w:hAnsi="Arial Narrow" w:cs="Times New Roman"/>
                <w:b/>
                <w:sz w:val="20"/>
                <w:szCs w:val="20"/>
                <w:lang w:eastAsia="en-US"/>
              </w:rPr>
            </w:pPr>
            <w:r w:rsidRPr="009F36FA">
              <w:rPr>
                <w:rFonts w:ascii="Arial Narrow" w:eastAsiaTheme="majorEastAsia" w:hAnsi="Arial Narrow" w:cs="Times New Roman"/>
                <w:b/>
                <w:sz w:val="20"/>
                <w:szCs w:val="20"/>
                <w:lang w:eastAsia="en-US"/>
              </w:rPr>
              <w:t>$</w:t>
            </w:r>
            <w:r w:rsidR="006F551D">
              <w:rPr>
                <w:rFonts w:ascii="Arial Narrow" w:eastAsiaTheme="majorEastAsia" w:hAnsi="Arial Narrow" w:cs="Times New Roman"/>
                <w:b/>
                <w:noProof/>
                <w:color w:val="000000"/>
                <w:sz w:val="20"/>
                <w:szCs w:val="20"/>
                <w:highlight w:val="black"/>
                <w:lang w:eastAsia="en-US"/>
              </w:rPr>
              <w:t>''''''''''''''''''''</w:t>
            </w:r>
            <w:r w:rsidRPr="009F36FA">
              <w:rPr>
                <w:rFonts w:ascii="Arial Narrow" w:eastAsiaTheme="majorEastAsia" w:hAnsi="Arial Narrow" w:cs="Times New Roman"/>
                <w:b/>
                <w:sz w:val="20"/>
                <w:szCs w:val="20"/>
                <w:lang w:eastAsia="en-US"/>
              </w:rPr>
              <w:t xml:space="preserve"> </w:t>
            </w:r>
          </w:p>
        </w:tc>
        <w:tc>
          <w:tcPr>
            <w:tcW w:w="649" w:type="pct"/>
            <w:shd w:val="clear" w:color="auto" w:fill="auto"/>
          </w:tcPr>
          <w:p w:rsidR="00194FC5" w:rsidRPr="009F36FA" w:rsidRDefault="00194FC5" w:rsidP="00194FC5">
            <w:pPr>
              <w:keepNext/>
              <w:keepLines/>
              <w:jc w:val="center"/>
              <w:rPr>
                <w:rFonts w:ascii="Arial Narrow" w:eastAsiaTheme="majorEastAsia" w:hAnsi="Arial Narrow" w:cs="Times New Roman"/>
                <w:b/>
                <w:sz w:val="20"/>
                <w:szCs w:val="20"/>
                <w:lang w:eastAsia="en-US"/>
              </w:rPr>
            </w:pPr>
            <w:r w:rsidRPr="009F36FA">
              <w:rPr>
                <w:rFonts w:ascii="Arial Narrow" w:eastAsiaTheme="majorEastAsia" w:hAnsi="Arial Narrow" w:cs="Times New Roman"/>
                <w:b/>
                <w:sz w:val="20"/>
                <w:szCs w:val="20"/>
                <w:lang w:eastAsia="en-US"/>
              </w:rPr>
              <w:t>$</w:t>
            </w:r>
            <w:r w:rsidR="006F551D">
              <w:rPr>
                <w:rFonts w:ascii="Arial Narrow" w:eastAsiaTheme="majorEastAsia" w:hAnsi="Arial Narrow" w:cs="Times New Roman"/>
                <w:b/>
                <w:noProof/>
                <w:color w:val="000000"/>
                <w:sz w:val="20"/>
                <w:szCs w:val="20"/>
                <w:highlight w:val="black"/>
                <w:lang w:eastAsia="en-US"/>
              </w:rPr>
              <w:t>''''''''''''''''''''''</w:t>
            </w:r>
            <w:r w:rsidRPr="009F36FA">
              <w:rPr>
                <w:rFonts w:ascii="Arial Narrow" w:eastAsiaTheme="majorEastAsia" w:hAnsi="Arial Narrow" w:cs="Times New Roman"/>
                <w:b/>
                <w:sz w:val="20"/>
                <w:szCs w:val="20"/>
                <w:lang w:eastAsia="en-US"/>
              </w:rPr>
              <w:t xml:space="preserve"> </w:t>
            </w:r>
          </w:p>
        </w:tc>
      </w:tr>
      <w:tr w:rsidR="00194FC5" w:rsidRPr="002477AF" w:rsidTr="00E12738">
        <w:tc>
          <w:tcPr>
            <w:tcW w:w="1116" w:type="pct"/>
            <w:shd w:val="clear" w:color="auto" w:fill="auto"/>
            <w:vAlign w:val="center"/>
          </w:tcPr>
          <w:p w:rsidR="00194FC5" w:rsidRPr="009F36FA" w:rsidRDefault="00194FC5" w:rsidP="00194FC5">
            <w:pPr>
              <w:keepNext/>
              <w:keepLines/>
              <w:jc w:val="left"/>
              <w:rPr>
                <w:rFonts w:ascii="Arial Narrow" w:eastAsiaTheme="majorEastAsia" w:hAnsi="Arial Narrow" w:cstheme="majorBidi"/>
                <w:bCs/>
                <w:sz w:val="19"/>
                <w:szCs w:val="19"/>
              </w:rPr>
            </w:pPr>
            <w:r w:rsidRPr="009F36FA">
              <w:rPr>
                <w:rFonts w:ascii="Arial Narrow" w:eastAsiaTheme="majorEastAsia" w:hAnsi="Arial Narrow" w:cstheme="majorBidi"/>
                <w:bCs/>
                <w:sz w:val="19"/>
                <w:szCs w:val="19"/>
              </w:rPr>
              <w:t>Net cost to MBS</w:t>
            </w:r>
          </w:p>
        </w:tc>
        <w:tc>
          <w:tcPr>
            <w:tcW w:w="647" w:type="pct"/>
            <w:shd w:val="clear" w:color="auto" w:fill="auto"/>
          </w:tcPr>
          <w:p w:rsidR="00194FC5" w:rsidRPr="009F36FA" w:rsidRDefault="00194FC5" w:rsidP="00194FC5">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r w:rsidRPr="009F36FA">
              <w:rPr>
                <w:rFonts w:ascii="Arial Narrow" w:eastAsiaTheme="majorEastAsia" w:hAnsi="Arial Narrow" w:cs="Times New Roman"/>
                <w:bCs/>
                <w:sz w:val="20"/>
                <w:szCs w:val="20"/>
                <w:lang w:eastAsia="en-US"/>
              </w:rPr>
              <w:t xml:space="preserve"> </w:t>
            </w:r>
          </w:p>
        </w:tc>
        <w:tc>
          <w:tcPr>
            <w:tcW w:w="647" w:type="pct"/>
            <w:shd w:val="clear" w:color="auto" w:fill="auto"/>
          </w:tcPr>
          <w:p w:rsidR="00194FC5" w:rsidRPr="009F36FA" w:rsidRDefault="00194FC5" w:rsidP="00194FC5">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r w:rsidRPr="009F36FA">
              <w:rPr>
                <w:rFonts w:ascii="Arial Narrow" w:eastAsiaTheme="majorEastAsia" w:hAnsi="Arial Narrow" w:cs="Times New Roman"/>
                <w:bCs/>
                <w:sz w:val="20"/>
                <w:szCs w:val="20"/>
                <w:lang w:eastAsia="en-US"/>
              </w:rPr>
              <w:t xml:space="preserve"> </w:t>
            </w:r>
          </w:p>
        </w:tc>
        <w:tc>
          <w:tcPr>
            <w:tcW w:w="647" w:type="pct"/>
            <w:shd w:val="clear" w:color="auto" w:fill="auto"/>
          </w:tcPr>
          <w:p w:rsidR="00194FC5" w:rsidRPr="009F36FA" w:rsidRDefault="00194FC5" w:rsidP="00194FC5">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r w:rsidRPr="009F36FA">
              <w:rPr>
                <w:rFonts w:ascii="Arial Narrow" w:eastAsiaTheme="majorEastAsia" w:hAnsi="Arial Narrow" w:cs="Times New Roman"/>
                <w:bCs/>
                <w:sz w:val="20"/>
                <w:szCs w:val="20"/>
                <w:lang w:eastAsia="en-US"/>
              </w:rPr>
              <w:t xml:space="preserve"> </w:t>
            </w:r>
          </w:p>
        </w:tc>
        <w:tc>
          <w:tcPr>
            <w:tcW w:w="647" w:type="pct"/>
            <w:shd w:val="clear" w:color="auto" w:fill="auto"/>
          </w:tcPr>
          <w:p w:rsidR="00194FC5" w:rsidRPr="009F36FA" w:rsidRDefault="00194FC5" w:rsidP="00194FC5">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r w:rsidRPr="009F36FA">
              <w:rPr>
                <w:rFonts w:ascii="Arial Narrow" w:eastAsiaTheme="majorEastAsia" w:hAnsi="Arial Narrow" w:cs="Times New Roman"/>
                <w:bCs/>
                <w:sz w:val="20"/>
                <w:szCs w:val="20"/>
                <w:lang w:eastAsia="en-US"/>
              </w:rPr>
              <w:t xml:space="preserve"> </w:t>
            </w:r>
          </w:p>
        </w:tc>
        <w:tc>
          <w:tcPr>
            <w:tcW w:w="647" w:type="pct"/>
            <w:shd w:val="clear" w:color="auto" w:fill="auto"/>
          </w:tcPr>
          <w:p w:rsidR="00194FC5" w:rsidRPr="009F36FA" w:rsidRDefault="00194FC5" w:rsidP="00194FC5">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r w:rsidRPr="009F36FA">
              <w:rPr>
                <w:rFonts w:ascii="Arial Narrow" w:eastAsiaTheme="majorEastAsia" w:hAnsi="Arial Narrow" w:cs="Times New Roman"/>
                <w:bCs/>
                <w:sz w:val="20"/>
                <w:szCs w:val="20"/>
                <w:lang w:eastAsia="en-US"/>
              </w:rPr>
              <w:t xml:space="preserve"> </w:t>
            </w:r>
          </w:p>
        </w:tc>
        <w:tc>
          <w:tcPr>
            <w:tcW w:w="649" w:type="pct"/>
            <w:shd w:val="clear" w:color="auto" w:fill="auto"/>
          </w:tcPr>
          <w:p w:rsidR="00194FC5" w:rsidRPr="009F36FA" w:rsidRDefault="00194FC5" w:rsidP="00194FC5">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r w:rsidRPr="009F36FA">
              <w:rPr>
                <w:rFonts w:ascii="Arial Narrow" w:eastAsiaTheme="majorEastAsia" w:hAnsi="Arial Narrow" w:cs="Times New Roman"/>
                <w:bCs/>
                <w:sz w:val="20"/>
                <w:szCs w:val="20"/>
                <w:lang w:eastAsia="en-US"/>
              </w:rPr>
              <w:t xml:space="preserve"> </w:t>
            </w:r>
          </w:p>
        </w:tc>
      </w:tr>
      <w:tr w:rsidR="00194FC5" w:rsidRPr="002477AF" w:rsidTr="00E12738">
        <w:tc>
          <w:tcPr>
            <w:tcW w:w="1116" w:type="pct"/>
            <w:shd w:val="clear" w:color="auto" w:fill="auto"/>
            <w:vAlign w:val="center"/>
          </w:tcPr>
          <w:p w:rsidR="00194FC5" w:rsidRPr="009F36FA" w:rsidRDefault="00194FC5" w:rsidP="00194FC5">
            <w:pPr>
              <w:keepNext/>
              <w:keepLines/>
              <w:jc w:val="left"/>
              <w:rPr>
                <w:rFonts w:ascii="Arial Narrow" w:eastAsiaTheme="majorEastAsia" w:hAnsi="Arial Narrow" w:cstheme="majorBidi"/>
                <w:bCs/>
                <w:sz w:val="19"/>
                <w:szCs w:val="19"/>
              </w:rPr>
            </w:pPr>
            <w:r w:rsidRPr="009F36FA">
              <w:rPr>
                <w:rFonts w:ascii="Arial Narrow" w:eastAsiaTheme="majorEastAsia" w:hAnsi="Arial Narrow" w:cstheme="majorBidi"/>
                <w:bCs/>
                <w:sz w:val="19"/>
                <w:szCs w:val="19"/>
              </w:rPr>
              <w:t>Net cost to PBS/RPBS/MBS</w:t>
            </w:r>
          </w:p>
        </w:tc>
        <w:tc>
          <w:tcPr>
            <w:tcW w:w="647" w:type="pct"/>
            <w:shd w:val="clear" w:color="auto" w:fill="auto"/>
            <w:vAlign w:val="bottom"/>
          </w:tcPr>
          <w:p w:rsidR="00194FC5" w:rsidRPr="009F36FA" w:rsidRDefault="00194FC5" w:rsidP="00194FC5">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shd w:val="clear" w:color="auto" w:fill="auto"/>
            <w:vAlign w:val="bottom"/>
          </w:tcPr>
          <w:p w:rsidR="00194FC5" w:rsidRPr="009F36FA" w:rsidRDefault="00194FC5" w:rsidP="00194FC5">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shd w:val="clear" w:color="auto" w:fill="auto"/>
            <w:vAlign w:val="bottom"/>
          </w:tcPr>
          <w:p w:rsidR="00194FC5" w:rsidRPr="009F36FA" w:rsidRDefault="00194FC5" w:rsidP="00194FC5">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shd w:val="clear" w:color="auto" w:fill="auto"/>
            <w:vAlign w:val="bottom"/>
          </w:tcPr>
          <w:p w:rsidR="00194FC5" w:rsidRPr="009F36FA" w:rsidRDefault="00194FC5" w:rsidP="00194FC5">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shd w:val="clear" w:color="auto" w:fill="auto"/>
            <w:vAlign w:val="bottom"/>
          </w:tcPr>
          <w:p w:rsidR="00194FC5" w:rsidRPr="009F36FA" w:rsidRDefault="00194FC5" w:rsidP="00194FC5">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9" w:type="pct"/>
            <w:shd w:val="clear" w:color="auto" w:fill="auto"/>
            <w:vAlign w:val="bottom"/>
          </w:tcPr>
          <w:p w:rsidR="00194FC5" w:rsidRPr="009F36FA" w:rsidRDefault="00194FC5" w:rsidP="00194FC5">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r>
      <w:tr w:rsidR="00194FC5" w:rsidRPr="00F05854" w:rsidTr="00A57376">
        <w:tc>
          <w:tcPr>
            <w:tcW w:w="5000" w:type="pct"/>
            <w:gridSpan w:val="7"/>
            <w:shd w:val="clear" w:color="auto" w:fill="B8CCE4" w:themeFill="accent1" w:themeFillTint="66"/>
            <w:vAlign w:val="center"/>
          </w:tcPr>
          <w:p w:rsidR="00194FC5" w:rsidRPr="00F05854" w:rsidRDefault="00194FC5" w:rsidP="00194FC5">
            <w:pPr>
              <w:keepNext/>
              <w:keepLines/>
              <w:jc w:val="left"/>
              <w:rPr>
                <w:rFonts w:ascii="Arial Narrow" w:eastAsiaTheme="majorEastAsia" w:hAnsi="Arial Narrow" w:cstheme="majorBidi"/>
                <w:b/>
                <w:iCs/>
                <w:sz w:val="20"/>
                <w:szCs w:val="20"/>
              </w:rPr>
            </w:pPr>
            <w:r w:rsidRPr="00F05854">
              <w:rPr>
                <w:rFonts w:ascii="Arial Narrow" w:eastAsiaTheme="majorEastAsia" w:hAnsi="Arial Narrow" w:cstheme="majorBidi"/>
                <w:b/>
                <w:iCs/>
                <w:sz w:val="20"/>
                <w:szCs w:val="20"/>
              </w:rPr>
              <w:t>Previous resubmission (July, 2019)</w:t>
            </w:r>
          </w:p>
        </w:tc>
      </w:tr>
      <w:tr w:rsidR="00194FC5" w:rsidRPr="00F05854" w:rsidTr="00A57376">
        <w:tc>
          <w:tcPr>
            <w:tcW w:w="1116" w:type="pct"/>
            <w:shd w:val="clear" w:color="auto" w:fill="B8CCE4" w:themeFill="accent1" w:themeFillTint="66"/>
            <w:vAlign w:val="center"/>
          </w:tcPr>
          <w:p w:rsidR="00194FC5" w:rsidRPr="00F05854" w:rsidRDefault="00194FC5" w:rsidP="00194FC5">
            <w:pPr>
              <w:keepNext/>
              <w:keepLines/>
              <w:jc w:val="left"/>
              <w:rPr>
                <w:rFonts w:ascii="Arial Narrow" w:eastAsiaTheme="majorEastAsia" w:hAnsi="Arial Narrow" w:cstheme="majorBidi"/>
                <w:bCs/>
                <w:iCs/>
                <w:sz w:val="20"/>
                <w:szCs w:val="20"/>
              </w:rPr>
            </w:pPr>
            <w:r w:rsidRPr="00F05854">
              <w:rPr>
                <w:rFonts w:ascii="Arial Narrow" w:eastAsiaTheme="majorEastAsia" w:hAnsi="Arial Narrow" w:cstheme="majorBidi"/>
                <w:bCs/>
                <w:iCs/>
                <w:sz w:val="20"/>
                <w:szCs w:val="20"/>
              </w:rPr>
              <w:t>Number of eligible patient episodes</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c>
          <w:tcPr>
            <w:tcW w:w="647"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c>
          <w:tcPr>
            <w:tcW w:w="647"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c>
          <w:tcPr>
            <w:tcW w:w="647"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c>
          <w:tcPr>
            <w:tcW w:w="647"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c>
          <w:tcPr>
            <w:tcW w:w="649"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r>
      <w:tr w:rsidR="00194FC5" w:rsidRPr="00F05854" w:rsidTr="00A57376">
        <w:tc>
          <w:tcPr>
            <w:tcW w:w="1116" w:type="pct"/>
            <w:shd w:val="clear" w:color="auto" w:fill="B8CCE4" w:themeFill="accent1" w:themeFillTint="66"/>
            <w:vAlign w:val="center"/>
          </w:tcPr>
          <w:p w:rsidR="00194FC5" w:rsidRPr="00F05854" w:rsidRDefault="00194FC5" w:rsidP="00194FC5">
            <w:pPr>
              <w:keepNext/>
              <w:keepLines/>
              <w:jc w:val="left"/>
              <w:rPr>
                <w:rFonts w:ascii="Arial Narrow" w:eastAsiaTheme="majorEastAsia" w:hAnsi="Arial Narrow" w:cstheme="majorBidi"/>
                <w:bCs/>
                <w:iCs/>
                <w:sz w:val="20"/>
                <w:szCs w:val="20"/>
              </w:rPr>
            </w:pPr>
            <w:r w:rsidRPr="00F05854">
              <w:rPr>
                <w:rFonts w:ascii="Arial Narrow" w:eastAsiaTheme="majorEastAsia" w:hAnsi="Arial Narrow" w:cstheme="majorBidi"/>
                <w:bCs/>
                <w:iCs/>
                <w:sz w:val="20"/>
                <w:szCs w:val="20"/>
              </w:rPr>
              <w:t>Number of patient episodes treated</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c>
          <w:tcPr>
            <w:tcW w:w="647"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c>
          <w:tcPr>
            <w:tcW w:w="647"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c>
          <w:tcPr>
            <w:tcW w:w="647"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c>
          <w:tcPr>
            <w:tcW w:w="647"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c>
          <w:tcPr>
            <w:tcW w:w="649"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r>
      <w:tr w:rsidR="00194FC5" w:rsidRPr="00F05854" w:rsidTr="00A57376">
        <w:tc>
          <w:tcPr>
            <w:tcW w:w="1116" w:type="pct"/>
            <w:shd w:val="clear" w:color="auto" w:fill="B8CCE4" w:themeFill="accent1" w:themeFillTint="66"/>
            <w:vAlign w:val="center"/>
          </w:tcPr>
          <w:p w:rsidR="00194FC5" w:rsidRPr="00F05854" w:rsidRDefault="00194FC5" w:rsidP="00194FC5">
            <w:pPr>
              <w:keepNext/>
              <w:keepLines/>
              <w:jc w:val="left"/>
              <w:rPr>
                <w:rFonts w:ascii="Arial Narrow" w:eastAsiaTheme="majorEastAsia" w:hAnsi="Arial Narrow" w:cstheme="majorBidi"/>
                <w:bCs/>
                <w:iCs/>
                <w:sz w:val="20"/>
                <w:szCs w:val="20"/>
              </w:rPr>
            </w:pPr>
            <w:r w:rsidRPr="00F05854">
              <w:rPr>
                <w:rFonts w:ascii="Arial Narrow" w:eastAsiaTheme="majorEastAsia" w:hAnsi="Arial Narrow" w:cstheme="majorBidi"/>
                <w:bCs/>
                <w:iCs/>
                <w:sz w:val="20"/>
                <w:szCs w:val="20"/>
              </w:rPr>
              <w:t>Number of vials dispensed</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c>
          <w:tcPr>
            <w:tcW w:w="647"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c>
          <w:tcPr>
            <w:tcW w:w="647"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c>
          <w:tcPr>
            <w:tcW w:w="647"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c>
          <w:tcPr>
            <w:tcW w:w="647"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c>
          <w:tcPr>
            <w:tcW w:w="649"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6F551D" w:rsidRDefault="006F551D" w:rsidP="00194FC5">
            <w:pPr>
              <w:keepNext/>
              <w:keepLines/>
              <w:jc w:val="center"/>
              <w:rPr>
                <w:rFonts w:ascii="Arial Narrow" w:eastAsiaTheme="majorEastAsia" w:hAnsi="Arial Narrow" w:cstheme="majorBidi"/>
                <w:bCs/>
                <w:iCs/>
                <w:sz w:val="20"/>
                <w:szCs w:val="20"/>
                <w:highlight w:val="black"/>
              </w:rPr>
            </w:pPr>
            <w:r>
              <w:rPr>
                <w:rFonts w:ascii="Arial Narrow" w:eastAsiaTheme="majorEastAsia" w:hAnsi="Arial Narrow" w:cstheme="majorBidi"/>
                <w:bCs/>
                <w:iCs/>
                <w:noProof/>
                <w:color w:val="000000"/>
                <w:sz w:val="20"/>
                <w:szCs w:val="20"/>
                <w:highlight w:val="black"/>
              </w:rPr>
              <w:t>''''''''''''''</w:t>
            </w:r>
          </w:p>
        </w:tc>
      </w:tr>
      <w:tr w:rsidR="00194FC5" w:rsidRPr="00F05854" w:rsidTr="00A57376">
        <w:tc>
          <w:tcPr>
            <w:tcW w:w="1116" w:type="pct"/>
            <w:shd w:val="clear" w:color="auto" w:fill="B8CCE4" w:themeFill="accent1" w:themeFillTint="66"/>
            <w:vAlign w:val="center"/>
          </w:tcPr>
          <w:p w:rsidR="00194FC5" w:rsidRPr="00F05854" w:rsidRDefault="00194FC5" w:rsidP="00194FC5">
            <w:pPr>
              <w:keepNext/>
              <w:keepLines/>
              <w:jc w:val="left"/>
              <w:rPr>
                <w:rFonts w:ascii="Arial Narrow" w:eastAsiaTheme="majorEastAsia" w:hAnsi="Arial Narrow" w:cstheme="majorBidi"/>
                <w:bCs/>
                <w:iCs/>
                <w:sz w:val="20"/>
                <w:szCs w:val="20"/>
              </w:rPr>
            </w:pPr>
            <w:r w:rsidRPr="00F05854">
              <w:rPr>
                <w:rFonts w:ascii="Arial Narrow" w:eastAsiaTheme="majorEastAsia" w:hAnsi="Arial Narrow" w:cstheme="majorBidi"/>
                <w:bCs/>
                <w:iCs/>
                <w:sz w:val="20"/>
                <w:szCs w:val="20"/>
              </w:rPr>
              <w:t>Net cost to PBS/RPBS</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94FC5" w:rsidRPr="00F05854" w:rsidRDefault="00194FC5" w:rsidP="00194FC5">
            <w:pPr>
              <w:keepNext/>
              <w:keepLines/>
              <w:jc w:val="center"/>
              <w:rPr>
                <w:rFonts w:ascii="Arial Narrow" w:eastAsiaTheme="majorEastAsia" w:hAnsi="Arial Narrow" w:cstheme="majorBidi"/>
                <w:bCs/>
                <w:sz w:val="20"/>
                <w:szCs w:val="20"/>
              </w:rPr>
            </w:pPr>
            <w:r w:rsidRPr="00F05854">
              <w:rPr>
                <w:rFonts w:ascii="Arial Narrow" w:eastAsiaTheme="majorEastAsia" w:hAnsi="Arial Narrow" w:cstheme="majorBidi"/>
                <w:bCs/>
                <w:iCs/>
                <w:sz w:val="20"/>
                <w:szCs w:val="20"/>
              </w:rPr>
              <w:t>$</w:t>
            </w:r>
            <w:r w:rsidR="006F551D">
              <w:rPr>
                <w:rFonts w:ascii="Arial Narrow" w:eastAsiaTheme="majorEastAsia" w:hAnsi="Arial Narrow" w:cstheme="majorBidi"/>
                <w:bCs/>
                <w:iCs/>
                <w:noProof/>
                <w:color w:val="000000"/>
                <w:sz w:val="20"/>
                <w:szCs w:val="20"/>
                <w:highlight w:val="black"/>
              </w:rPr>
              <w:t>'''''''''''''''''''''</w:t>
            </w:r>
            <w:r w:rsidRPr="00F05854">
              <w:rPr>
                <w:rFonts w:ascii="Arial Narrow" w:eastAsiaTheme="majorEastAsia" w:hAnsi="Arial Narrow" w:cstheme="majorBidi"/>
                <w:bCs/>
                <w:iCs/>
                <w:sz w:val="20"/>
                <w:szCs w:val="20"/>
              </w:rPr>
              <w:t xml:space="preserve"> </w:t>
            </w:r>
          </w:p>
        </w:tc>
        <w:tc>
          <w:tcPr>
            <w:tcW w:w="647"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F05854" w:rsidRDefault="00194FC5" w:rsidP="00194FC5">
            <w:pPr>
              <w:keepNext/>
              <w:keepLines/>
              <w:jc w:val="center"/>
              <w:rPr>
                <w:rFonts w:ascii="Arial Narrow" w:eastAsiaTheme="majorEastAsia" w:hAnsi="Arial Narrow" w:cstheme="majorBidi"/>
                <w:bCs/>
                <w:sz w:val="20"/>
                <w:szCs w:val="20"/>
              </w:rPr>
            </w:pPr>
            <w:r w:rsidRPr="00F05854">
              <w:rPr>
                <w:rFonts w:ascii="Arial Narrow" w:eastAsiaTheme="majorEastAsia" w:hAnsi="Arial Narrow" w:cstheme="majorBidi"/>
                <w:bCs/>
                <w:iCs/>
                <w:sz w:val="20"/>
                <w:szCs w:val="20"/>
              </w:rPr>
              <w:t>$</w:t>
            </w:r>
            <w:r w:rsidR="006F551D">
              <w:rPr>
                <w:rFonts w:ascii="Arial Narrow" w:eastAsiaTheme="majorEastAsia" w:hAnsi="Arial Narrow" w:cstheme="majorBidi"/>
                <w:bCs/>
                <w:iCs/>
                <w:noProof/>
                <w:color w:val="000000"/>
                <w:sz w:val="20"/>
                <w:szCs w:val="20"/>
                <w:highlight w:val="black"/>
              </w:rPr>
              <w:t>''''''''''''''''''''''</w:t>
            </w:r>
            <w:r w:rsidRPr="00F05854">
              <w:rPr>
                <w:rFonts w:ascii="Arial Narrow" w:eastAsiaTheme="majorEastAsia" w:hAnsi="Arial Narrow" w:cstheme="majorBidi"/>
                <w:bCs/>
                <w:iCs/>
                <w:sz w:val="20"/>
                <w:szCs w:val="20"/>
              </w:rPr>
              <w:t xml:space="preserve"> </w:t>
            </w:r>
          </w:p>
        </w:tc>
        <w:tc>
          <w:tcPr>
            <w:tcW w:w="647"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F05854" w:rsidRDefault="00194FC5" w:rsidP="00194FC5">
            <w:pPr>
              <w:keepNext/>
              <w:keepLines/>
              <w:jc w:val="center"/>
              <w:rPr>
                <w:rFonts w:ascii="Arial Narrow" w:eastAsiaTheme="majorEastAsia" w:hAnsi="Arial Narrow" w:cstheme="majorBidi"/>
                <w:bCs/>
                <w:sz w:val="20"/>
                <w:szCs w:val="20"/>
              </w:rPr>
            </w:pPr>
            <w:r w:rsidRPr="00F05854">
              <w:rPr>
                <w:rFonts w:ascii="Arial Narrow" w:eastAsiaTheme="majorEastAsia" w:hAnsi="Arial Narrow" w:cstheme="majorBidi"/>
                <w:bCs/>
                <w:iCs/>
                <w:sz w:val="20"/>
                <w:szCs w:val="20"/>
              </w:rPr>
              <w:t>$</w:t>
            </w:r>
            <w:r w:rsidR="006F551D">
              <w:rPr>
                <w:rFonts w:ascii="Arial Narrow" w:eastAsiaTheme="majorEastAsia" w:hAnsi="Arial Narrow" w:cstheme="majorBidi"/>
                <w:bCs/>
                <w:iCs/>
                <w:noProof/>
                <w:color w:val="000000"/>
                <w:sz w:val="20"/>
                <w:szCs w:val="20"/>
                <w:highlight w:val="black"/>
              </w:rPr>
              <w:t>''''''''''''''''''''''''''</w:t>
            </w:r>
            <w:r w:rsidRPr="00F05854">
              <w:rPr>
                <w:rFonts w:ascii="Arial Narrow" w:eastAsiaTheme="majorEastAsia" w:hAnsi="Arial Narrow" w:cstheme="majorBidi"/>
                <w:bCs/>
                <w:iCs/>
                <w:sz w:val="20"/>
                <w:szCs w:val="20"/>
              </w:rPr>
              <w:t xml:space="preserve"> </w:t>
            </w:r>
          </w:p>
        </w:tc>
        <w:tc>
          <w:tcPr>
            <w:tcW w:w="647"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F05854" w:rsidRDefault="00194FC5" w:rsidP="00194FC5">
            <w:pPr>
              <w:keepNext/>
              <w:keepLines/>
              <w:jc w:val="center"/>
              <w:rPr>
                <w:rFonts w:ascii="Arial Narrow" w:eastAsiaTheme="majorEastAsia" w:hAnsi="Arial Narrow" w:cstheme="majorBidi"/>
                <w:bCs/>
                <w:sz w:val="20"/>
                <w:szCs w:val="20"/>
              </w:rPr>
            </w:pPr>
            <w:r w:rsidRPr="00F05854">
              <w:rPr>
                <w:rFonts w:ascii="Arial Narrow" w:eastAsiaTheme="majorEastAsia" w:hAnsi="Arial Narrow" w:cstheme="majorBidi"/>
                <w:bCs/>
                <w:iCs/>
                <w:sz w:val="20"/>
                <w:szCs w:val="20"/>
              </w:rPr>
              <w:t>$</w:t>
            </w:r>
            <w:r w:rsidR="006F551D">
              <w:rPr>
                <w:rFonts w:ascii="Arial Narrow" w:eastAsiaTheme="majorEastAsia" w:hAnsi="Arial Narrow" w:cstheme="majorBidi"/>
                <w:bCs/>
                <w:iCs/>
                <w:noProof/>
                <w:color w:val="000000"/>
                <w:sz w:val="20"/>
                <w:szCs w:val="20"/>
                <w:highlight w:val="black"/>
              </w:rPr>
              <w:t>''''''''''''''''''''''''</w:t>
            </w:r>
            <w:r w:rsidRPr="00F05854">
              <w:rPr>
                <w:rFonts w:ascii="Arial Narrow" w:eastAsiaTheme="majorEastAsia" w:hAnsi="Arial Narrow" w:cstheme="majorBidi"/>
                <w:bCs/>
                <w:iCs/>
                <w:sz w:val="20"/>
                <w:szCs w:val="20"/>
              </w:rPr>
              <w:t xml:space="preserve"> </w:t>
            </w:r>
          </w:p>
        </w:tc>
        <w:tc>
          <w:tcPr>
            <w:tcW w:w="647"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F05854" w:rsidRDefault="00194FC5" w:rsidP="00194FC5">
            <w:pPr>
              <w:keepNext/>
              <w:keepLines/>
              <w:jc w:val="center"/>
              <w:rPr>
                <w:rFonts w:ascii="Arial Narrow" w:eastAsiaTheme="majorEastAsia" w:hAnsi="Arial Narrow" w:cstheme="majorBidi"/>
                <w:bCs/>
                <w:sz w:val="20"/>
                <w:szCs w:val="20"/>
              </w:rPr>
            </w:pPr>
            <w:r w:rsidRPr="00F05854">
              <w:rPr>
                <w:rFonts w:ascii="Arial Narrow" w:eastAsiaTheme="majorEastAsia" w:hAnsi="Arial Narrow" w:cstheme="majorBidi"/>
                <w:bCs/>
                <w:iCs/>
                <w:sz w:val="20"/>
                <w:szCs w:val="20"/>
              </w:rPr>
              <w:t>$</w:t>
            </w:r>
            <w:r w:rsidR="006F551D">
              <w:rPr>
                <w:rFonts w:ascii="Arial Narrow" w:eastAsiaTheme="majorEastAsia" w:hAnsi="Arial Narrow" w:cstheme="majorBidi"/>
                <w:bCs/>
                <w:iCs/>
                <w:noProof/>
                <w:color w:val="000000"/>
                <w:sz w:val="20"/>
                <w:szCs w:val="20"/>
                <w:highlight w:val="black"/>
              </w:rPr>
              <w:t>''''''''''''''''''''''''''''</w:t>
            </w:r>
            <w:r w:rsidRPr="00F05854">
              <w:rPr>
                <w:rFonts w:ascii="Arial Narrow" w:eastAsiaTheme="majorEastAsia" w:hAnsi="Arial Narrow" w:cstheme="majorBidi"/>
                <w:bCs/>
                <w:iCs/>
                <w:sz w:val="20"/>
                <w:szCs w:val="20"/>
              </w:rPr>
              <w:t xml:space="preserve"> </w:t>
            </w:r>
          </w:p>
        </w:tc>
        <w:tc>
          <w:tcPr>
            <w:tcW w:w="649"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94FC5" w:rsidRPr="00F05854" w:rsidRDefault="00194FC5" w:rsidP="00194FC5">
            <w:pPr>
              <w:keepNext/>
              <w:keepLines/>
              <w:jc w:val="center"/>
              <w:rPr>
                <w:rFonts w:ascii="Arial Narrow" w:eastAsiaTheme="majorEastAsia" w:hAnsi="Arial Narrow" w:cstheme="majorBidi"/>
                <w:bCs/>
                <w:sz w:val="20"/>
                <w:szCs w:val="20"/>
              </w:rPr>
            </w:pPr>
            <w:r w:rsidRPr="00F05854">
              <w:rPr>
                <w:rFonts w:ascii="Arial Narrow" w:eastAsiaTheme="majorEastAsia" w:hAnsi="Arial Narrow" w:cstheme="majorBidi"/>
                <w:bCs/>
                <w:iCs/>
                <w:sz w:val="20"/>
                <w:szCs w:val="20"/>
              </w:rPr>
              <w:t>$</w:t>
            </w:r>
            <w:r w:rsidR="006F551D">
              <w:rPr>
                <w:rFonts w:ascii="Arial Narrow" w:eastAsiaTheme="majorEastAsia" w:hAnsi="Arial Narrow" w:cstheme="majorBidi"/>
                <w:bCs/>
                <w:iCs/>
                <w:noProof/>
                <w:color w:val="000000"/>
                <w:sz w:val="20"/>
                <w:szCs w:val="20"/>
                <w:highlight w:val="black"/>
              </w:rPr>
              <w:t>'''''''''''''''''''''''''''''</w:t>
            </w:r>
            <w:r w:rsidRPr="00F05854">
              <w:rPr>
                <w:rFonts w:ascii="Arial Narrow" w:eastAsiaTheme="majorEastAsia" w:hAnsi="Arial Narrow" w:cstheme="majorBidi"/>
                <w:bCs/>
                <w:iCs/>
                <w:sz w:val="20"/>
                <w:szCs w:val="20"/>
              </w:rPr>
              <w:t xml:space="preserve"> </w:t>
            </w:r>
          </w:p>
        </w:tc>
      </w:tr>
    </w:tbl>
    <w:p w:rsidR="00A57376" w:rsidRPr="00142AA9" w:rsidRDefault="00A57376" w:rsidP="00EB6077">
      <w:pPr>
        <w:keepNext/>
        <w:keepLines/>
        <w:widowControl w:val="0"/>
        <w:rPr>
          <w:rFonts w:ascii="Arial Narrow" w:hAnsi="Arial Narrow"/>
          <w:snapToGrid w:val="0"/>
          <w:sz w:val="18"/>
          <w:szCs w:val="22"/>
          <w:lang w:eastAsia="en-US"/>
        </w:rPr>
      </w:pPr>
      <w:r w:rsidRPr="00142AA9">
        <w:rPr>
          <w:rFonts w:ascii="Arial Narrow" w:hAnsi="Arial Narrow"/>
          <w:snapToGrid w:val="0"/>
          <w:sz w:val="18"/>
          <w:szCs w:val="22"/>
          <w:shd w:val="clear" w:color="auto" w:fill="B8CCE4" w:themeFill="accent1" w:themeFillTint="66"/>
          <w:lang w:eastAsia="en-US"/>
        </w:rPr>
        <w:t>Shaded</w:t>
      </w:r>
      <w:r w:rsidRPr="00142AA9">
        <w:rPr>
          <w:rFonts w:ascii="Arial Narrow" w:hAnsi="Arial Narrow"/>
          <w:snapToGrid w:val="0"/>
          <w:sz w:val="18"/>
          <w:szCs w:val="22"/>
          <w:lang w:eastAsia="en-US"/>
        </w:rPr>
        <w:t xml:space="preserve"> areas indicate data previously seen by the PBAC</w:t>
      </w:r>
    </w:p>
    <w:p w:rsidR="00A57376" w:rsidRPr="00142AA9" w:rsidRDefault="00A57376" w:rsidP="00EB6077">
      <w:pPr>
        <w:keepNext/>
        <w:keepLines/>
        <w:widowControl w:val="0"/>
        <w:rPr>
          <w:rFonts w:ascii="Arial Narrow" w:hAnsi="Arial Narrow"/>
          <w:iCs/>
          <w:snapToGrid w:val="0"/>
          <w:sz w:val="20"/>
          <w:szCs w:val="22"/>
          <w:lang w:eastAsia="en-US"/>
        </w:rPr>
      </w:pPr>
      <w:r w:rsidRPr="00142AA9">
        <w:rPr>
          <w:rFonts w:ascii="Arial Narrow" w:hAnsi="Arial Narrow"/>
          <w:iCs/>
          <w:snapToGrid w:val="0"/>
          <w:sz w:val="18"/>
          <w:szCs w:val="22"/>
          <w:lang w:eastAsia="en-US"/>
        </w:rPr>
        <w:t>Source: Constructed during the evaluation from Bezlotoxumab Section 4 Workbook of the resubmission.</w:t>
      </w:r>
    </w:p>
    <w:p w:rsidR="00A57376" w:rsidRDefault="00A57376" w:rsidP="00EB6077">
      <w:pPr>
        <w:keepNext/>
        <w:keepLines/>
        <w:spacing w:after="120"/>
        <w:contextualSpacing/>
        <w:rPr>
          <w:rFonts w:ascii="Arial Narrow" w:hAnsi="Arial Narrow"/>
          <w:snapToGrid w:val="0"/>
          <w:sz w:val="18"/>
          <w:szCs w:val="22"/>
        </w:rPr>
      </w:pPr>
      <w:r w:rsidRPr="002477AF">
        <w:rPr>
          <w:rFonts w:ascii="Arial Narrow" w:hAnsi="Arial Narrow"/>
          <w:snapToGrid w:val="0"/>
          <w:sz w:val="18"/>
          <w:szCs w:val="22"/>
          <w:vertAlign w:val="superscript"/>
        </w:rPr>
        <w:t>a</w:t>
      </w:r>
      <w:r w:rsidRPr="002477AF">
        <w:rPr>
          <w:rFonts w:ascii="Arial Narrow" w:hAnsi="Arial Narrow"/>
          <w:snapToGrid w:val="0"/>
          <w:sz w:val="18"/>
          <w:szCs w:val="22"/>
        </w:rPr>
        <w:t xml:space="preserve"> Assuming 4.4% of patients use 2 bezlotoxumab vials.</w:t>
      </w:r>
    </w:p>
    <w:p w:rsidR="00B35130" w:rsidRPr="00B35130" w:rsidRDefault="00B35130" w:rsidP="00EB6077">
      <w:pPr>
        <w:keepNext/>
        <w:keepLines/>
        <w:spacing w:after="120"/>
        <w:contextualSpacing/>
        <w:rPr>
          <w:rFonts w:ascii="Arial Narrow" w:hAnsi="Arial Narrow"/>
          <w:snapToGrid w:val="0"/>
          <w:sz w:val="18"/>
          <w:szCs w:val="22"/>
        </w:rPr>
      </w:pPr>
      <w:r>
        <w:rPr>
          <w:rFonts w:ascii="Arial Narrow" w:hAnsi="Arial Narrow"/>
          <w:snapToGrid w:val="0"/>
          <w:sz w:val="18"/>
          <w:szCs w:val="22"/>
          <w:vertAlign w:val="superscript"/>
        </w:rPr>
        <w:t xml:space="preserve">b </w:t>
      </w:r>
      <w:r>
        <w:rPr>
          <w:rFonts w:ascii="Arial Narrow" w:hAnsi="Arial Narrow"/>
          <w:snapToGrid w:val="0"/>
          <w:sz w:val="18"/>
          <w:szCs w:val="22"/>
        </w:rPr>
        <w:t>Public</w:t>
      </w:r>
      <w:r w:rsidR="00BD5974">
        <w:rPr>
          <w:rFonts w:ascii="Arial Narrow" w:hAnsi="Arial Narrow"/>
          <w:snapToGrid w:val="0"/>
          <w:sz w:val="18"/>
          <w:szCs w:val="22"/>
        </w:rPr>
        <w:t>/Private</w:t>
      </w:r>
      <w:r>
        <w:rPr>
          <w:rFonts w:ascii="Arial Narrow" w:hAnsi="Arial Narrow"/>
          <w:snapToGrid w:val="0"/>
          <w:sz w:val="18"/>
          <w:szCs w:val="22"/>
        </w:rPr>
        <w:t xml:space="preserve"> hospital split updated from 50:50 to 68:32 and additional health care costs associated with infusion specific AEs or spec</w:t>
      </w:r>
      <w:r w:rsidR="00C059E3">
        <w:rPr>
          <w:rFonts w:ascii="Arial Narrow" w:hAnsi="Arial Narrow"/>
          <w:snapToGrid w:val="0"/>
          <w:sz w:val="18"/>
          <w:szCs w:val="22"/>
        </w:rPr>
        <w:t>iali</w:t>
      </w:r>
      <w:r>
        <w:rPr>
          <w:rFonts w:ascii="Arial Narrow" w:hAnsi="Arial Narrow"/>
          <w:snapToGrid w:val="0"/>
          <w:sz w:val="18"/>
          <w:szCs w:val="22"/>
        </w:rPr>
        <w:t xml:space="preserve">st visit costs included in updated financial estimates provided in the PSCR. </w:t>
      </w:r>
    </w:p>
    <w:p w:rsidR="00A57376" w:rsidRPr="003748F4" w:rsidRDefault="003748F4" w:rsidP="003748F4">
      <w:pPr>
        <w:pStyle w:val="3-BodyText"/>
        <w:numPr>
          <w:ilvl w:val="0"/>
          <w:numId w:val="0"/>
        </w:numPr>
        <w:ind w:left="720"/>
        <w:rPr>
          <w:i/>
        </w:rPr>
      </w:pPr>
      <w:r w:rsidRPr="003748F4">
        <w:rPr>
          <w:i/>
        </w:rPr>
        <w:t xml:space="preserve">The redacted table shows that at Year 6, the estimated number of patients was </w:t>
      </w:r>
      <w:r w:rsidRPr="003748F4">
        <w:rPr>
          <w:rFonts w:cstheme="minorHAnsi"/>
          <w:i/>
        </w:rPr>
        <w:t xml:space="preserve">5,000 to </w:t>
      </w:r>
      <w:r>
        <w:rPr>
          <w:rFonts w:cstheme="minorHAnsi"/>
          <w:i/>
        </w:rPr>
        <w:t>&lt; </w:t>
      </w:r>
      <w:r w:rsidRPr="003748F4">
        <w:rPr>
          <w:rFonts w:cstheme="minorHAnsi"/>
          <w:i/>
        </w:rPr>
        <w:t>10,000</w:t>
      </w:r>
      <w:r w:rsidRPr="003748F4">
        <w:rPr>
          <w:i/>
        </w:rPr>
        <w:t xml:space="preserve"> </w:t>
      </w:r>
      <w:r w:rsidR="00434877">
        <w:rPr>
          <w:i/>
        </w:rPr>
        <w:t xml:space="preserve">and the vials dispensed was </w:t>
      </w:r>
      <w:r w:rsidR="00434877" w:rsidRPr="003748F4">
        <w:rPr>
          <w:rFonts w:cstheme="minorHAnsi"/>
          <w:i/>
        </w:rPr>
        <w:t xml:space="preserve">5,000 to </w:t>
      </w:r>
      <w:r w:rsidR="00434877">
        <w:rPr>
          <w:rFonts w:cstheme="minorHAnsi"/>
          <w:i/>
        </w:rPr>
        <w:t>&lt; </w:t>
      </w:r>
      <w:r w:rsidR="00434877" w:rsidRPr="003748F4">
        <w:rPr>
          <w:rFonts w:cstheme="minorHAnsi"/>
          <w:i/>
        </w:rPr>
        <w:t>10,000</w:t>
      </w:r>
      <w:r w:rsidR="001D6F0E">
        <w:rPr>
          <w:rFonts w:cstheme="minorHAnsi"/>
          <w:i/>
        </w:rPr>
        <w:t>;</w:t>
      </w:r>
      <w:r w:rsidR="00434877" w:rsidRPr="003748F4">
        <w:rPr>
          <w:i/>
        </w:rPr>
        <w:t xml:space="preserve"> </w:t>
      </w:r>
      <w:r w:rsidRPr="003748F4">
        <w:rPr>
          <w:i/>
        </w:rPr>
        <w:t xml:space="preserve">and the net cost to the PBS would be </w:t>
      </w:r>
      <w:r>
        <w:rPr>
          <w:i/>
        </w:rPr>
        <w:t>$10 million to &lt; </w:t>
      </w:r>
      <w:r w:rsidRPr="003748F4">
        <w:rPr>
          <w:i/>
        </w:rPr>
        <w:t>$20 million</w:t>
      </w:r>
      <w:r>
        <w:rPr>
          <w:i/>
        </w:rPr>
        <w:t>.</w:t>
      </w:r>
    </w:p>
    <w:p w:rsidR="008B4950" w:rsidRDefault="00A57376" w:rsidP="00AA5149">
      <w:pPr>
        <w:pStyle w:val="3-BodyText"/>
        <w:rPr>
          <w:iCs/>
        </w:rPr>
      </w:pPr>
      <w:r w:rsidRPr="002477AF">
        <w:t xml:space="preserve">The total cost to the PBS/RPBS of listing bezlotoxumab was estimated to be </w:t>
      </w:r>
      <w:r w:rsidR="00241D85" w:rsidRPr="00B1026A">
        <w:rPr>
          <w:rFonts w:cstheme="minorHAnsi"/>
        </w:rPr>
        <w:t>$10 million to &lt;</w:t>
      </w:r>
      <w:r w:rsidR="00840009">
        <w:rPr>
          <w:rFonts w:cstheme="minorHAnsi"/>
        </w:rPr>
        <w:t> </w:t>
      </w:r>
      <w:r w:rsidR="00241D85" w:rsidRPr="00B1026A">
        <w:rPr>
          <w:rFonts w:cstheme="minorHAnsi"/>
        </w:rPr>
        <w:t xml:space="preserve">$20 </w:t>
      </w:r>
      <w:r w:rsidRPr="002477AF">
        <w:t xml:space="preserve">million in Year 6, and a total of </w:t>
      </w:r>
      <w:r w:rsidR="00241D85">
        <w:rPr>
          <w:rFonts w:cstheme="minorHAnsi"/>
        </w:rPr>
        <w:t>$50</w:t>
      </w:r>
      <w:r w:rsidR="00241D85" w:rsidRPr="00B1026A">
        <w:rPr>
          <w:rFonts w:cstheme="minorHAnsi"/>
        </w:rPr>
        <w:t xml:space="preserve"> million to</w:t>
      </w:r>
      <w:r w:rsidR="00241D85">
        <w:rPr>
          <w:rFonts w:cstheme="minorHAnsi"/>
        </w:rPr>
        <w:t xml:space="preserve"> &lt;</w:t>
      </w:r>
      <w:r w:rsidR="00840009">
        <w:rPr>
          <w:rFonts w:cstheme="minorHAnsi"/>
        </w:rPr>
        <w:t> </w:t>
      </w:r>
      <w:r w:rsidR="00241D85">
        <w:rPr>
          <w:rFonts w:cstheme="minorHAnsi"/>
        </w:rPr>
        <w:t xml:space="preserve">$60 </w:t>
      </w:r>
      <w:r w:rsidRPr="002477AF">
        <w:t>million in the first 6 years of listing</w:t>
      </w:r>
      <w:r>
        <w:t xml:space="preserve"> (a 19.5% reduction compared to the </w:t>
      </w:r>
      <w:r w:rsidR="00241D85">
        <w:rPr>
          <w:rFonts w:cstheme="minorHAnsi"/>
        </w:rPr>
        <w:t>$6</w:t>
      </w:r>
      <w:r w:rsidR="00241D85" w:rsidRPr="00B1026A">
        <w:rPr>
          <w:rFonts w:cstheme="minorHAnsi"/>
        </w:rPr>
        <w:t>0 million to</w:t>
      </w:r>
      <w:r w:rsidR="00241D85">
        <w:rPr>
          <w:rFonts w:cstheme="minorHAnsi"/>
        </w:rPr>
        <w:t xml:space="preserve"> &lt;</w:t>
      </w:r>
      <w:r w:rsidR="00840009">
        <w:rPr>
          <w:rFonts w:cstheme="minorHAnsi"/>
        </w:rPr>
        <w:t> </w:t>
      </w:r>
      <w:r w:rsidR="00241D85">
        <w:rPr>
          <w:rFonts w:cstheme="minorHAnsi"/>
        </w:rPr>
        <w:t>$7</w:t>
      </w:r>
      <w:r w:rsidR="00241D85" w:rsidRPr="00B1026A">
        <w:rPr>
          <w:rFonts w:cstheme="minorHAnsi"/>
        </w:rPr>
        <w:t>0</w:t>
      </w:r>
      <w:r w:rsidR="00241D85">
        <w:rPr>
          <w:rFonts w:cstheme="minorHAnsi"/>
        </w:rPr>
        <w:t xml:space="preserve"> </w:t>
      </w:r>
      <w:r>
        <w:t>million estimated over the first 6 years in July 2019)</w:t>
      </w:r>
      <w:r w:rsidRPr="002477AF">
        <w:t xml:space="preserve">.  </w:t>
      </w:r>
      <w:r w:rsidR="00FC248A" w:rsidRPr="00142AA9">
        <w:rPr>
          <w:iCs/>
        </w:rPr>
        <w:t>This</w:t>
      </w:r>
      <w:r w:rsidRPr="00142AA9">
        <w:rPr>
          <w:iCs/>
        </w:rPr>
        <w:t xml:space="preserve"> reduction was driven by the </w:t>
      </w:r>
      <w:r w:rsidR="006F551D">
        <w:rPr>
          <w:iCs/>
          <w:noProof/>
          <w:color w:val="000000"/>
          <w:highlight w:val="black"/>
        </w:rPr>
        <w:t>'''''</w:t>
      </w:r>
      <w:r w:rsidRPr="00142AA9">
        <w:rPr>
          <w:iCs/>
        </w:rPr>
        <w:t>% reduction in the requested price per vial</w:t>
      </w:r>
      <w:r w:rsidR="00AB2051" w:rsidRPr="00142AA9">
        <w:rPr>
          <w:iCs/>
        </w:rPr>
        <w:t xml:space="preserve"> despite an increase in the number of patients treated</w:t>
      </w:r>
      <w:r w:rsidRPr="00142AA9">
        <w:rPr>
          <w:iCs/>
        </w:rPr>
        <w:t>.</w:t>
      </w:r>
    </w:p>
    <w:p w:rsidR="00D85896" w:rsidRDefault="00BF0EDA" w:rsidP="00B35130">
      <w:pPr>
        <w:pStyle w:val="3-BodyText"/>
        <w:rPr>
          <w:iCs/>
        </w:rPr>
      </w:pPr>
      <w:r w:rsidRPr="00142AA9">
        <w:rPr>
          <w:iCs/>
        </w:rPr>
        <w:t>The new epidemiological approach resulted in more treated patient episodes over the first 6 years than the previous approach.  Compared to patients with &gt;1 of 4 risk factors in the July 2018 resubmission, the new approach estimated a 6.2% increase for patients with &gt;1 of 2 risk factors despite being a narrower population.</w:t>
      </w:r>
    </w:p>
    <w:p w:rsidR="00B35130" w:rsidRPr="00A873A2" w:rsidRDefault="00B35130" w:rsidP="00B35130">
      <w:pPr>
        <w:pStyle w:val="3-BodyText"/>
        <w:rPr>
          <w:iCs/>
        </w:rPr>
      </w:pPr>
      <w:r w:rsidRPr="00A873A2">
        <w:rPr>
          <w:iCs/>
        </w:rPr>
        <w:t>The PSCR updated the public</w:t>
      </w:r>
      <w:r w:rsidR="00BD5974" w:rsidRPr="00A873A2">
        <w:rPr>
          <w:iCs/>
        </w:rPr>
        <w:t>/private</w:t>
      </w:r>
      <w:r w:rsidRPr="00A873A2">
        <w:rPr>
          <w:iCs/>
        </w:rPr>
        <w:t xml:space="preserve"> split for use of bezlotoxumab, to ensure consistency across the economic analysis and financial implications of the </w:t>
      </w:r>
      <w:r w:rsidRPr="00A873A2">
        <w:rPr>
          <w:iCs/>
        </w:rPr>
        <w:lastRenderedPageBreak/>
        <w:t>resubmission</w:t>
      </w:r>
      <w:r w:rsidR="000E20D9" w:rsidRPr="00A873A2">
        <w:rPr>
          <w:iCs/>
        </w:rPr>
        <w:t xml:space="preserve">. The </w:t>
      </w:r>
      <w:r w:rsidR="000E20D9" w:rsidRPr="00A873A2">
        <w:rPr>
          <w:lang w:eastAsia="en-US"/>
        </w:rPr>
        <w:t>split in the financial estimates was updated from 50:50 to 68:32 for public and private use</w:t>
      </w:r>
      <w:r w:rsidR="00E12738" w:rsidRPr="00A873A2">
        <w:rPr>
          <w:lang w:eastAsia="en-US"/>
        </w:rPr>
        <w:t xml:space="preserve"> (see paragraph 6.</w:t>
      </w:r>
      <w:r w:rsidR="0098776F" w:rsidRPr="00A873A2">
        <w:rPr>
          <w:lang w:eastAsia="en-US"/>
        </w:rPr>
        <w:t>4</w:t>
      </w:r>
      <w:r w:rsidR="007E5C9A">
        <w:rPr>
          <w:lang w:eastAsia="en-US"/>
        </w:rPr>
        <w:t>4)</w:t>
      </w:r>
      <w:r w:rsidR="000E20D9" w:rsidRPr="00A873A2">
        <w:rPr>
          <w:lang w:eastAsia="en-US"/>
        </w:rPr>
        <w:t>.</w:t>
      </w:r>
      <w:r w:rsidR="000E20D9" w:rsidRPr="00A873A2">
        <w:rPr>
          <w:iCs/>
        </w:rPr>
        <w:t xml:space="preserve"> </w:t>
      </w:r>
      <w:r w:rsidRPr="00A873A2">
        <w:rPr>
          <w:iCs/>
        </w:rPr>
        <w:t xml:space="preserve">The PSCR noted that this updated parameter had negligible impact on the financial estimates.  The net cost to the PBS/RPBS was largely unchanged at </w:t>
      </w:r>
      <w:r w:rsidR="0097773F" w:rsidRPr="00B1026A">
        <w:rPr>
          <w:rFonts w:cstheme="minorHAnsi"/>
        </w:rPr>
        <w:t>$10 million to &lt;</w:t>
      </w:r>
      <w:r w:rsidR="0097773F">
        <w:rPr>
          <w:rFonts w:cstheme="minorHAnsi"/>
        </w:rPr>
        <w:t> </w:t>
      </w:r>
      <w:r w:rsidR="0097773F" w:rsidRPr="00B1026A">
        <w:rPr>
          <w:rFonts w:cstheme="minorHAnsi"/>
        </w:rPr>
        <w:t>$20</w:t>
      </w:r>
      <w:r w:rsidRPr="00A873A2">
        <w:rPr>
          <w:iCs/>
        </w:rPr>
        <w:t xml:space="preserve"> million in Year 6. </w:t>
      </w:r>
    </w:p>
    <w:p w:rsidR="00B35130" w:rsidRPr="00A873A2" w:rsidRDefault="00B35130" w:rsidP="00B35130">
      <w:pPr>
        <w:pStyle w:val="3-BodyText"/>
        <w:rPr>
          <w:iCs/>
        </w:rPr>
      </w:pPr>
      <w:r w:rsidRPr="00A873A2">
        <w:rPr>
          <w:iCs/>
        </w:rPr>
        <w:t>The PSCR also included additional health care costs associate</w:t>
      </w:r>
      <w:r w:rsidR="00E70460" w:rsidRPr="00A873A2">
        <w:rPr>
          <w:iCs/>
        </w:rPr>
        <w:t>d with infusion specific AEs (</w:t>
      </w:r>
      <w:r w:rsidRPr="00A873A2">
        <w:rPr>
          <w:iCs/>
        </w:rPr>
        <w:t>specialist visit costs</w:t>
      </w:r>
      <w:r w:rsidR="00E70460" w:rsidRPr="00A873A2">
        <w:rPr>
          <w:iCs/>
        </w:rPr>
        <w:t>)</w:t>
      </w:r>
      <w:r w:rsidRPr="00A873A2">
        <w:rPr>
          <w:iCs/>
        </w:rPr>
        <w:t xml:space="preserve"> in the financial estimates.  As a result estimated cost to the MBS increased slightly from </w:t>
      </w:r>
      <w:r w:rsidR="00F218C6" w:rsidRPr="00B1026A">
        <w:rPr>
          <w:rFonts w:cstheme="minorHAnsi"/>
        </w:rPr>
        <w:t>$0 to</w:t>
      </w:r>
      <w:r w:rsidR="00F218C6">
        <w:rPr>
          <w:rFonts w:cstheme="minorHAnsi"/>
        </w:rPr>
        <w:t xml:space="preserve"> &lt; </w:t>
      </w:r>
      <w:r w:rsidR="00F218C6" w:rsidRPr="00B1026A">
        <w:rPr>
          <w:rFonts w:cstheme="minorHAnsi"/>
        </w:rPr>
        <w:t>$10 million</w:t>
      </w:r>
      <w:r w:rsidRPr="00A873A2">
        <w:rPr>
          <w:iCs/>
        </w:rPr>
        <w:t xml:space="preserve"> to </w:t>
      </w:r>
      <w:r w:rsidR="00F218C6" w:rsidRPr="00B1026A">
        <w:rPr>
          <w:rFonts w:cstheme="minorHAnsi"/>
        </w:rPr>
        <w:t>$0 to</w:t>
      </w:r>
      <w:r w:rsidR="00F218C6">
        <w:rPr>
          <w:rFonts w:cstheme="minorHAnsi"/>
        </w:rPr>
        <w:t xml:space="preserve"> &lt; </w:t>
      </w:r>
      <w:r w:rsidR="00F218C6" w:rsidRPr="00B1026A">
        <w:rPr>
          <w:rFonts w:cstheme="minorHAnsi"/>
        </w:rPr>
        <w:t>$10 million</w:t>
      </w:r>
      <w:r w:rsidRPr="00A873A2">
        <w:rPr>
          <w:iCs/>
        </w:rPr>
        <w:t xml:space="preserve"> in Year 6 (Table 15).  </w:t>
      </w:r>
    </w:p>
    <w:p w:rsidR="004E64DA" w:rsidRPr="00B35130" w:rsidRDefault="004E64DA" w:rsidP="00B35130">
      <w:pPr>
        <w:pStyle w:val="3-BodyText"/>
        <w:rPr>
          <w:i/>
          <w:iCs/>
        </w:rPr>
      </w:pPr>
      <w:r w:rsidRPr="00A873A2">
        <w:t>The PSCR advised that new an</w:t>
      </w:r>
      <w:r w:rsidR="001F3EBB" w:rsidRPr="00A873A2">
        <w:t>d recurrent cases were included</w:t>
      </w:r>
      <w:r w:rsidRPr="00A873A2">
        <w:t xml:space="preserve"> in the eligible population. </w:t>
      </w:r>
      <w:r w:rsidR="007E5C9A" w:rsidRPr="00A873A2">
        <w:t>The ESC noted that data on the effectiveness of recurrent dosing was not available. The ESC considered that if recurrent dosing was excluded from the restriction or 100% funded by the sponsor through the proposed risk sharing arrangement the financial estimates would need to be adjusted accordingly.</w:t>
      </w:r>
      <w:r w:rsidR="007E5C9A">
        <w:rPr>
          <w:i/>
        </w:rPr>
        <w:t xml:space="preserve"> </w:t>
      </w:r>
    </w:p>
    <w:p w:rsidR="00576972" w:rsidRPr="00C9624D" w:rsidRDefault="00576972" w:rsidP="00606FBA">
      <w:pPr>
        <w:pStyle w:val="4-SubsectionHeading"/>
      </w:pPr>
      <w:bookmarkStart w:id="28" w:name="_Toc22897649"/>
      <w:bookmarkStart w:id="29" w:name="_Toc30493371"/>
      <w:bookmarkEnd w:id="27"/>
      <w:r w:rsidRPr="00C9624D">
        <w:t>Financial Management – Risk Sharing Arrangements</w:t>
      </w:r>
      <w:bookmarkEnd w:id="28"/>
      <w:bookmarkEnd w:id="29"/>
    </w:p>
    <w:p w:rsidR="007C7252" w:rsidRDefault="007C7252" w:rsidP="00006346">
      <w:pPr>
        <w:pStyle w:val="3-BodyText"/>
        <w:numPr>
          <w:ilvl w:val="1"/>
          <w:numId w:val="5"/>
        </w:numPr>
      </w:pPr>
      <w:bookmarkStart w:id="30" w:name="_Toc22897650"/>
      <w:r w:rsidRPr="00D344C5">
        <w:rPr>
          <w:rFonts w:ascii="Calibri" w:hAnsi="Calibri"/>
          <w:szCs w:val="22"/>
          <w:lang w:eastAsia="en-US"/>
        </w:rPr>
        <w:t xml:space="preserve">The resubmission proposed a special pricing arrangement with effective </w:t>
      </w:r>
      <w:r w:rsidR="00575C70">
        <w:rPr>
          <w:rFonts w:ascii="Calibri" w:hAnsi="Calibri"/>
          <w:szCs w:val="22"/>
          <w:lang w:eastAsia="en-US"/>
        </w:rPr>
        <w:t>DPMQ</w:t>
      </w:r>
      <w:r w:rsidR="00575C70" w:rsidRPr="00D344C5">
        <w:rPr>
          <w:rFonts w:ascii="Calibri" w:hAnsi="Calibri"/>
          <w:szCs w:val="22"/>
          <w:lang w:eastAsia="en-US"/>
        </w:rPr>
        <w:t xml:space="preserve"> </w:t>
      </w:r>
      <w:r w:rsidRPr="00D344C5">
        <w:rPr>
          <w:rFonts w:ascii="Calibri" w:hAnsi="Calibri"/>
          <w:szCs w:val="22"/>
          <w:lang w:eastAsia="en-US"/>
        </w:rPr>
        <w:t>for bezlotoxumab of $</w:t>
      </w:r>
      <w:r w:rsidR="006F551D">
        <w:rPr>
          <w:rFonts w:ascii="Calibri" w:hAnsi="Calibri"/>
          <w:noProof/>
          <w:color w:val="000000"/>
          <w:szCs w:val="22"/>
          <w:highlight w:val="black"/>
          <w:lang w:eastAsia="en-US"/>
        </w:rPr>
        <w:t xml:space="preserve">''''''''''' </w:t>
      </w:r>
      <w:r w:rsidRPr="00D344C5">
        <w:rPr>
          <w:rFonts w:ascii="Calibri" w:hAnsi="Calibri"/>
          <w:szCs w:val="22"/>
          <w:lang w:eastAsia="en-US"/>
        </w:rPr>
        <w:t xml:space="preserve">per vial (public hospitals) (versus a published price of $4,365).  </w:t>
      </w:r>
    </w:p>
    <w:p w:rsidR="007C7252" w:rsidRPr="00883B83" w:rsidRDefault="007C7252" w:rsidP="00006346">
      <w:pPr>
        <w:pStyle w:val="3-BodyText"/>
      </w:pPr>
      <w:r>
        <w:t>T</w:t>
      </w:r>
      <w:r w:rsidRPr="0043336E">
        <w:t xml:space="preserve">he </w:t>
      </w:r>
      <w:r>
        <w:t>resubmission</w:t>
      </w:r>
      <w:r w:rsidRPr="0043336E">
        <w:t xml:space="preserve"> proposed a risk sharing arrangement with a cap/rebate structure to account for any uncerta</w:t>
      </w:r>
      <w:r>
        <w:t xml:space="preserve">inty associated with </w:t>
      </w:r>
      <w:r w:rsidR="009F5B9E">
        <w:t xml:space="preserve">the introduction of bezlotoxumab and the inclusion of </w:t>
      </w:r>
      <w:r>
        <w:t>transplant patients</w:t>
      </w:r>
      <w:r w:rsidR="009F5B9E">
        <w:t xml:space="preserve"> in the restriction</w:t>
      </w:r>
      <w:r w:rsidRPr="0043336E">
        <w:t xml:space="preserve">.  The cap structure was based on the </w:t>
      </w:r>
      <w:r>
        <w:t xml:space="preserve">financial estimates </w:t>
      </w:r>
      <w:r w:rsidRPr="0043336E">
        <w:t xml:space="preserve">base case utilisation estimates presented in the resubmission up to Year 3, with the caps remaining at the Year </w:t>
      </w:r>
      <w:r>
        <w:t xml:space="preserve">3 estimate </w:t>
      </w:r>
      <w:r w:rsidR="009159A9">
        <w:t xml:space="preserve">of PBS costs of bezlotoxumab of </w:t>
      </w:r>
      <w:r w:rsidR="00F73948" w:rsidRPr="00B1026A">
        <w:rPr>
          <w:rFonts w:cstheme="minorHAnsi"/>
        </w:rPr>
        <w:t>$0 to &lt;</w:t>
      </w:r>
      <w:r w:rsidR="00840009">
        <w:rPr>
          <w:rFonts w:cstheme="minorHAnsi"/>
        </w:rPr>
        <w:t> </w:t>
      </w:r>
      <w:r w:rsidR="00F73948" w:rsidRPr="00B1026A">
        <w:rPr>
          <w:rFonts w:cstheme="minorHAnsi"/>
        </w:rPr>
        <w:t>$10 million</w:t>
      </w:r>
      <w:r w:rsidR="002F0D76">
        <w:t xml:space="preserve">, </w:t>
      </w:r>
      <w:r>
        <w:t>for Year 3 to Year 6</w:t>
      </w:r>
      <w:r w:rsidR="00983D43">
        <w:t xml:space="preserve"> (Table 16)</w:t>
      </w:r>
      <w:r>
        <w:t>.  The Sponsor proposed a rebate (undefined) for incremental payments over the cap.</w:t>
      </w:r>
      <w:r w:rsidRPr="006E4C07">
        <w:rPr>
          <w:i/>
          <w:iCs/>
        </w:rPr>
        <w:t xml:space="preserve"> </w:t>
      </w:r>
      <w:r>
        <w:rPr>
          <w:i/>
          <w:iCs/>
        </w:rPr>
        <w:t xml:space="preserve"> </w:t>
      </w:r>
      <w:r w:rsidRPr="00142AA9">
        <w:rPr>
          <w:iCs/>
        </w:rPr>
        <w:t xml:space="preserve">In the July 2019 resubmission, the Sponsor proposed a </w:t>
      </w:r>
      <w:r w:rsidR="006F551D">
        <w:rPr>
          <w:iCs/>
          <w:noProof/>
          <w:color w:val="000000"/>
          <w:highlight w:val="black"/>
        </w:rPr>
        <w:t>''''''''</w:t>
      </w:r>
      <w:r w:rsidRPr="00142AA9">
        <w:rPr>
          <w:iCs/>
        </w:rPr>
        <w:t>% rebate for incremental payments over the cap.</w:t>
      </w:r>
    </w:p>
    <w:p w:rsidR="00883B83" w:rsidRPr="00983D43" w:rsidRDefault="00983D43" w:rsidP="00983D43">
      <w:pPr>
        <w:pStyle w:val="TableFigureHeading"/>
      </w:pPr>
      <w:r>
        <w:t>Table 16: Risk sharing arrangement proposed for bezlotoxumab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DA768B" w:rsidRPr="009F36FA" w:rsidTr="00276EAF">
        <w:tc>
          <w:tcPr>
            <w:tcW w:w="1116" w:type="pct"/>
            <w:shd w:val="clear" w:color="auto" w:fill="auto"/>
            <w:vAlign w:val="center"/>
          </w:tcPr>
          <w:p w:rsidR="00DA768B" w:rsidRPr="009F36FA" w:rsidRDefault="00DA768B" w:rsidP="00276EAF">
            <w:pPr>
              <w:keepNext/>
              <w:keepLines/>
              <w:jc w:val="left"/>
              <w:rPr>
                <w:rFonts w:ascii="Arial Narrow" w:eastAsiaTheme="majorEastAsia" w:hAnsi="Arial Narrow" w:cstheme="majorBidi"/>
                <w:bCs/>
                <w:sz w:val="19"/>
                <w:szCs w:val="19"/>
              </w:rPr>
            </w:pPr>
          </w:p>
        </w:tc>
        <w:tc>
          <w:tcPr>
            <w:tcW w:w="647" w:type="pct"/>
            <w:tcBorders>
              <w:top w:val="single" w:sz="4" w:space="0" w:color="auto"/>
              <w:left w:val="single" w:sz="4" w:space="0" w:color="auto"/>
              <w:bottom w:val="single" w:sz="4" w:space="0" w:color="auto"/>
              <w:right w:val="single" w:sz="4" w:space="0" w:color="auto"/>
            </w:tcBorders>
            <w:shd w:val="clear" w:color="000000" w:fill="auto"/>
            <w:vAlign w:val="center"/>
          </w:tcPr>
          <w:p w:rsidR="00DA768B" w:rsidRPr="009F36FA" w:rsidRDefault="00D44CF4" w:rsidP="00276EAF">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
                <w:sz w:val="20"/>
                <w:szCs w:val="20"/>
                <w:lang w:eastAsia="en-US"/>
              </w:rPr>
              <w:t>Year 1</w:t>
            </w:r>
            <w:r w:rsidR="00DA768B" w:rsidRPr="009F36FA">
              <w:rPr>
                <w:rFonts w:ascii="Arial Narrow" w:eastAsiaTheme="majorEastAsia" w:hAnsi="Arial Narrow" w:cs="Times New Roman"/>
                <w:b/>
                <w:sz w:val="20"/>
                <w:szCs w:val="20"/>
                <w:lang w:eastAsia="en-US"/>
              </w:rPr>
              <w:t xml:space="preserve"> </w:t>
            </w:r>
          </w:p>
        </w:tc>
        <w:tc>
          <w:tcPr>
            <w:tcW w:w="647" w:type="pct"/>
            <w:tcBorders>
              <w:top w:val="single" w:sz="4" w:space="0" w:color="auto"/>
              <w:left w:val="nil"/>
              <w:bottom w:val="single" w:sz="4" w:space="0" w:color="auto"/>
              <w:right w:val="single" w:sz="4" w:space="0" w:color="auto"/>
            </w:tcBorders>
            <w:shd w:val="clear" w:color="000000" w:fill="auto"/>
            <w:vAlign w:val="center"/>
          </w:tcPr>
          <w:p w:rsidR="00DA768B" w:rsidRPr="009F36FA" w:rsidRDefault="00D44CF4" w:rsidP="00276EAF">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
                <w:sz w:val="20"/>
                <w:szCs w:val="20"/>
                <w:lang w:eastAsia="en-US"/>
              </w:rPr>
              <w:t>Year 2</w:t>
            </w:r>
            <w:r w:rsidR="00DA768B" w:rsidRPr="009F36FA">
              <w:rPr>
                <w:rFonts w:ascii="Arial Narrow" w:eastAsiaTheme="majorEastAsia" w:hAnsi="Arial Narrow" w:cs="Times New Roman"/>
                <w:b/>
                <w:sz w:val="20"/>
                <w:szCs w:val="20"/>
                <w:lang w:eastAsia="en-US"/>
              </w:rPr>
              <w:t xml:space="preserve"> </w:t>
            </w:r>
          </w:p>
        </w:tc>
        <w:tc>
          <w:tcPr>
            <w:tcW w:w="647" w:type="pct"/>
            <w:tcBorders>
              <w:top w:val="single" w:sz="4" w:space="0" w:color="auto"/>
              <w:left w:val="nil"/>
              <w:bottom w:val="single" w:sz="4" w:space="0" w:color="auto"/>
              <w:right w:val="single" w:sz="4" w:space="0" w:color="auto"/>
            </w:tcBorders>
            <w:shd w:val="clear" w:color="000000" w:fill="auto"/>
            <w:vAlign w:val="center"/>
          </w:tcPr>
          <w:p w:rsidR="00DA768B" w:rsidRPr="009F36FA" w:rsidRDefault="00D44CF4" w:rsidP="00276EAF">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
                <w:sz w:val="20"/>
                <w:szCs w:val="20"/>
                <w:lang w:eastAsia="en-US"/>
              </w:rPr>
              <w:t>Year 3</w:t>
            </w:r>
            <w:r w:rsidR="00DA768B" w:rsidRPr="009F36FA">
              <w:rPr>
                <w:rFonts w:ascii="Arial Narrow" w:eastAsiaTheme="majorEastAsia" w:hAnsi="Arial Narrow" w:cs="Times New Roman"/>
                <w:b/>
                <w:sz w:val="20"/>
                <w:szCs w:val="20"/>
                <w:lang w:eastAsia="en-US"/>
              </w:rPr>
              <w:t xml:space="preserve"> </w:t>
            </w:r>
          </w:p>
        </w:tc>
        <w:tc>
          <w:tcPr>
            <w:tcW w:w="647" w:type="pct"/>
            <w:tcBorders>
              <w:top w:val="single" w:sz="4" w:space="0" w:color="auto"/>
              <w:left w:val="nil"/>
              <w:bottom w:val="single" w:sz="4" w:space="0" w:color="auto"/>
              <w:right w:val="single" w:sz="4" w:space="0" w:color="auto"/>
            </w:tcBorders>
            <w:shd w:val="clear" w:color="000000" w:fill="auto"/>
            <w:vAlign w:val="center"/>
          </w:tcPr>
          <w:p w:rsidR="00DA768B" w:rsidRPr="009F36FA" w:rsidRDefault="00D44CF4" w:rsidP="00276EAF">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
                <w:sz w:val="20"/>
                <w:szCs w:val="20"/>
                <w:lang w:eastAsia="en-US"/>
              </w:rPr>
              <w:t>Year 4</w:t>
            </w:r>
            <w:r w:rsidR="00DA768B" w:rsidRPr="009F36FA">
              <w:rPr>
                <w:rFonts w:ascii="Arial Narrow" w:eastAsiaTheme="majorEastAsia" w:hAnsi="Arial Narrow" w:cs="Times New Roman"/>
                <w:b/>
                <w:sz w:val="20"/>
                <w:szCs w:val="20"/>
                <w:lang w:eastAsia="en-US"/>
              </w:rPr>
              <w:t xml:space="preserve"> </w:t>
            </w:r>
          </w:p>
        </w:tc>
        <w:tc>
          <w:tcPr>
            <w:tcW w:w="647" w:type="pct"/>
            <w:tcBorders>
              <w:top w:val="single" w:sz="4" w:space="0" w:color="auto"/>
              <w:left w:val="nil"/>
              <w:bottom w:val="single" w:sz="4" w:space="0" w:color="auto"/>
              <w:right w:val="single" w:sz="4" w:space="0" w:color="auto"/>
            </w:tcBorders>
            <w:shd w:val="clear" w:color="000000" w:fill="auto"/>
            <w:vAlign w:val="center"/>
          </w:tcPr>
          <w:p w:rsidR="00DA768B" w:rsidRPr="009F36FA" w:rsidRDefault="00D44CF4" w:rsidP="00276EAF">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
                <w:sz w:val="20"/>
                <w:szCs w:val="20"/>
                <w:lang w:eastAsia="en-US"/>
              </w:rPr>
              <w:t>Year 5</w:t>
            </w:r>
            <w:r w:rsidR="00DA768B" w:rsidRPr="009F36FA">
              <w:rPr>
                <w:rFonts w:ascii="Arial Narrow" w:eastAsiaTheme="majorEastAsia" w:hAnsi="Arial Narrow" w:cs="Times New Roman"/>
                <w:b/>
                <w:sz w:val="20"/>
                <w:szCs w:val="20"/>
                <w:lang w:eastAsia="en-US"/>
              </w:rPr>
              <w:t xml:space="preserve"> </w:t>
            </w:r>
          </w:p>
        </w:tc>
        <w:tc>
          <w:tcPr>
            <w:tcW w:w="649" w:type="pct"/>
            <w:tcBorders>
              <w:top w:val="single" w:sz="4" w:space="0" w:color="auto"/>
              <w:left w:val="nil"/>
              <w:bottom w:val="single" w:sz="4" w:space="0" w:color="auto"/>
              <w:right w:val="single" w:sz="4" w:space="0" w:color="auto"/>
            </w:tcBorders>
            <w:shd w:val="clear" w:color="000000" w:fill="auto"/>
            <w:vAlign w:val="center"/>
          </w:tcPr>
          <w:p w:rsidR="00DA768B" w:rsidRPr="009F36FA" w:rsidRDefault="00D44CF4" w:rsidP="00276EAF">
            <w:pPr>
              <w:keepNext/>
              <w:keepLines/>
              <w:jc w:val="center"/>
              <w:rPr>
                <w:rFonts w:ascii="Arial Narrow" w:eastAsiaTheme="majorEastAsia" w:hAnsi="Arial Narrow" w:cstheme="majorBidi"/>
                <w:bCs/>
                <w:sz w:val="20"/>
                <w:szCs w:val="20"/>
              </w:rPr>
            </w:pPr>
            <w:r w:rsidRPr="009F36FA">
              <w:rPr>
                <w:rFonts w:ascii="Arial Narrow" w:eastAsiaTheme="majorEastAsia" w:hAnsi="Arial Narrow" w:cs="Times New Roman"/>
                <w:b/>
                <w:sz w:val="20"/>
                <w:szCs w:val="20"/>
                <w:lang w:eastAsia="en-US"/>
              </w:rPr>
              <w:t>Year 6</w:t>
            </w:r>
            <w:r w:rsidR="00DA768B" w:rsidRPr="009F36FA">
              <w:rPr>
                <w:rFonts w:ascii="Arial Narrow" w:eastAsiaTheme="majorEastAsia" w:hAnsi="Arial Narrow" w:cs="Times New Roman"/>
                <w:b/>
                <w:sz w:val="20"/>
                <w:szCs w:val="20"/>
                <w:lang w:eastAsia="en-US"/>
              </w:rPr>
              <w:t xml:space="preserve"> </w:t>
            </w:r>
          </w:p>
        </w:tc>
      </w:tr>
      <w:tr w:rsidR="00DA768B" w:rsidRPr="009F36FA" w:rsidTr="00DA768B">
        <w:tc>
          <w:tcPr>
            <w:tcW w:w="1116" w:type="pct"/>
            <w:tcBorders>
              <w:top w:val="single" w:sz="4" w:space="0" w:color="auto"/>
              <w:left w:val="single" w:sz="4" w:space="0" w:color="auto"/>
              <w:bottom w:val="single" w:sz="4" w:space="0" w:color="auto"/>
              <w:right w:val="single" w:sz="4" w:space="0" w:color="auto"/>
            </w:tcBorders>
            <w:shd w:val="clear" w:color="auto" w:fill="auto"/>
            <w:vAlign w:val="center"/>
          </w:tcPr>
          <w:p w:rsidR="00DA768B" w:rsidRPr="009F36FA" w:rsidRDefault="00883B83" w:rsidP="00276EAF">
            <w:pPr>
              <w:keepNext/>
              <w:keepLines/>
              <w:jc w:val="left"/>
              <w:rPr>
                <w:rFonts w:ascii="Arial Narrow" w:eastAsiaTheme="majorEastAsia" w:hAnsi="Arial Narrow" w:cstheme="majorBidi"/>
                <w:bCs/>
                <w:sz w:val="19"/>
                <w:szCs w:val="19"/>
              </w:rPr>
            </w:pPr>
            <w:r w:rsidRPr="009F36FA">
              <w:rPr>
                <w:rFonts w:ascii="Arial Narrow" w:hAnsi="Arial Narrow" w:cs="Calibri"/>
                <w:sz w:val="20"/>
                <w:szCs w:val="20"/>
              </w:rPr>
              <w:t>Subsidisation cap</w:t>
            </w:r>
            <w:r w:rsidR="00983D43" w:rsidRPr="009F36FA">
              <w:rPr>
                <w:rFonts w:ascii="Arial Narrow" w:hAnsi="Arial Narrow" w:cs="Calibri"/>
                <w:sz w:val="20"/>
                <w:szCs w:val="20"/>
              </w:rPr>
              <w:t xml:space="preserve"> (current resubmission)</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DA768B" w:rsidRPr="009F36FA" w:rsidRDefault="00DA768B" w:rsidP="00276EAF">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DA768B" w:rsidRPr="009F36FA" w:rsidRDefault="00DA768B" w:rsidP="00276EAF">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DA768B" w:rsidRPr="009F36FA" w:rsidRDefault="00DA768B" w:rsidP="00276EAF">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DA768B" w:rsidRPr="009F36FA" w:rsidRDefault="00883B83" w:rsidP="00276EAF">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DA768B" w:rsidRPr="009F36FA" w:rsidRDefault="00883B83" w:rsidP="00276EAF">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9" w:type="pct"/>
            <w:tcBorders>
              <w:top w:val="single" w:sz="4" w:space="0" w:color="auto"/>
              <w:left w:val="single" w:sz="4" w:space="0" w:color="auto"/>
              <w:bottom w:val="single" w:sz="4" w:space="0" w:color="auto"/>
              <w:right w:val="single" w:sz="4" w:space="0" w:color="auto"/>
            </w:tcBorders>
            <w:shd w:val="clear" w:color="auto" w:fill="auto"/>
            <w:vAlign w:val="bottom"/>
          </w:tcPr>
          <w:p w:rsidR="00DA768B" w:rsidRPr="009F36FA" w:rsidRDefault="00883B83" w:rsidP="00276EAF">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r>
      <w:tr w:rsidR="00D811E4" w:rsidRPr="009F36FA" w:rsidTr="00DA768B">
        <w:tc>
          <w:tcPr>
            <w:tcW w:w="1116" w:type="pct"/>
            <w:tcBorders>
              <w:top w:val="single" w:sz="4" w:space="0" w:color="auto"/>
              <w:left w:val="single" w:sz="4" w:space="0" w:color="auto"/>
              <w:bottom w:val="single" w:sz="4" w:space="0" w:color="auto"/>
              <w:right w:val="single" w:sz="4" w:space="0" w:color="auto"/>
            </w:tcBorders>
            <w:shd w:val="clear" w:color="auto" w:fill="auto"/>
            <w:vAlign w:val="center"/>
          </w:tcPr>
          <w:p w:rsidR="00D811E4" w:rsidRPr="009F36FA" w:rsidRDefault="00D811E4" w:rsidP="00D811E4">
            <w:pPr>
              <w:keepNext/>
              <w:keepLines/>
              <w:jc w:val="left"/>
              <w:rPr>
                <w:rFonts w:ascii="Arial Narrow" w:hAnsi="Arial Narrow" w:cs="Calibri"/>
                <w:sz w:val="20"/>
                <w:szCs w:val="20"/>
                <w:vertAlign w:val="superscript"/>
              </w:rPr>
            </w:pPr>
            <w:r w:rsidRPr="009F36FA">
              <w:rPr>
                <w:rFonts w:ascii="Arial Narrow" w:hAnsi="Arial Narrow" w:cs="Calibri"/>
                <w:sz w:val="20"/>
                <w:szCs w:val="20"/>
              </w:rPr>
              <w:t>Subsidisation cap (current resubmission - PSCR)</w:t>
            </w:r>
            <w:r w:rsidR="00176659" w:rsidRPr="009F36FA">
              <w:rPr>
                <w:rFonts w:ascii="Arial Narrow" w:hAnsi="Arial Narrow" w:cs="Calibri"/>
                <w:sz w:val="20"/>
                <w:szCs w:val="20"/>
                <w:vertAlign w:val="superscript"/>
              </w:rPr>
              <w:t>a</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D811E4" w:rsidRPr="009F36FA" w:rsidRDefault="00D811E4" w:rsidP="00D811E4">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D811E4" w:rsidRPr="009F36FA" w:rsidRDefault="00D811E4" w:rsidP="00D811E4">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D811E4" w:rsidRPr="009F36FA" w:rsidRDefault="00D811E4" w:rsidP="00D811E4">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D811E4" w:rsidRPr="009F36FA" w:rsidRDefault="00176659" w:rsidP="00D811E4">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D811E4" w:rsidRPr="009F36FA" w:rsidRDefault="00176659" w:rsidP="00D811E4">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c>
          <w:tcPr>
            <w:tcW w:w="649" w:type="pct"/>
            <w:tcBorders>
              <w:top w:val="single" w:sz="4" w:space="0" w:color="auto"/>
              <w:left w:val="single" w:sz="4" w:space="0" w:color="auto"/>
              <w:bottom w:val="single" w:sz="4" w:space="0" w:color="auto"/>
              <w:right w:val="single" w:sz="4" w:space="0" w:color="auto"/>
            </w:tcBorders>
            <w:shd w:val="clear" w:color="auto" w:fill="auto"/>
            <w:vAlign w:val="bottom"/>
          </w:tcPr>
          <w:p w:rsidR="00D811E4" w:rsidRPr="009F36FA" w:rsidRDefault="00176659" w:rsidP="00D811E4">
            <w:pPr>
              <w:keepNext/>
              <w:keepLines/>
              <w:jc w:val="center"/>
              <w:rPr>
                <w:rFonts w:ascii="Arial Narrow" w:eastAsiaTheme="majorEastAsia" w:hAnsi="Arial Narrow" w:cs="Times New Roman"/>
                <w:bCs/>
                <w:sz w:val="20"/>
                <w:szCs w:val="20"/>
                <w:lang w:eastAsia="en-US"/>
              </w:rPr>
            </w:pPr>
            <w:r w:rsidRPr="009F36FA">
              <w:rPr>
                <w:rFonts w:ascii="Arial Narrow" w:eastAsiaTheme="majorEastAsia" w:hAnsi="Arial Narrow" w:cs="Times New Roman"/>
                <w:bCs/>
                <w:sz w:val="20"/>
                <w:szCs w:val="20"/>
                <w:lang w:eastAsia="en-US"/>
              </w:rPr>
              <w:t>$</w:t>
            </w:r>
            <w:r w:rsidR="006F551D">
              <w:rPr>
                <w:rFonts w:ascii="Arial Narrow" w:eastAsiaTheme="majorEastAsia" w:hAnsi="Arial Narrow" w:cs="Times New Roman"/>
                <w:bCs/>
                <w:noProof/>
                <w:color w:val="000000"/>
                <w:sz w:val="20"/>
                <w:szCs w:val="20"/>
                <w:highlight w:val="black"/>
                <w:lang w:eastAsia="en-US"/>
              </w:rPr>
              <w:t>''''''''''''''''''''''''</w:t>
            </w:r>
          </w:p>
        </w:tc>
      </w:tr>
    </w:tbl>
    <w:p w:rsidR="00D811E4" w:rsidRPr="009F36FA" w:rsidRDefault="00D811E4" w:rsidP="00D811E4">
      <w:pPr>
        <w:widowControl w:val="0"/>
        <w:rPr>
          <w:rFonts w:ascii="Arial Narrow" w:hAnsi="Arial Narrow"/>
          <w:iCs/>
          <w:snapToGrid w:val="0"/>
          <w:sz w:val="18"/>
          <w:szCs w:val="22"/>
          <w:lang w:eastAsia="en-US"/>
        </w:rPr>
      </w:pPr>
      <w:r w:rsidRPr="009F36FA">
        <w:rPr>
          <w:rFonts w:ascii="Arial Narrow" w:hAnsi="Arial Narrow"/>
          <w:sz w:val="18"/>
          <w:szCs w:val="18"/>
        </w:rPr>
        <w:t xml:space="preserve">Source: </w:t>
      </w:r>
      <w:r w:rsidRPr="009F36FA">
        <w:rPr>
          <w:rFonts w:ascii="Arial Narrow" w:hAnsi="Arial Narrow"/>
          <w:snapToGrid w:val="0"/>
          <w:sz w:val="18"/>
          <w:szCs w:val="22"/>
          <w:lang w:eastAsia="en-US"/>
        </w:rPr>
        <w:t>Constructed during the preparation of the ESC Advice</w:t>
      </w:r>
      <w:r w:rsidR="00176659" w:rsidRPr="009F36FA">
        <w:rPr>
          <w:rFonts w:ascii="Arial Narrow" w:hAnsi="Arial Narrow"/>
          <w:snapToGrid w:val="0"/>
          <w:sz w:val="18"/>
          <w:szCs w:val="22"/>
          <w:lang w:eastAsia="en-US"/>
        </w:rPr>
        <w:t xml:space="preserve"> from </w:t>
      </w:r>
      <w:r w:rsidR="00176659" w:rsidRPr="009F36FA">
        <w:rPr>
          <w:rFonts w:ascii="Arial Narrow" w:hAnsi="Arial Narrow"/>
          <w:iCs/>
          <w:snapToGrid w:val="0"/>
          <w:sz w:val="18"/>
          <w:szCs w:val="22"/>
          <w:lang w:eastAsia="en-US"/>
        </w:rPr>
        <w:t>Bezlotoxumab Section 4 Workbook of the resubmission and PSCR</w:t>
      </w:r>
    </w:p>
    <w:p w:rsidR="00176659" w:rsidRPr="009F36FA" w:rsidRDefault="00176659" w:rsidP="00D811E4">
      <w:pPr>
        <w:widowControl w:val="0"/>
        <w:rPr>
          <w:rFonts w:ascii="Arial Narrow" w:hAnsi="Arial Narrow"/>
          <w:snapToGrid w:val="0"/>
          <w:sz w:val="18"/>
          <w:szCs w:val="22"/>
          <w:lang w:eastAsia="en-US"/>
        </w:rPr>
      </w:pPr>
      <w:r w:rsidRPr="009F36FA">
        <w:rPr>
          <w:rFonts w:ascii="Arial Narrow" w:hAnsi="Arial Narrow"/>
          <w:snapToGrid w:val="0"/>
          <w:sz w:val="18"/>
          <w:szCs w:val="22"/>
          <w:vertAlign w:val="superscript"/>
        </w:rPr>
        <w:t xml:space="preserve">a </w:t>
      </w:r>
      <w:r w:rsidRPr="009F36FA">
        <w:rPr>
          <w:rFonts w:ascii="Arial Narrow" w:hAnsi="Arial Narrow"/>
          <w:snapToGrid w:val="0"/>
          <w:sz w:val="18"/>
          <w:szCs w:val="22"/>
        </w:rPr>
        <w:t>Public/Private hospital split updated from 50:50 to 68:32 in the PSCR</w:t>
      </w:r>
    </w:p>
    <w:p w:rsidR="00DA768B" w:rsidRPr="00D811E4" w:rsidRDefault="00DA768B" w:rsidP="00DA768B">
      <w:pPr>
        <w:pStyle w:val="3-BodyText"/>
        <w:numPr>
          <w:ilvl w:val="0"/>
          <w:numId w:val="0"/>
        </w:numPr>
        <w:rPr>
          <w:rFonts w:ascii="Arial Narrow" w:hAnsi="Arial Narrow"/>
          <w:sz w:val="18"/>
          <w:szCs w:val="18"/>
        </w:rPr>
      </w:pPr>
    </w:p>
    <w:p w:rsidR="007C7252" w:rsidRPr="00795269" w:rsidRDefault="007C7252" w:rsidP="00006346">
      <w:pPr>
        <w:pStyle w:val="3-BodyText"/>
      </w:pPr>
      <w:r w:rsidRPr="00142AA9">
        <w:rPr>
          <w:iCs/>
          <w:szCs w:val="22"/>
          <w:lang w:eastAsia="en-US"/>
        </w:rPr>
        <w:t xml:space="preserve">The PBAC had advised that financial uncertainty would need to be addressed with a risk sharing arrangement with a </w:t>
      </w:r>
      <w:r w:rsidR="006F551D">
        <w:rPr>
          <w:iCs/>
          <w:noProof/>
          <w:color w:val="000000"/>
          <w:szCs w:val="22"/>
          <w:highlight w:val="black"/>
          <w:lang w:eastAsia="en-US"/>
        </w:rPr>
        <w:t>'''''''</w:t>
      </w:r>
      <w:r w:rsidRPr="00142AA9">
        <w:rPr>
          <w:iCs/>
          <w:szCs w:val="22"/>
          <w:lang w:eastAsia="en-US"/>
        </w:rPr>
        <w:t>% rebate over the financial caps</w:t>
      </w:r>
      <w:r w:rsidRPr="00142AA9">
        <w:rPr>
          <w:iCs/>
        </w:rPr>
        <w:t xml:space="preserve"> (paragraph 7.9, bezlotoxumab, </w:t>
      </w:r>
      <w:r w:rsidR="00983D43">
        <w:rPr>
          <w:iCs/>
        </w:rPr>
        <w:t>Public Summary Document</w:t>
      </w:r>
      <w:r w:rsidRPr="00142AA9">
        <w:rPr>
          <w:iCs/>
        </w:rPr>
        <w:t>, July 2019 PBAC meeting).</w:t>
      </w:r>
    </w:p>
    <w:p w:rsidR="004E64DA" w:rsidRPr="00A873A2" w:rsidRDefault="00795269" w:rsidP="00006346">
      <w:pPr>
        <w:pStyle w:val="3-BodyText"/>
      </w:pPr>
      <w:r w:rsidRPr="00A873A2">
        <w:t>The ESC noted that the PSCR did not clarify the proposed rebate for i</w:t>
      </w:r>
      <w:r w:rsidR="00A33288" w:rsidRPr="00A873A2">
        <w:t>ncremental payments over the cap</w:t>
      </w:r>
      <w:r w:rsidRPr="00A873A2">
        <w:t xml:space="preserve">. </w:t>
      </w:r>
      <w:r w:rsidR="00A33288" w:rsidRPr="00A873A2">
        <w:t xml:space="preserve">The ESC </w:t>
      </w:r>
      <w:r w:rsidR="00032DFA" w:rsidRPr="00A873A2">
        <w:t>further noted</w:t>
      </w:r>
      <w:r w:rsidR="00A33288" w:rsidRPr="00A873A2">
        <w:t xml:space="preserve"> detail </w:t>
      </w:r>
      <w:r w:rsidR="00032DFA" w:rsidRPr="00A873A2">
        <w:t>regarding</w:t>
      </w:r>
      <w:r w:rsidR="00A33288" w:rsidRPr="00A873A2">
        <w:t xml:space="preserve"> the inclusion of transplant patients in proposed risk sharing arrangements</w:t>
      </w:r>
      <w:r w:rsidR="00032DFA" w:rsidRPr="00A873A2">
        <w:t xml:space="preserve"> was not provided</w:t>
      </w:r>
      <w:r w:rsidR="00A33288" w:rsidRPr="00A873A2">
        <w:t xml:space="preserve">. </w:t>
      </w:r>
      <w:r w:rsidR="00B11883" w:rsidRPr="00C023FC">
        <w:rPr>
          <w:rFonts w:cstheme="minorHAnsi"/>
        </w:rPr>
        <w:t xml:space="preserve">The pre-PBAC response stated the sponsor agrees to the inclusion of transplant patients as per the prescriber instructions in the requested listing within the proposed RSA caps that </w:t>
      </w:r>
      <w:r w:rsidR="00B11883" w:rsidRPr="00C023FC">
        <w:rPr>
          <w:rFonts w:cstheme="minorHAnsi"/>
        </w:rPr>
        <w:lastRenderedPageBreak/>
        <w:t xml:space="preserve">are capped at the Year 3 financial estimates in order to minimise the impact of uncertainty on Government expenditure. The pre-PBAC response also stated the sponsor agrees to a rebate for any incremental payment over the proposed RSA caps. The PBAC noted that the pre-PBAC response did not clarify the </w:t>
      </w:r>
      <w:r w:rsidR="00595898">
        <w:rPr>
          <w:rFonts w:cstheme="minorHAnsi"/>
        </w:rPr>
        <w:t xml:space="preserve">extent of the </w:t>
      </w:r>
      <w:r w:rsidR="00B11883" w:rsidRPr="00C023FC">
        <w:rPr>
          <w:rFonts w:cstheme="minorHAnsi"/>
        </w:rPr>
        <w:t>proposed rebate for incremental payments over the cap.</w:t>
      </w:r>
      <w:r w:rsidR="00B11883">
        <w:rPr>
          <w:rFonts w:ascii="Arial" w:hAnsi="Arial"/>
          <w:sz w:val="22"/>
          <w:szCs w:val="22"/>
        </w:rPr>
        <w:t xml:space="preserve"> </w:t>
      </w:r>
    </w:p>
    <w:p w:rsidR="003F7004" w:rsidRPr="00DE6BE1" w:rsidRDefault="00795269" w:rsidP="009F36FA">
      <w:pPr>
        <w:pStyle w:val="3-BodyText"/>
        <w:rPr>
          <w:rFonts w:cstheme="minorHAnsi"/>
          <w:iCs/>
        </w:rPr>
      </w:pPr>
      <w:r w:rsidRPr="00B11883">
        <w:rPr>
          <w:iCs/>
        </w:rPr>
        <w:t xml:space="preserve">The ESC advised that in absence of any data on the effectiveness of recurrent dosing, </w:t>
      </w:r>
      <w:r w:rsidR="000868A8" w:rsidRPr="00B11883">
        <w:rPr>
          <w:iCs/>
        </w:rPr>
        <w:t>cases where this occurs</w:t>
      </w:r>
      <w:r w:rsidRPr="00B11883">
        <w:rPr>
          <w:iCs/>
        </w:rPr>
        <w:t xml:space="preserve"> could be excluded from the restriction or </w:t>
      </w:r>
      <w:r w:rsidR="006F551D">
        <w:rPr>
          <w:iCs/>
          <w:noProof/>
          <w:color w:val="000000"/>
          <w:highlight w:val="black"/>
        </w:rPr>
        <w:t>'''''''</w:t>
      </w:r>
      <w:r w:rsidRPr="00B11883">
        <w:rPr>
          <w:iCs/>
        </w:rPr>
        <w:t>% funded by the sponsor through the proposed risk sharing arrangement</w:t>
      </w:r>
      <w:r w:rsidR="004E64DA" w:rsidRPr="00B11883">
        <w:rPr>
          <w:iCs/>
        </w:rPr>
        <w:t xml:space="preserve">. The ESC </w:t>
      </w:r>
      <w:r w:rsidR="00A02EA3" w:rsidRPr="00B11883">
        <w:rPr>
          <w:iCs/>
        </w:rPr>
        <w:t xml:space="preserve">considered that </w:t>
      </w:r>
      <w:r w:rsidR="00B90C31" w:rsidRPr="00B11883">
        <w:rPr>
          <w:iCs/>
        </w:rPr>
        <w:t>the subsidisation caps would require amendment in accordance with adjustments to the financial estimates if these cases were removed (see paragraph 6.</w:t>
      </w:r>
      <w:r w:rsidR="007E5C9A">
        <w:rPr>
          <w:iCs/>
        </w:rPr>
        <w:t>54</w:t>
      </w:r>
      <w:r w:rsidR="00B90C31" w:rsidRPr="00B11883">
        <w:rPr>
          <w:iCs/>
        </w:rPr>
        <w:t xml:space="preserve">). </w:t>
      </w:r>
      <w:bookmarkEnd w:id="30"/>
      <w:r w:rsidR="00B11883" w:rsidRPr="00B11883">
        <w:rPr>
          <w:iCs/>
        </w:rPr>
        <w:t xml:space="preserve"> The </w:t>
      </w:r>
      <w:r w:rsidR="009F36FA">
        <w:rPr>
          <w:iCs/>
        </w:rPr>
        <w:t xml:space="preserve">pre-PBAC response stated that </w:t>
      </w:r>
      <w:r w:rsidR="00B11883" w:rsidRPr="00B11883">
        <w:rPr>
          <w:iCs/>
        </w:rPr>
        <w:t xml:space="preserve">recurrent dosing in relation to the same episode of CDI </w:t>
      </w:r>
      <w:r w:rsidR="009F36FA">
        <w:rPr>
          <w:iCs/>
        </w:rPr>
        <w:t xml:space="preserve">has been addressed </w:t>
      </w:r>
      <w:r w:rsidR="00B11883" w:rsidRPr="00B11883">
        <w:rPr>
          <w:iCs/>
        </w:rPr>
        <w:t xml:space="preserve">in the administrative advice section of the requested listing “Repeat administration is not permitted within 90 days of the initial episode”. </w:t>
      </w:r>
      <w:r w:rsidR="009F36FA">
        <w:rPr>
          <w:iCs/>
        </w:rPr>
        <w:t>The pre-PBAC response argued that a</w:t>
      </w:r>
      <w:r w:rsidR="00B11883" w:rsidRPr="00B11883">
        <w:rPr>
          <w:iCs/>
        </w:rPr>
        <w:t xml:space="preserve">ny incidence of CDI outside the 90 days is more likely to be a new case of CDI rather than a </w:t>
      </w:r>
      <w:r w:rsidR="00B11883" w:rsidRPr="00DE6BE1">
        <w:rPr>
          <w:rFonts w:cstheme="minorHAnsi"/>
          <w:iCs/>
        </w:rPr>
        <w:t xml:space="preserve">recurrence. </w:t>
      </w:r>
      <w:r w:rsidR="009F36FA" w:rsidRPr="00DE6BE1">
        <w:rPr>
          <w:rFonts w:cstheme="minorHAnsi"/>
          <w:iCs/>
        </w:rPr>
        <w:t xml:space="preserve">In addition, the pre-PBAC response argued that, as the proposed RSA is based on </w:t>
      </w:r>
      <w:r w:rsidR="00B11883" w:rsidRPr="00DE6BE1">
        <w:rPr>
          <w:rFonts w:cstheme="minorHAnsi"/>
        </w:rPr>
        <w:t>utilisation estimates to Year 3 with expenditure in Years 4 to 6 capped at the Year 3 level</w:t>
      </w:r>
      <w:r w:rsidR="009F36FA" w:rsidRPr="00DE6BE1">
        <w:rPr>
          <w:rFonts w:cstheme="minorHAnsi"/>
        </w:rPr>
        <w:t xml:space="preserve">, it has already been </w:t>
      </w:r>
      <w:r w:rsidR="00B11883" w:rsidRPr="00DE6BE1">
        <w:rPr>
          <w:rFonts w:cstheme="minorHAnsi"/>
        </w:rPr>
        <w:t>amended to account for any risk in repeat doses in the financial estimates.</w:t>
      </w:r>
    </w:p>
    <w:p w:rsidR="00CF61E7" w:rsidRPr="00CF61E7" w:rsidRDefault="00CF61E7" w:rsidP="00CF61E7">
      <w:pPr>
        <w:tabs>
          <w:tab w:val="center" w:pos="4153"/>
          <w:tab w:val="right" w:pos="8306"/>
        </w:tabs>
        <w:autoSpaceDE w:val="0"/>
        <w:autoSpaceDN w:val="0"/>
        <w:adjustRightInd w:val="0"/>
        <w:ind w:left="709"/>
        <w:rPr>
          <w:rFonts w:asciiTheme="minorHAnsi" w:hAnsiTheme="minorHAnsi" w:cstheme="minorHAnsi"/>
          <w:i/>
          <w:iCs/>
        </w:rPr>
      </w:pPr>
      <w:r w:rsidRPr="00CF61E7">
        <w:rPr>
          <w:rFonts w:asciiTheme="minorHAnsi" w:hAnsiTheme="minorHAnsi" w:cstheme="minorHAnsi"/>
          <w:i/>
          <w:iCs/>
        </w:rPr>
        <w:t>For more detail on PBAC’s view, see section 7 PBAC outcome.</w:t>
      </w:r>
    </w:p>
    <w:p w:rsidR="00CF61E7" w:rsidRDefault="00CF61E7" w:rsidP="009F36FA">
      <w:pPr>
        <w:pStyle w:val="3-BodyText"/>
        <w:numPr>
          <w:ilvl w:val="0"/>
          <w:numId w:val="0"/>
        </w:numPr>
        <w:rPr>
          <w:i/>
        </w:rPr>
      </w:pPr>
    </w:p>
    <w:p w:rsidR="001D5D62" w:rsidRPr="001D5D62" w:rsidRDefault="001D5D62" w:rsidP="001D5D62">
      <w:pPr>
        <w:pStyle w:val="2-SectionHeading"/>
      </w:pPr>
      <w:r w:rsidRPr="001D5D62">
        <w:t>PBAC Outcome</w:t>
      </w:r>
    </w:p>
    <w:p w:rsidR="006A5861" w:rsidRDefault="006A5861" w:rsidP="00184BF1">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did not recommend the listing of bezlotoxumab on the PBS for the prevention of </w:t>
      </w:r>
      <w:r>
        <w:rPr>
          <w:rFonts w:asciiTheme="minorHAnsi" w:hAnsiTheme="minorHAnsi"/>
          <w:bCs/>
          <w:i/>
          <w:snapToGrid w:val="0"/>
          <w:lang w:val="en-GB"/>
        </w:rPr>
        <w:t xml:space="preserve">Clostridium difficile </w:t>
      </w:r>
      <w:r>
        <w:rPr>
          <w:rFonts w:asciiTheme="minorHAnsi" w:hAnsiTheme="minorHAnsi"/>
          <w:bCs/>
          <w:snapToGrid w:val="0"/>
          <w:lang w:val="en-GB"/>
        </w:rPr>
        <w:t xml:space="preserve">infection (CDI) on the basis </w:t>
      </w:r>
      <w:r w:rsidR="006373C7">
        <w:rPr>
          <w:rFonts w:asciiTheme="minorHAnsi" w:hAnsiTheme="minorHAnsi"/>
          <w:bCs/>
          <w:snapToGrid w:val="0"/>
          <w:lang w:val="en-GB"/>
        </w:rPr>
        <w:t xml:space="preserve">of uncertain clinical need, its modest effectiveness and concerns regarding safety, along with an uncertain incremental cost-effectiveness ratio (ICER). </w:t>
      </w:r>
    </w:p>
    <w:p w:rsidR="007376B5" w:rsidRDefault="006373C7" w:rsidP="006373C7">
      <w:pPr>
        <w:pStyle w:val="3-BodyText"/>
        <w:rPr>
          <w:iCs/>
        </w:rPr>
      </w:pPr>
      <w:r>
        <w:rPr>
          <w:iCs/>
        </w:rPr>
        <w:t>The PBAC noted that the</w:t>
      </w:r>
      <w:r w:rsidR="00237512" w:rsidRPr="006373C7">
        <w:rPr>
          <w:iCs/>
        </w:rPr>
        <w:t xml:space="preserve"> resubmission requested listing for a new high risk population, defined as ≥1 of 3 risk fact</w:t>
      </w:r>
      <w:r w:rsidR="003A30EE">
        <w:rPr>
          <w:iCs/>
        </w:rPr>
        <w:t>ors</w:t>
      </w:r>
      <w:r>
        <w:rPr>
          <w:iCs/>
        </w:rPr>
        <w:t xml:space="preserve"> (age ≥65 years; history of CDI</w:t>
      </w:r>
      <w:r w:rsidR="00237512" w:rsidRPr="006373C7">
        <w:rPr>
          <w:iCs/>
        </w:rPr>
        <w:t xml:space="preserve"> in past 6 months; immunocompromised due to haematopoietic stem cell transplant (HSCT) or solid organ transplant (SOT)). </w:t>
      </w:r>
      <w:r w:rsidR="006D5E00">
        <w:rPr>
          <w:iCs/>
        </w:rPr>
        <w:t xml:space="preserve"> The PBAC considered</w:t>
      </w:r>
      <w:r w:rsidR="003A30EE">
        <w:rPr>
          <w:iCs/>
        </w:rPr>
        <w:t xml:space="preserve"> that restricting the population to age ≥65 years and</w:t>
      </w:r>
      <w:r w:rsidR="003A30EE" w:rsidRPr="006373C7">
        <w:rPr>
          <w:iCs/>
        </w:rPr>
        <w:t xml:space="preserve"> history of CDI in past 6 months</w:t>
      </w:r>
      <w:r w:rsidR="00237512" w:rsidRPr="006373C7">
        <w:rPr>
          <w:iCs/>
        </w:rPr>
        <w:t xml:space="preserve"> </w:t>
      </w:r>
      <w:r w:rsidR="007376B5">
        <w:rPr>
          <w:iCs/>
        </w:rPr>
        <w:t>was</w:t>
      </w:r>
      <w:r w:rsidR="003A30EE">
        <w:rPr>
          <w:iCs/>
        </w:rPr>
        <w:t xml:space="preserve"> consistent with the Committee’s July 2019 advice. </w:t>
      </w:r>
      <w:r w:rsidR="007376B5">
        <w:rPr>
          <w:iCs/>
        </w:rPr>
        <w:t>However, t</w:t>
      </w:r>
      <w:r w:rsidR="006D5E00">
        <w:rPr>
          <w:iCs/>
        </w:rPr>
        <w:t>he PBAC noted</w:t>
      </w:r>
      <w:r w:rsidR="00237512" w:rsidRPr="006373C7">
        <w:rPr>
          <w:iCs/>
        </w:rPr>
        <w:t xml:space="preserve"> </w:t>
      </w:r>
      <w:r w:rsidR="003A30EE">
        <w:rPr>
          <w:iCs/>
        </w:rPr>
        <w:t xml:space="preserve">the inclusion of an additional group of patients (immunocompromised due to HSCT or SOT) </w:t>
      </w:r>
      <w:r w:rsidR="006D5E00">
        <w:rPr>
          <w:iCs/>
        </w:rPr>
        <w:t>beyond that recommended in July 2019</w:t>
      </w:r>
      <w:r w:rsidR="007376B5">
        <w:rPr>
          <w:iCs/>
        </w:rPr>
        <w:t xml:space="preserve">. </w:t>
      </w:r>
    </w:p>
    <w:p w:rsidR="00237512" w:rsidRPr="006373C7" w:rsidRDefault="0029723A" w:rsidP="006373C7">
      <w:pPr>
        <w:pStyle w:val="3-BodyText"/>
        <w:rPr>
          <w:iCs/>
        </w:rPr>
      </w:pPr>
      <w:r w:rsidRPr="0029612F">
        <w:t xml:space="preserve">The </w:t>
      </w:r>
      <w:r>
        <w:t xml:space="preserve">PBAC noted the recent publication of the </w:t>
      </w:r>
      <w:r w:rsidRPr="00F560A1">
        <w:rPr>
          <w:i/>
        </w:rPr>
        <w:t>Australian consensus statements for the regulation, production and use of faecal microbiota transplantation in clinical practice</w:t>
      </w:r>
      <w:r>
        <w:t>.</w:t>
      </w:r>
      <w:r>
        <w:rPr>
          <w:rStyle w:val="FootnoteReference"/>
        </w:rPr>
        <w:footnoteReference w:id="5"/>
      </w:r>
      <w:r>
        <w:t xml:space="preserve"> The PBAC noted the consensus statements recommend antibiotics as first-</w:t>
      </w:r>
      <w:r>
        <w:lastRenderedPageBreak/>
        <w:t xml:space="preserve">line therapy for an initial episode of CDI and faecal microbiota </w:t>
      </w:r>
      <w:r w:rsidRPr="004334D2">
        <w:t>transplantation</w:t>
      </w:r>
      <w:r>
        <w:t xml:space="preserve"> for patients with recurrent CDI. The PBAC considered that the 2020 Australian consensus statements confirm a shift in the clinical management algorithm for CDI with a preference for the use of faecal microbiota </w:t>
      </w:r>
      <w:r w:rsidRPr="004334D2">
        <w:t>transplantation</w:t>
      </w:r>
      <w:r>
        <w:t xml:space="preserve"> in the treatment of recurrence. </w:t>
      </w:r>
      <w:r w:rsidR="00246F0F">
        <w:t xml:space="preserve">The PBAC considered that antibiotics remain an appropriate alternative where faecal microbiota transplantation is not possible. </w:t>
      </w:r>
    </w:p>
    <w:p w:rsidR="00237512" w:rsidRPr="00035BCB" w:rsidRDefault="00246F0F" w:rsidP="00237512">
      <w:pPr>
        <w:pStyle w:val="3-BodyText"/>
        <w:rPr>
          <w:iCs/>
        </w:rPr>
      </w:pPr>
      <w:r w:rsidRPr="00035BCB">
        <w:rPr>
          <w:iCs/>
        </w:rPr>
        <w:t xml:space="preserve">The </w:t>
      </w:r>
      <w:r w:rsidR="00FB4DAB">
        <w:rPr>
          <w:iCs/>
        </w:rPr>
        <w:t xml:space="preserve">comparator nominated by the resubmission was </w:t>
      </w:r>
      <w:r w:rsidR="00FB4DAB">
        <w:t xml:space="preserve">standard of care (SoC) </w:t>
      </w:r>
      <w:r w:rsidR="00174F73" w:rsidRPr="00174F73">
        <w:rPr>
          <w:iCs/>
        </w:rPr>
        <w:t>antibacterial therapy</w:t>
      </w:r>
      <w:r w:rsidR="00174F73">
        <w:rPr>
          <w:iCs/>
        </w:rPr>
        <w:t xml:space="preserve"> </w:t>
      </w:r>
      <w:r w:rsidR="00FB4DAB" w:rsidRPr="00FB4DAB">
        <w:rPr>
          <w:iCs/>
        </w:rPr>
        <w:t>including but not limited to vancomycin / metronidazole.</w:t>
      </w:r>
      <w:r w:rsidR="00174F73">
        <w:rPr>
          <w:iCs/>
        </w:rPr>
        <w:t xml:space="preserve">  </w:t>
      </w:r>
      <w:r w:rsidR="00FB4DAB">
        <w:rPr>
          <w:iCs/>
        </w:rPr>
        <w:t xml:space="preserve">The PBAC </w:t>
      </w:r>
      <w:r w:rsidR="000D7051" w:rsidRPr="00035BCB">
        <w:rPr>
          <w:iCs/>
        </w:rPr>
        <w:t>considered that, with the recent shift in the clinical management algorithm (see paragraph 7.3),</w:t>
      </w:r>
      <w:r w:rsidR="008E2313">
        <w:rPr>
          <w:iCs/>
        </w:rPr>
        <w:t xml:space="preserve"> </w:t>
      </w:r>
      <w:r w:rsidR="00FB4DAB">
        <w:rPr>
          <w:iCs/>
        </w:rPr>
        <w:t xml:space="preserve">the nominated comparator does not accurately reflect current clinical practice where </w:t>
      </w:r>
      <w:r w:rsidR="00FB4DAB">
        <w:t xml:space="preserve">faecal microbiota </w:t>
      </w:r>
      <w:r w:rsidR="00FB4DAB" w:rsidRPr="004334D2">
        <w:t>transplantation</w:t>
      </w:r>
      <w:r w:rsidR="00FB4DAB">
        <w:t xml:space="preserve"> is a preferred treatment option in recurrent CDI. </w:t>
      </w:r>
    </w:p>
    <w:p w:rsidR="00237512" w:rsidRDefault="00E246B7" w:rsidP="008D6B40">
      <w:pPr>
        <w:pStyle w:val="3-BodyText"/>
        <w:rPr>
          <w:iCs/>
        </w:rPr>
      </w:pPr>
      <w:r>
        <w:rPr>
          <w:iCs/>
        </w:rPr>
        <w:t xml:space="preserve">The PBAC noted that the resubmission presented data for a post-hoc subgroup of patients with </w:t>
      </w:r>
      <w:r>
        <w:rPr>
          <w:rFonts w:cstheme="minorHAnsi"/>
          <w:iCs/>
        </w:rPr>
        <w:t>≥</w:t>
      </w:r>
      <w:r>
        <w:rPr>
          <w:iCs/>
        </w:rPr>
        <w:t xml:space="preserve"> 1 of 2 risk factors (age </w:t>
      </w:r>
      <w:r>
        <w:rPr>
          <w:rFonts w:cstheme="minorHAnsi"/>
          <w:iCs/>
        </w:rPr>
        <w:t>≥</w:t>
      </w:r>
      <w:r>
        <w:rPr>
          <w:iCs/>
        </w:rPr>
        <w:t xml:space="preserve"> 65 years and history of CDI in past 6 months) from the MODIFY trials</w:t>
      </w:r>
      <w:r w:rsidR="00AF3FC6">
        <w:rPr>
          <w:iCs/>
        </w:rPr>
        <w:t>. The PBAC reiterated its July 2019 advice that the Committee considered these risk factors were of high prognostic value</w:t>
      </w:r>
      <w:r>
        <w:rPr>
          <w:iCs/>
        </w:rPr>
        <w:t xml:space="preserve">. </w:t>
      </w:r>
      <w:r w:rsidR="002153A7">
        <w:rPr>
          <w:iCs/>
        </w:rPr>
        <w:t xml:space="preserve">Despite adopting this risk stratification approach the PBAC </w:t>
      </w:r>
      <w:r w:rsidR="00E01244">
        <w:rPr>
          <w:iCs/>
        </w:rPr>
        <w:t>considered that</w:t>
      </w:r>
      <w:r w:rsidR="002153A7">
        <w:rPr>
          <w:iCs/>
        </w:rPr>
        <w:t>,</w:t>
      </w:r>
      <w:r w:rsidR="00E01244">
        <w:rPr>
          <w:iCs/>
        </w:rPr>
        <w:t xml:space="preserve"> although statistically significant, </w:t>
      </w:r>
      <w:r w:rsidR="002153A7">
        <w:rPr>
          <w:iCs/>
        </w:rPr>
        <w:t xml:space="preserve">the clinical significance of </w:t>
      </w:r>
      <w:r w:rsidR="00E01244">
        <w:rPr>
          <w:iCs/>
        </w:rPr>
        <w:t>a reduction in risk of CDI recurrence at 12 weeks of 15.6 percentage points (</w:t>
      </w:r>
      <w:r>
        <w:rPr>
          <w:iCs/>
        </w:rPr>
        <w:t>95% CI: -22.9, -8.3)</w:t>
      </w:r>
      <w:r w:rsidR="002153A7">
        <w:rPr>
          <w:iCs/>
        </w:rPr>
        <w:t xml:space="preserve"> was unclear</w:t>
      </w:r>
      <w:r>
        <w:rPr>
          <w:iCs/>
        </w:rPr>
        <w:t>.</w:t>
      </w:r>
      <w:r w:rsidR="008D6B40">
        <w:rPr>
          <w:iCs/>
        </w:rPr>
        <w:t xml:space="preserve"> </w:t>
      </w:r>
    </w:p>
    <w:p w:rsidR="00F560A1" w:rsidRPr="002153A7" w:rsidRDefault="00F560A1" w:rsidP="002153A7">
      <w:pPr>
        <w:pStyle w:val="ListParagraph"/>
        <w:widowControl w:val="0"/>
        <w:numPr>
          <w:ilvl w:val="1"/>
          <w:numId w:val="1"/>
        </w:numPr>
        <w:rPr>
          <w:iCs/>
        </w:rPr>
      </w:pPr>
      <w:r w:rsidRPr="00AF3FC6">
        <w:rPr>
          <w:iCs/>
        </w:rPr>
        <w:t>The PBAC recalled that the MODIFY trials showed no evidence of a mortality benefit associated with bezlotoxumab compared to SoC. The PBAC also noted that faecal microbiota transplantation</w:t>
      </w:r>
      <w:r w:rsidR="00AF3FC6">
        <w:rPr>
          <w:iCs/>
        </w:rPr>
        <w:t xml:space="preserve"> and subsequent lines of antibiotic therapy were available for the treatment of recurrent CDI. </w:t>
      </w:r>
      <w:r w:rsidRPr="00AF3FC6">
        <w:t xml:space="preserve">The PBAC reiterated its previous advice that the overall benefit of bezlotoxumab remained modest and was limited to a small difference in the prevention of CDI recurrence.  </w:t>
      </w:r>
    </w:p>
    <w:p w:rsidR="00237512" w:rsidRPr="00237512" w:rsidRDefault="00237512" w:rsidP="00237512">
      <w:pPr>
        <w:pStyle w:val="3-BodyText"/>
        <w:rPr>
          <w:iCs/>
        </w:rPr>
      </w:pPr>
      <w:r w:rsidRPr="00237512">
        <w:rPr>
          <w:iCs/>
        </w:rPr>
        <w:t xml:space="preserve">The </w:t>
      </w:r>
      <w:r w:rsidR="00D54C8E">
        <w:rPr>
          <w:iCs/>
        </w:rPr>
        <w:t xml:space="preserve">PBAC noted the </w:t>
      </w:r>
      <w:r w:rsidRPr="00237512">
        <w:rPr>
          <w:iCs/>
        </w:rPr>
        <w:t xml:space="preserve">resubmission did not present any new safety data to support the claim of non-inferior safety, which was unchanged from the previous submissions. </w:t>
      </w:r>
      <w:r w:rsidR="005B6336">
        <w:rPr>
          <w:iCs/>
        </w:rPr>
        <w:t xml:space="preserve">The PBAC recalled that, for the subset of patients in the MODIFY trials with a history of </w:t>
      </w:r>
      <w:r w:rsidR="002153A7">
        <w:rPr>
          <w:iCs/>
        </w:rPr>
        <w:t>congestive heart failure (</w:t>
      </w:r>
      <w:r w:rsidR="005B6336">
        <w:rPr>
          <w:iCs/>
        </w:rPr>
        <w:t>CHF</w:t>
      </w:r>
      <w:r w:rsidR="002153A7">
        <w:rPr>
          <w:iCs/>
        </w:rPr>
        <w:t>)</w:t>
      </w:r>
      <w:r w:rsidR="005B6336">
        <w:rPr>
          <w:iCs/>
        </w:rPr>
        <w:t xml:space="preserve"> at baseline, the number of cardiac failure serious adverse events was higher in the bezlotoxumab arm than in the placebo arm (RD: 8% (95% CI 1%, 15%)). The PBAC reiterated its July 2019 advice that the claim of non-inferior comparative safety was not adequately supported by the data provided in the resubmission as the possibility of an increased risk of exacerbation of CHF for patients treated with bezlotoxumab in comparison to SoC remained. </w:t>
      </w:r>
      <w:r w:rsidRPr="00237512">
        <w:rPr>
          <w:iCs/>
        </w:rPr>
        <w:t xml:space="preserve"> </w:t>
      </w:r>
    </w:p>
    <w:p w:rsidR="00237512" w:rsidRPr="002153A7" w:rsidRDefault="00237512" w:rsidP="00237512">
      <w:pPr>
        <w:pStyle w:val="3-BodyText"/>
        <w:rPr>
          <w:iCs/>
        </w:rPr>
      </w:pPr>
      <w:r w:rsidRPr="002153A7">
        <w:rPr>
          <w:iCs/>
        </w:rPr>
        <w:t xml:space="preserve">The </w:t>
      </w:r>
      <w:r w:rsidR="002153A7" w:rsidRPr="002153A7">
        <w:rPr>
          <w:iCs/>
        </w:rPr>
        <w:t xml:space="preserve">PBAC noted that the </w:t>
      </w:r>
      <w:r w:rsidRPr="002153A7">
        <w:rPr>
          <w:iCs/>
        </w:rPr>
        <w:t xml:space="preserve">resubmission did not present any clinical trial data to inform the treatment effect or safety of bezlotoxumab for an immunocompromised population with HSCT or SOT. The </w:t>
      </w:r>
      <w:r w:rsidR="002153A7">
        <w:rPr>
          <w:iCs/>
        </w:rPr>
        <w:t xml:space="preserve">PBAC agreed with the ESC that </w:t>
      </w:r>
      <w:r w:rsidRPr="002153A7">
        <w:rPr>
          <w:iCs/>
        </w:rPr>
        <w:t>it</w:t>
      </w:r>
      <w:r w:rsidR="002153A7">
        <w:rPr>
          <w:iCs/>
        </w:rPr>
        <w:t xml:space="preserve"> was</w:t>
      </w:r>
      <w:r w:rsidRPr="002153A7">
        <w:rPr>
          <w:iCs/>
        </w:rPr>
        <w:t xml:space="preserve"> plausible for there to be differences in comparative effectiveness or safety outcomes for bezlotoxumab between the proposed immunocompromised population and the results reported in the MODIFY trials for patients with ≥1 of 2 risk factors (age ≥65 years, or history of CDI in the past 6 months). </w:t>
      </w:r>
      <w:r w:rsidR="00FE304E">
        <w:rPr>
          <w:iCs/>
        </w:rPr>
        <w:t xml:space="preserve">In addition, the PBAC noted </w:t>
      </w:r>
      <w:r w:rsidR="006664B6">
        <w:rPr>
          <w:iCs/>
        </w:rPr>
        <w:t xml:space="preserve">that patients </w:t>
      </w:r>
      <w:r w:rsidR="006664B6">
        <w:rPr>
          <w:iCs/>
        </w:rPr>
        <w:lastRenderedPageBreak/>
        <w:t xml:space="preserve">immunocompromised due to a history of HSCT or SOT were not specifically included in the economic model and hence the cost-effectiveness in this population remains unknown. </w:t>
      </w:r>
    </w:p>
    <w:p w:rsidR="00FE304E" w:rsidRPr="00237512" w:rsidRDefault="00DE51FE" w:rsidP="00FE304E">
      <w:pPr>
        <w:pStyle w:val="3-BodyText"/>
        <w:rPr>
          <w:iCs/>
        </w:rPr>
      </w:pPr>
      <w:r>
        <w:rPr>
          <w:iCs/>
        </w:rPr>
        <w:t xml:space="preserve">The PBAC acknowledged the resubmission attempted to address previous concerns with the economic model as outlined in paragraph 6.36 and noted this included a </w:t>
      </w:r>
      <w:r w:rsidR="00FE304E">
        <w:rPr>
          <w:iCs/>
        </w:rPr>
        <w:t>lower effective price per bezlotoxumab vial ($</w:t>
      </w:r>
      <w:r w:rsidR="006F551D">
        <w:rPr>
          <w:iCs/>
          <w:noProof/>
          <w:color w:val="000000"/>
          <w:highlight w:val="black"/>
        </w:rPr>
        <w:t xml:space="preserve">''''''''''' </w:t>
      </w:r>
      <w:r w:rsidR="00FE304E">
        <w:rPr>
          <w:iCs/>
        </w:rPr>
        <w:t>per vial versus $</w:t>
      </w:r>
      <w:r w:rsidR="006F551D">
        <w:rPr>
          <w:iCs/>
          <w:noProof/>
          <w:color w:val="000000"/>
          <w:highlight w:val="black"/>
        </w:rPr>
        <w:t>'''''''''</w:t>
      </w:r>
      <w:r w:rsidR="00FE304E">
        <w:rPr>
          <w:iCs/>
        </w:rPr>
        <w:t xml:space="preserve"> in the July 2019 pre-PBAC response). </w:t>
      </w:r>
      <w:r w:rsidR="006664B6">
        <w:rPr>
          <w:iCs/>
        </w:rPr>
        <w:t xml:space="preserve">The PBAC agreed with the ESC that the ICER presented in the current resubmission was probably more robust given the sponsors attempt to address previous concerns. However, the </w:t>
      </w:r>
      <w:r w:rsidR="009F70E4">
        <w:rPr>
          <w:iCs/>
        </w:rPr>
        <w:t>PBAC noted i</w:t>
      </w:r>
      <w:r w:rsidR="009F70E4" w:rsidRPr="00237512">
        <w:rPr>
          <w:iCs/>
        </w:rPr>
        <w:t>n the Pre-Su</w:t>
      </w:r>
      <w:r w:rsidR="009F70E4">
        <w:rPr>
          <w:iCs/>
        </w:rPr>
        <w:t xml:space="preserve">b-Committee Response (PSCR) </w:t>
      </w:r>
      <w:r w:rsidR="009F70E4" w:rsidRPr="00237512">
        <w:rPr>
          <w:iCs/>
        </w:rPr>
        <w:t xml:space="preserve">the sponsor accepted the use of a lower estimate of the proportion of severe cases of CDI (12.9%) compared to that proposed in the base case (15.7%), which increased the ICER from </w:t>
      </w:r>
      <w:r w:rsidR="00B27A38" w:rsidRPr="00B1026A">
        <w:rPr>
          <w:rFonts w:cstheme="minorHAnsi"/>
        </w:rPr>
        <w:t>$15,000 to &lt;</w:t>
      </w:r>
      <w:r w:rsidR="00840009">
        <w:rPr>
          <w:rFonts w:cstheme="minorHAnsi"/>
        </w:rPr>
        <w:t> </w:t>
      </w:r>
      <w:r w:rsidR="00B27A38" w:rsidRPr="00B1026A">
        <w:rPr>
          <w:rFonts w:cstheme="minorHAnsi"/>
        </w:rPr>
        <w:t>$25,000</w:t>
      </w:r>
      <w:r w:rsidR="009F70E4" w:rsidRPr="00237512">
        <w:rPr>
          <w:iCs/>
        </w:rPr>
        <w:t xml:space="preserve"> to </w:t>
      </w:r>
      <w:r w:rsidR="00B27A38">
        <w:rPr>
          <w:rFonts w:cstheme="minorHAnsi"/>
        </w:rPr>
        <w:t>$2</w:t>
      </w:r>
      <w:r w:rsidR="00B27A38" w:rsidRPr="00B1026A">
        <w:rPr>
          <w:rFonts w:cstheme="minorHAnsi"/>
        </w:rPr>
        <w:t>5,000 to</w:t>
      </w:r>
      <w:r w:rsidR="00B27A38">
        <w:rPr>
          <w:rFonts w:cstheme="minorHAnsi"/>
        </w:rPr>
        <w:t xml:space="preserve"> &lt;</w:t>
      </w:r>
      <w:r w:rsidR="00840009">
        <w:rPr>
          <w:rFonts w:cstheme="minorHAnsi"/>
        </w:rPr>
        <w:t> </w:t>
      </w:r>
      <w:r w:rsidR="00B27A38">
        <w:rPr>
          <w:rFonts w:cstheme="minorHAnsi"/>
        </w:rPr>
        <w:t>$3</w:t>
      </w:r>
      <w:r w:rsidR="00B27A38" w:rsidRPr="00B1026A">
        <w:rPr>
          <w:rFonts w:cstheme="minorHAnsi"/>
        </w:rPr>
        <w:t>5,000</w:t>
      </w:r>
      <w:r w:rsidR="009F70E4">
        <w:rPr>
          <w:iCs/>
        </w:rPr>
        <w:t xml:space="preserve">. In addition, </w:t>
      </w:r>
      <w:r w:rsidR="00F16377">
        <w:rPr>
          <w:iCs/>
        </w:rPr>
        <w:t>PBAC considered</w:t>
      </w:r>
      <w:r w:rsidR="006664B6">
        <w:rPr>
          <w:iCs/>
        </w:rPr>
        <w:t xml:space="preserve"> the </w:t>
      </w:r>
      <w:r w:rsidR="006664B6" w:rsidRPr="00237512">
        <w:rPr>
          <w:iCs/>
        </w:rPr>
        <w:t>ICER remained sensitive to the CDI recurrence rate and a number of other parameters including the assumed mortality benefit, the proportion of recurrences requiring hospitalisation, and the relative efficacy of bezlotoxumab in the proposed patient population.</w:t>
      </w:r>
      <w:r w:rsidR="006664B6">
        <w:rPr>
          <w:iCs/>
        </w:rPr>
        <w:t xml:space="preserve"> </w:t>
      </w:r>
      <w:r w:rsidR="009F70E4">
        <w:rPr>
          <w:iCs/>
        </w:rPr>
        <w:t>As such, t</w:t>
      </w:r>
      <w:r w:rsidR="006664B6">
        <w:rPr>
          <w:iCs/>
        </w:rPr>
        <w:t>he PBA</w:t>
      </w:r>
      <w:r w:rsidR="009F70E4">
        <w:rPr>
          <w:iCs/>
        </w:rPr>
        <w:t xml:space="preserve">C considered that the ICER remains uncertain and likely higher than proposed in the PSCR. </w:t>
      </w:r>
    </w:p>
    <w:p w:rsidR="00237512" w:rsidRPr="00237512" w:rsidRDefault="00ED3553" w:rsidP="00237512">
      <w:pPr>
        <w:pStyle w:val="3-BodyText"/>
        <w:rPr>
          <w:iCs/>
        </w:rPr>
      </w:pPr>
      <w:r>
        <w:rPr>
          <w:iCs/>
        </w:rPr>
        <w:t xml:space="preserve">The PBAC noted the revised financial </w:t>
      </w:r>
      <w:r w:rsidR="00B11883">
        <w:rPr>
          <w:iCs/>
        </w:rPr>
        <w:t xml:space="preserve">estimates presented in the resubmission. </w:t>
      </w:r>
    </w:p>
    <w:p w:rsidR="002E538E" w:rsidRPr="00525B39" w:rsidRDefault="00184BF1" w:rsidP="002E538E">
      <w:pPr>
        <w:widowControl w:val="0"/>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The PBAC noted</w:t>
      </w:r>
      <w:r w:rsidR="002E538E">
        <w:rPr>
          <w:rFonts w:asciiTheme="minorHAnsi" w:hAnsiTheme="minorHAnsi"/>
          <w:bCs/>
          <w:snapToGrid w:val="0"/>
          <w:lang w:val="en-GB"/>
        </w:rPr>
        <w:t xml:space="preserve"> that this submission is </w:t>
      </w:r>
      <w:r w:rsidRPr="00525B39">
        <w:rPr>
          <w:rFonts w:asciiTheme="minorHAnsi" w:hAnsiTheme="minorHAnsi"/>
          <w:bCs/>
          <w:snapToGrid w:val="0"/>
          <w:lang w:val="en-GB"/>
        </w:rPr>
        <w:t>elig</w:t>
      </w:r>
      <w:r w:rsidR="002E538E">
        <w:rPr>
          <w:rFonts w:asciiTheme="minorHAnsi" w:hAnsiTheme="minorHAnsi"/>
          <w:bCs/>
          <w:snapToGrid w:val="0"/>
          <w:lang w:val="en-GB"/>
        </w:rPr>
        <w:t>ible for an Independent Review.</w:t>
      </w:r>
    </w:p>
    <w:p w:rsidR="00184BF1" w:rsidRPr="00525B39" w:rsidRDefault="00184BF1" w:rsidP="00184BF1">
      <w:pPr>
        <w:spacing w:before="240"/>
        <w:rPr>
          <w:rFonts w:asciiTheme="minorHAnsi" w:hAnsiTheme="minorHAnsi"/>
          <w:b/>
          <w:bCs/>
          <w:snapToGrid w:val="0"/>
          <w:lang w:val="en-GB"/>
        </w:rPr>
      </w:pPr>
      <w:r w:rsidRPr="00525B39">
        <w:rPr>
          <w:rFonts w:asciiTheme="minorHAnsi" w:hAnsiTheme="minorHAnsi"/>
          <w:b/>
          <w:bCs/>
          <w:snapToGrid w:val="0"/>
          <w:lang w:val="en-GB"/>
        </w:rPr>
        <w:t>Outcome:</w:t>
      </w:r>
    </w:p>
    <w:p w:rsidR="009321BA" w:rsidRDefault="00184BF1" w:rsidP="008E44C9">
      <w:pPr>
        <w:rPr>
          <w:rFonts w:asciiTheme="minorHAnsi" w:hAnsiTheme="minorHAnsi"/>
          <w:bCs/>
          <w:snapToGrid w:val="0"/>
          <w:lang w:val="en-GB"/>
        </w:rPr>
      </w:pPr>
      <w:r w:rsidRPr="00525B39">
        <w:rPr>
          <w:rFonts w:asciiTheme="minorHAnsi" w:hAnsiTheme="minorHAnsi"/>
          <w:bCs/>
          <w:snapToGrid w:val="0"/>
          <w:lang w:val="en-GB"/>
        </w:rPr>
        <w:t xml:space="preserve">Rejected </w:t>
      </w:r>
    </w:p>
    <w:p w:rsidR="009321BA" w:rsidRPr="003B7841" w:rsidRDefault="009321BA" w:rsidP="009321BA">
      <w:pPr>
        <w:keepNext/>
        <w:numPr>
          <w:ilvl w:val="0"/>
          <w:numId w:val="1"/>
        </w:numPr>
        <w:spacing w:before="240" w:after="120"/>
        <w:jc w:val="left"/>
        <w:outlineLvl w:val="0"/>
        <w:rPr>
          <w:rFonts w:asciiTheme="minorHAnsi" w:eastAsiaTheme="minorHAnsi" w:hAnsiTheme="minorHAnsi"/>
          <w:b/>
          <w:snapToGrid w:val="0"/>
          <w:sz w:val="32"/>
          <w:szCs w:val="22"/>
          <w:lang w:eastAsia="en-US"/>
        </w:rPr>
      </w:pPr>
      <w:r w:rsidRPr="003B7841">
        <w:rPr>
          <w:rFonts w:asciiTheme="minorHAnsi" w:eastAsiaTheme="minorHAnsi" w:hAnsiTheme="minorHAnsi"/>
          <w:b/>
          <w:snapToGrid w:val="0"/>
          <w:sz w:val="32"/>
          <w:szCs w:val="22"/>
          <w:lang w:eastAsia="en-US"/>
        </w:rPr>
        <w:t>Context for Decision</w:t>
      </w:r>
    </w:p>
    <w:p w:rsidR="009321BA" w:rsidRPr="003B7841" w:rsidRDefault="009321BA" w:rsidP="00AE24CD">
      <w:pPr>
        <w:rPr>
          <w:rFonts w:asciiTheme="minorHAnsi" w:eastAsiaTheme="minorHAnsi" w:hAnsiTheme="minorHAnsi" w:cs="Times New Roman"/>
          <w:szCs w:val="22"/>
          <w:lang w:eastAsia="en-US"/>
        </w:rPr>
      </w:pPr>
      <w:r w:rsidRPr="003B7841">
        <w:rPr>
          <w:rFonts w:asciiTheme="minorHAnsi" w:eastAsiaTheme="minorHAnsi" w:hAnsiTheme="minorHAnsi" w:cs="Times New Roman"/>
          <w:szCs w:val="22"/>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9321BA" w:rsidRPr="003B7841" w:rsidRDefault="009321BA" w:rsidP="009321BA">
      <w:pPr>
        <w:keepNext/>
        <w:numPr>
          <w:ilvl w:val="0"/>
          <w:numId w:val="1"/>
        </w:numPr>
        <w:spacing w:before="240" w:after="120"/>
        <w:jc w:val="left"/>
        <w:outlineLvl w:val="0"/>
        <w:rPr>
          <w:rFonts w:asciiTheme="minorHAnsi" w:eastAsiaTheme="minorHAnsi" w:hAnsiTheme="minorHAnsi"/>
          <w:b/>
          <w:snapToGrid w:val="0"/>
          <w:sz w:val="32"/>
          <w:szCs w:val="22"/>
          <w:lang w:eastAsia="en-US"/>
        </w:rPr>
      </w:pPr>
      <w:r w:rsidRPr="003B7841">
        <w:rPr>
          <w:rFonts w:asciiTheme="minorHAnsi" w:eastAsiaTheme="minorHAnsi" w:hAnsiTheme="minorHAnsi"/>
          <w:b/>
          <w:snapToGrid w:val="0"/>
          <w:sz w:val="32"/>
          <w:szCs w:val="22"/>
          <w:lang w:eastAsia="en-US"/>
        </w:rPr>
        <w:t>Sponsor’s Comment</w:t>
      </w:r>
    </w:p>
    <w:p w:rsidR="00B13BA0" w:rsidRPr="00B13BA0" w:rsidRDefault="00B13BA0" w:rsidP="00B13BA0">
      <w:pPr>
        <w:rPr>
          <w:rFonts w:asciiTheme="minorHAnsi" w:eastAsiaTheme="minorHAnsi" w:hAnsiTheme="minorHAnsi" w:cs="Times New Roman"/>
          <w:bCs/>
          <w:szCs w:val="22"/>
          <w:lang w:val="en-GB" w:eastAsia="en-US"/>
        </w:rPr>
      </w:pPr>
      <w:r w:rsidRPr="00B13BA0">
        <w:rPr>
          <w:rFonts w:asciiTheme="minorHAnsi" w:eastAsiaTheme="minorHAnsi" w:hAnsiTheme="minorHAnsi" w:cs="Times New Roman"/>
          <w:bCs/>
          <w:szCs w:val="22"/>
          <w:lang w:val="en-GB" w:eastAsia="en-US"/>
        </w:rPr>
        <w:t>Merck Sharp &amp; Dohme disagrees with the PBAC’s claim that there has been a recent shift in the clinical management of CDI, given that faecal microbiota transplantation is not yet established throughout Australia and there is a paucity of evidence in the specific populations that were the subject of this resubmission.</w:t>
      </w:r>
    </w:p>
    <w:p w:rsidR="00AE24CD" w:rsidRDefault="00AE24CD" w:rsidP="00B13BA0">
      <w:pPr>
        <w:rPr>
          <w:rFonts w:asciiTheme="minorHAnsi" w:eastAsiaTheme="minorHAnsi" w:hAnsiTheme="minorHAnsi" w:cs="Times New Roman"/>
          <w:bCs/>
          <w:szCs w:val="22"/>
          <w:lang w:val="en-GB" w:eastAsia="en-US"/>
        </w:rPr>
      </w:pPr>
    </w:p>
    <w:p w:rsidR="009321BA" w:rsidRPr="009321BA" w:rsidRDefault="00B13BA0" w:rsidP="00B13BA0">
      <w:pPr>
        <w:rPr>
          <w:rFonts w:asciiTheme="minorHAnsi" w:hAnsiTheme="minorHAnsi"/>
          <w:b/>
          <w:bCs/>
          <w:snapToGrid w:val="0"/>
          <w:lang w:val="en-GB"/>
        </w:rPr>
      </w:pPr>
      <w:r w:rsidRPr="00B13BA0">
        <w:rPr>
          <w:rFonts w:asciiTheme="minorHAnsi" w:eastAsiaTheme="minorHAnsi" w:hAnsiTheme="minorHAnsi" w:cs="Times New Roman"/>
          <w:bCs/>
          <w:szCs w:val="22"/>
          <w:lang w:val="en-GB" w:eastAsia="en-US"/>
        </w:rPr>
        <w:t>Merck Sharp &amp; Dohme is disappointed that this fourth major submission was unsuccessful. This experience has reaffirmed our position that the ongoing Streamlined Pathways project is pivotal in ensuring that PBAC processes adapt to improve timely access for patients.</w:t>
      </w:r>
    </w:p>
    <w:sectPr w:rsidR="009321BA" w:rsidRPr="009321BA" w:rsidSect="00292FD9">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5C48FF" w16cid:durableId="21FA5EC1"/>
  <w16cid:commentId w16cid:paraId="0932C6A4" w16cid:durableId="21FA5C16"/>
  <w16cid:commentId w16cid:paraId="4F5F221C" w16cid:durableId="21FCDBAB"/>
  <w16cid:commentId w16cid:paraId="69843192" w16cid:durableId="21FA5C17"/>
  <w16cid:commentId w16cid:paraId="60261017" w16cid:durableId="21FA5C18"/>
  <w16cid:commentId w16cid:paraId="2687696A" w16cid:durableId="21FCDC05"/>
  <w16cid:commentId w16cid:paraId="45BC01F2" w16cid:durableId="21FCDF0D"/>
  <w16cid:commentId w16cid:paraId="32A631AC" w16cid:durableId="21FA5C19"/>
  <w16cid:commentId w16cid:paraId="5232A525" w16cid:durableId="21FA5C1A"/>
  <w16cid:commentId w16cid:paraId="3F78C32F" w16cid:durableId="21FA602D"/>
  <w16cid:commentId w16cid:paraId="50B638A0" w16cid:durableId="21FCDD87"/>
  <w16cid:commentId w16cid:paraId="67356A8F" w16cid:durableId="21FCDE2D"/>
  <w16cid:commentId w16cid:paraId="5BEA7125" w16cid:durableId="21FCDE5F"/>
  <w16cid:commentId w16cid:paraId="4FA054CB" w16cid:durableId="21FA5C1B"/>
  <w16cid:commentId w16cid:paraId="6943919F" w16cid:durableId="21FA5C1C"/>
  <w16cid:commentId w16cid:paraId="20A1688B" w16cid:durableId="21FA6093"/>
  <w16cid:commentId w16cid:paraId="0F482A94" w16cid:durableId="21FA60E8"/>
  <w16cid:commentId w16cid:paraId="08159B0B" w16cid:durableId="21FA5C1D"/>
  <w16cid:commentId w16cid:paraId="504A2A37" w16cid:durableId="21FA5C1E"/>
  <w16cid:commentId w16cid:paraId="190BA57F" w16cid:durableId="21FA5C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51D" w:rsidRDefault="006F551D" w:rsidP="00124A51">
      <w:r>
        <w:separator/>
      </w:r>
    </w:p>
    <w:p w:rsidR="006F551D" w:rsidRDefault="006F551D"/>
  </w:endnote>
  <w:endnote w:type="continuationSeparator" w:id="0">
    <w:p w:rsidR="006F551D" w:rsidRDefault="006F551D" w:rsidP="00124A51">
      <w:r>
        <w:continuationSeparator/>
      </w:r>
    </w:p>
    <w:p w:rsidR="006F551D" w:rsidRDefault="006F5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93" w:rsidRDefault="007C6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816790"/>
      <w:docPartObj>
        <w:docPartGallery w:val="Page Numbers (Bottom of Page)"/>
        <w:docPartUnique/>
      </w:docPartObj>
    </w:sdtPr>
    <w:sdtEndPr>
      <w:rPr>
        <w:b/>
        <w:noProof/>
      </w:rPr>
    </w:sdtEndPr>
    <w:sdtContent>
      <w:p w:rsidR="00334347" w:rsidRDefault="00334347">
        <w:pPr>
          <w:pStyle w:val="Footer"/>
          <w:jc w:val="center"/>
        </w:pPr>
      </w:p>
      <w:p w:rsidR="00334347" w:rsidRPr="007C1CD9" w:rsidRDefault="00334347" w:rsidP="00ED52C7">
        <w:pPr>
          <w:pStyle w:val="Footer"/>
          <w:jc w:val="center"/>
        </w:pPr>
        <w:r w:rsidRPr="00CF61E7">
          <w:rPr>
            <w:b/>
          </w:rPr>
          <w:fldChar w:fldCharType="begin"/>
        </w:r>
        <w:r w:rsidRPr="00CF61E7">
          <w:rPr>
            <w:b/>
          </w:rPr>
          <w:instrText xml:space="preserve"> PAGE   \* MERGEFORMAT </w:instrText>
        </w:r>
        <w:r w:rsidRPr="00CF61E7">
          <w:rPr>
            <w:b/>
          </w:rPr>
          <w:fldChar w:fldCharType="separate"/>
        </w:r>
        <w:r w:rsidR="002E123A">
          <w:rPr>
            <w:b/>
            <w:noProof/>
          </w:rPr>
          <w:t>29</w:t>
        </w:r>
        <w:r w:rsidRPr="00CF61E7">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93" w:rsidRDefault="007C6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51D" w:rsidRDefault="006F551D" w:rsidP="00124A51">
      <w:r>
        <w:separator/>
      </w:r>
    </w:p>
    <w:p w:rsidR="006F551D" w:rsidRDefault="006F551D"/>
  </w:footnote>
  <w:footnote w:type="continuationSeparator" w:id="0">
    <w:p w:rsidR="006F551D" w:rsidRDefault="006F551D" w:rsidP="00124A51">
      <w:r>
        <w:continuationSeparator/>
      </w:r>
    </w:p>
    <w:p w:rsidR="006F551D" w:rsidRDefault="006F551D"/>
  </w:footnote>
  <w:footnote w:id="1">
    <w:p w:rsidR="00334347" w:rsidRPr="007668FE" w:rsidRDefault="00334347">
      <w:pPr>
        <w:pStyle w:val="FootnoteText"/>
      </w:pPr>
      <w:r w:rsidRPr="007668FE">
        <w:rPr>
          <w:rStyle w:val="FootnoteReference"/>
        </w:rPr>
        <w:footnoteRef/>
      </w:r>
      <w:r w:rsidRPr="007668FE">
        <w:t xml:space="preserve"> </w:t>
      </w:r>
      <w:r>
        <w:t>National Centre for Antimicrobial Stewardship and Australian Commission on Safety and Quality in Health Care. Antimicrobial prescribing and infections in Australian residential aged care facilities: Results of the 2015 Aged Care National Antimicrobial Prescribing Survey pilot. Sydney: ACSQHC, 2016.</w:t>
      </w:r>
    </w:p>
  </w:footnote>
  <w:footnote w:id="2">
    <w:p w:rsidR="00334347" w:rsidRPr="004334D2" w:rsidRDefault="00334347" w:rsidP="005E0318">
      <w:pPr>
        <w:autoSpaceDE w:val="0"/>
        <w:autoSpaceDN w:val="0"/>
        <w:adjustRightInd w:val="0"/>
        <w:jc w:val="left"/>
        <w:rPr>
          <w:sz w:val="20"/>
          <w:szCs w:val="20"/>
        </w:rPr>
      </w:pPr>
      <w:r w:rsidRPr="004334D2">
        <w:rPr>
          <w:rStyle w:val="FootnoteReference"/>
          <w:sz w:val="20"/>
          <w:szCs w:val="20"/>
        </w:rPr>
        <w:footnoteRef/>
      </w:r>
      <w:r w:rsidRPr="004334D2">
        <w:rPr>
          <w:sz w:val="20"/>
          <w:szCs w:val="20"/>
        </w:rPr>
        <w:t xml:space="preserve"> Trubiano JA, et al. Australasian Society of Infectious Diseases updated guidelines for the management of </w:t>
      </w:r>
      <w:r w:rsidRPr="006373C7">
        <w:rPr>
          <w:i/>
          <w:sz w:val="20"/>
          <w:szCs w:val="20"/>
        </w:rPr>
        <w:t>Clostridium difficile</w:t>
      </w:r>
      <w:r w:rsidRPr="004334D2">
        <w:rPr>
          <w:sz w:val="20"/>
          <w:szCs w:val="20"/>
        </w:rPr>
        <w:t xml:space="preserve"> infection in adults </w:t>
      </w:r>
      <w:r w:rsidRPr="004334D2">
        <w:rPr>
          <w:snapToGrid w:val="0"/>
          <w:sz w:val="20"/>
          <w:szCs w:val="20"/>
        </w:rPr>
        <w:t>and children in Australia and New Zealand. Intern Med J 2016;46:479-93</w:t>
      </w:r>
      <w:r w:rsidRPr="004334D2">
        <w:rPr>
          <w:sz w:val="20"/>
          <w:szCs w:val="20"/>
        </w:rPr>
        <w:t xml:space="preserve"> </w:t>
      </w:r>
    </w:p>
  </w:footnote>
  <w:footnote w:id="3">
    <w:p w:rsidR="00334347" w:rsidRDefault="00334347">
      <w:pPr>
        <w:pStyle w:val="FootnoteText"/>
      </w:pPr>
      <w:r w:rsidRPr="004334D2">
        <w:rPr>
          <w:rStyle w:val="FootnoteReference"/>
        </w:rPr>
        <w:footnoteRef/>
      </w:r>
      <w:r w:rsidRPr="004334D2">
        <w:t xml:space="preserve"> </w:t>
      </w:r>
      <w:r w:rsidRPr="004334D2">
        <w:rPr>
          <w:snapToGrid/>
          <w:lang w:eastAsia="en-AU"/>
        </w:rPr>
        <w:t>Haifer C, et al. Australian consensus statements for the regulation, production and use of faecal microbiota</w:t>
      </w:r>
      <w:r>
        <w:t xml:space="preserve"> </w:t>
      </w:r>
      <w:r w:rsidRPr="004334D2">
        <w:rPr>
          <w:rFonts w:asciiTheme="minorHAnsi" w:hAnsiTheme="minorHAnsi" w:cstheme="minorHAnsi"/>
        </w:rPr>
        <w:t>transplantation in clinical practice Gut 2020;</w:t>
      </w:r>
      <w:r w:rsidRPr="004334D2">
        <w:rPr>
          <w:rFonts w:asciiTheme="minorHAnsi" w:hAnsiTheme="minorHAnsi" w:cstheme="minorHAnsi"/>
          <w:b/>
          <w:bCs/>
        </w:rPr>
        <w:t>0</w:t>
      </w:r>
      <w:r w:rsidRPr="004334D2">
        <w:rPr>
          <w:rFonts w:asciiTheme="minorHAnsi" w:hAnsiTheme="minorHAnsi" w:cstheme="minorHAnsi"/>
        </w:rPr>
        <w:t>:1–10. doi:10.1136/gutjnl-2019-320260</w:t>
      </w:r>
    </w:p>
  </w:footnote>
  <w:footnote w:id="4">
    <w:p w:rsidR="00334347" w:rsidRPr="00400965" w:rsidRDefault="00334347" w:rsidP="00400965">
      <w:pPr>
        <w:pStyle w:val="3-BodyText"/>
        <w:numPr>
          <w:ilvl w:val="0"/>
          <w:numId w:val="0"/>
        </w:numPr>
        <w:rPr>
          <w:rFonts w:cs="Calibri"/>
          <w:sz w:val="20"/>
          <w:szCs w:val="20"/>
        </w:rPr>
      </w:pPr>
      <w:r w:rsidRPr="00400965">
        <w:rPr>
          <w:rFonts w:cs="Calibri"/>
          <w:sz w:val="20"/>
          <w:szCs w:val="20"/>
          <w:vertAlign w:val="superscript"/>
        </w:rPr>
        <w:footnoteRef/>
      </w:r>
      <w:r w:rsidRPr="00400965">
        <w:rPr>
          <w:rFonts w:cs="Calibri"/>
          <w:sz w:val="20"/>
          <w:szCs w:val="20"/>
        </w:rPr>
        <w:t xml:space="preserve"> Gerding DN, Kelly CP, Rahav G, Lee C, Dubberke ER, Kumar PN, et al. Bezlotoxumab for prevention of recurrent Clostridium difficile infection in patients at increased risk for recurrence. Clin Infect Dis 2018; 67(5):649-656.</w:t>
      </w:r>
    </w:p>
    <w:p w:rsidR="00334347" w:rsidRDefault="00334347">
      <w:pPr>
        <w:pStyle w:val="FootnoteText"/>
      </w:pPr>
    </w:p>
  </w:footnote>
  <w:footnote w:id="5">
    <w:p w:rsidR="00334347" w:rsidRDefault="00334347" w:rsidP="0029723A">
      <w:pPr>
        <w:pStyle w:val="FootnoteText"/>
      </w:pPr>
      <w:r w:rsidRPr="004334D2">
        <w:rPr>
          <w:rStyle w:val="FootnoteReference"/>
        </w:rPr>
        <w:footnoteRef/>
      </w:r>
      <w:r w:rsidRPr="004334D2">
        <w:t xml:space="preserve"> </w:t>
      </w:r>
      <w:r w:rsidRPr="004334D2">
        <w:rPr>
          <w:snapToGrid/>
          <w:lang w:eastAsia="en-AU"/>
        </w:rPr>
        <w:t>Haifer C, et al. Australian consensus statements for the regulation, production and use of faecal microbiota</w:t>
      </w:r>
      <w:r>
        <w:t xml:space="preserve"> </w:t>
      </w:r>
      <w:r w:rsidRPr="004334D2">
        <w:rPr>
          <w:rFonts w:asciiTheme="minorHAnsi" w:hAnsiTheme="minorHAnsi" w:cstheme="minorHAnsi"/>
        </w:rPr>
        <w:t>transplantation in clinical practice Gut 2020;</w:t>
      </w:r>
      <w:r w:rsidRPr="004334D2">
        <w:rPr>
          <w:rFonts w:asciiTheme="minorHAnsi" w:hAnsiTheme="minorHAnsi" w:cstheme="minorHAnsi"/>
          <w:b/>
          <w:bCs/>
        </w:rPr>
        <w:t>0</w:t>
      </w:r>
      <w:r w:rsidRPr="004334D2">
        <w:rPr>
          <w:rFonts w:asciiTheme="minorHAnsi" w:hAnsiTheme="minorHAnsi" w:cstheme="minorHAnsi"/>
        </w:rPr>
        <w:t>:1–10. doi:10.1136/gutjnl-2019-320260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93" w:rsidRDefault="007C6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347" w:rsidRDefault="00334347">
    <w:pPr>
      <w:pStyle w:val="Header"/>
      <w:rPr>
        <w:i/>
      </w:rPr>
    </w:pPr>
    <w:r>
      <w:rPr>
        <w:i/>
      </w:rPr>
      <w:t xml:space="preserve">Public Summary Document – March 2020 PBAC Meeting </w:t>
    </w:r>
  </w:p>
  <w:p w:rsidR="00334347" w:rsidRPr="00A873A2" w:rsidRDefault="00334347">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93" w:rsidRDefault="007C6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30C7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1F1E76"/>
    <w:multiLevelType w:val="hybridMultilevel"/>
    <w:tmpl w:val="75522B6A"/>
    <w:lvl w:ilvl="0" w:tplc="B018371A">
      <w:start w:val="1"/>
      <w:numFmt w:val="bullet"/>
      <w:lvlText w:val="-"/>
      <w:lvlJc w:val="left"/>
      <w:pPr>
        <w:ind w:left="720" w:hanging="360"/>
      </w:pPr>
      <w:rPr>
        <w:rFonts w:ascii="Arial Narrow" w:hAnsi="Arial Narro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273051"/>
    <w:multiLevelType w:val="multilevel"/>
    <w:tmpl w:val="64E87B1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C542B"/>
    <w:multiLevelType w:val="hybridMultilevel"/>
    <w:tmpl w:val="7B62036E"/>
    <w:lvl w:ilvl="0" w:tplc="A502E678">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22775E"/>
    <w:multiLevelType w:val="hybridMultilevel"/>
    <w:tmpl w:val="33FEE558"/>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FA2B75"/>
    <w:multiLevelType w:val="hybridMultilevel"/>
    <w:tmpl w:val="971C76E0"/>
    <w:lvl w:ilvl="0" w:tplc="CBF865FE">
      <w:start w:val="1"/>
      <w:numFmt w:val="lowerRoman"/>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B4852"/>
    <w:multiLevelType w:val="hybridMultilevel"/>
    <w:tmpl w:val="82B260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970A71"/>
    <w:multiLevelType w:val="multilevel"/>
    <w:tmpl w:val="8F5421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9C0869"/>
    <w:multiLevelType w:val="hybridMultilevel"/>
    <w:tmpl w:val="C4601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FF0285"/>
    <w:multiLevelType w:val="hybridMultilevel"/>
    <w:tmpl w:val="CA70E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9D471A"/>
    <w:multiLevelType w:val="hybridMultilevel"/>
    <w:tmpl w:val="ECA28EDC"/>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FA0ADB"/>
    <w:multiLevelType w:val="hybridMultilevel"/>
    <w:tmpl w:val="7A081DF0"/>
    <w:lvl w:ilvl="0" w:tplc="E6E80450">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9"/>
  </w:num>
  <w:num w:numId="2">
    <w:abstractNumId w:val="11"/>
  </w:num>
  <w:num w:numId="3">
    <w:abstractNumId w:val="13"/>
  </w:num>
  <w:num w:numId="4">
    <w:abstractNumId w:val="0"/>
  </w:num>
  <w:num w:numId="5">
    <w:abstractNumId w:val="19"/>
  </w:num>
  <w:num w:numId="6">
    <w:abstractNumId w:val="18"/>
  </w:num>
  <w:num w:numId="7">
    <w:abstractNumId w:val="8"/>
  </w:num>
  <w:num w:numId="8">
    <w:abstractNumId w:val="20"/>
  </w:num>
  <w:num w:numId="9">
    <w:abstractNumId w:val="14"/>
  </w:num>
  <w:num w:numId="10">
    <w:abstractNumId w:val="5"/>
  </w:num>
  <w:num w:numId="11">
    <w:abstractNumId w:val="2"/>
  </w:num>
  <w:num w:numId="12">
    <w:abstractNumId w:val="10"/>
  </w:num>
  <w:num w:numId="13">
    <w:abstractNumId w:val="3"/>
  </w:num>
  <w:num w:numId="14">
    <w:abstractNumId w:val="21"/>
  </w:num>
  <w:num w:numId="15">
    <w:abstractNumId w:val="22"/>
  </w:num>
  <w:num w:numId="16">
    <w:abstractNumId w:val="19"/>
  </w:num>
  <w:num w:numId="17">
    <w:abstractNumId w:val="16"/>
    <w:lvlOverride w:ilvl="0"/>
    <w:lvlOverride w:ilvl="1">
      <w:startOverride w:val="1"/>
    </w:lvlOverride>
    <w:lvlOverride w:ilvl="2"/>
    <w:lvlOverride w:ilvl="3"/>
    <w:lvlOverride w:ilvl="4"/>
    <w:lvlOverride w:ilvl="5"/>
    <w:lvlOverride w:ilvl="6"/>
    <w:lvlOverride w:ilvl="7"/>
    <w:lvlOverride w:ilvl="8"/>
  </w:num>
  <w:num w:numId="18">
    <w:abstractNumId w:val="19"/>
  </w:num>
  <w:num w:numId="19">
    <w:abstractNumId w:val="19"/>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5"/>
  </w:num>
  <w:num w:numId="33">
    <w:abstractNumId w:val="4"/>
  </w:num>
  <w:num w:numId="34">
    <w:abstractNumId w:val="1"/>
  </w:num>
  <w:num w:numId="35">
    <w:abstractNumId w:val="7"/>
  </w:num>
  <w:num w:numId="36">
    <w:abstractNumId w:val="9"/>
  </w:num>
  <w:num w:numId="37">
    <w:abstractNumId w:val="6"/>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19"/>
  </w:num>
  <w:num w:numId="45">
    <w:abstractNumId w:val="19"/>
  </w:num>
  <w:num w:numId="46">
    <w:abstractNumId w:val="17"/>
  </w:num>
  <w:num w:numId="47">
    <w:abstractNumId w:val="19"/>
  </w:num>
  <w:num w:numId="4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586"/>
    <w:rsid w:val="00000790"/>
    <w:rsid w:val="00000F0F"/>
    <w:rsid w:val="0000110B"/>
    <w:rsid w:val="00003499"/>
    <w:rsid w:val="0000385F"/>
    <w:rsid w:val="000039B7"/>
    <w:rsid w:val="00003CA0"/>
    <w:rsid w:val="000056F9"/>
    <w:rsid w:val="0000625F"/>
    <w:rsid w:val="00006346"/>
    <w:rsid w:val="00006357"/>
    <w:rsid w:val="0000639A"/>
    <w:rsid w:val="00006BCA"/>
    <w:rsid w:val="00006EA3"/>
    <w:rsid w:val="00006FE3"/>
    <w:rsid w:val="000102B5"/>
    <w:rsid w:val="000105F3"/>
    <w:rsid w:val="00010EFB"/>
    <w:rsid w:val="000124DC"/>
    <w:rsid w:val="00012C84"/>
    <w:rsid w:val="00013247"/>
    <w:rsid w:val="00013DC8"/>
    <w:rsid w:val="00014CDC"/>
    <w:rsid w:val="00015886"/>
    <w:rsid w:val="00015FAF"/>
    <w:rsid w:val="000162EF"/>
    <w:rsid w:val="000165BD"/>
    <w:rsid w:val="000170CC"/>
    <w:rsid w:val="00017E6B"/>
    <w:rsid w:val="000202C2"/>
    <w:rsid w:val="000203E1"/>
    <w:rsid w:val="000207C9"/>
    <w:rsid w:val="00020BCF"/>
    <w:rsid w:val="00020C80"/>
    <w:rsid w:val="000211A3"/>
    <w:rsid w:val="000214F3"/>
    <w:rsid w:val="00022207"/>
    <w:rsid w:val="0002225F"/>
    <w:rsid w:val="0002240D"/>
    <w:rsid w:val="00023763"/>
    <w:rsid w:val="00023840"/>
    <w:rsid w:val="00024028"/>
    <w:rsid w:val="000240FA"/>
    <w:rsid w:val="00024824"/>
    <w:rsid w:val="00024F1D"/>
    <w:rsid w:val="000250E5"/>
    <w:rsid w:val="0002597E"/>
    <w:rsid w:val="0002663B"/>
    <w:rsid w:val="000274B8"/>
    <w:rsid w:val="00027916"/>
    <w:rsid w:val="00027B46"/>
    <w:rsid w:val="00030DD6"/>
    <w:rsid w:val="00031A60"/>
    <w:rsid w:val="00032010"/>
    <w:rsid w:val="00032DFA"/>
    <w:rsid w:val="00032E69"/>
    <w:rsid w:val="00033587"/>
    <w:rsid w:val="00033863"/>
    <w:rsid w:val="00033FA2"/>
    <w:rsid w:val="00034263"/>
    <w:rsid w:val="000347A2"/>
    <w:rsid w:val="00034AE3"/>
    <w:rsid w:val="0003506F"/>
    <w:rsid w:val="00035BCB"/>
    <w:rsid w:val="00035DC0"/>
    <w:rsid w:val="00036829"/>
    <w:rsid w:val="00036CC4"/>
    <w:rsid w:val="00037797"/>
    <w:rsid w:val="00040895"/>
    <w:rsid w:val="00040B62"/>
    <w:rsid w:val="00040BB7"/>
    <w:rsid w:val="0004125A"/>
    <w:rsid w:val="0004141E"/>
    <w:rsid w:val="00042A52"/>
    <w:rsid w:val="000435EE"/>
    <w:rsid w:val="00043BE3"/>
    <w:rsid w:val="00043C37"/>
    <w:rsid w:val="00044A7E"/>
    <w:rsid w:val="00045017"/>
    <w:rsid w:val="00045A2B"/>
    <w:rsid w:val="00046397"/>
    <w:rsid w:val="000463E1"/>
    <w:rsid w:val="0004698F"/>
    <w:rsid w:val="00046C2B"/>
    <w:rsid w:val="00046D59"/>
    <w:rsid w:val="00047EBB"/>
    <w:rsid w:val="000511D5"/>
    <w:rsid w:val="000533BA"/>
    <w:rsid w:val="000539D0"/>
    <w:rsid w:val="00053BE8"/>
    <w:rsid w:val="00053D32"/>
    <w:rsid w:val="00054621"/>
    <w:rsid w:val="000546D7"/>
    <w:rsid w:val="00054FFD"/>
    <w:rsid w:val="00055367"/>
    <w:rsid w:val="00056ECF"/>
    <w:rsid w:val="00056F7F"/>
    <w:rsid w:val="000570C9"/>
    <w:rsid w:val="000603BC"/>
    <w:rsid w:val="000604DF"/>
    <w:rsid w:val="000608FD"/>
    <w:rsid w:val="00060EFE"/>
    <w:rsid w:val="0006200E"/>
    <w:rsid w:val="0006274D"/>
    <w:rsid w:val="000645B5"/>
    <w:rsid w:val="000653B5"/>
    <w:rsid w:val="00065837"/>
    <w:rsid w:val="00066360"/>
    <w:rsid w:val="00066AF8"/>
    <w:rsid w:val="00066DD8"/>
    <w:rsid w:val="00067730"/>
    <w:rsid w:val="000700CB"/>
    <w:rsid w:val="00071201"/>
    <w:rsid w:val="00071248"/>
    <w:rsid w:val="00071923"/>
    <w:rsid w:val="000720B9"/>
    <w:rsid w:val="000730E7"/>
    <w:rsid w:val="000735EA"/>
    <w:rsid w:val="000737F7"/>
    <w:rsid w:val="00074624"/>
    <w:rsid w:val="000758F0"/>
    <w:rsid w:val="0007672F"/>
    <w:rsid w:val="00076B54"/>
    <w:rsid w:val="000774F0"/>
    <w:rsid w:val="00080909"/>
    <w:rsid w:val="000812CA"/>
    <w:rsid w:val="00081E63"/>
    <w:rsid w:val="0008258D"/>
    <w:rsid w:val="00083E99"/>
    <w:rsid w:val="000840E1"/>
    <w:rsid w:val="00084330"/>
    <w:rsid w:val="00084537"/>
    <w:rsid w:val="00084FA8"/>
    <w:rsid w:val="00085009"/>
    <w:rsid w:val="000856C5"/>
    <w:rsid w:val="00085C31"/>
    <w:rsid w:val="00086850"/>
    <w:rsid w:val="000868A8"/>
    <w:rsid w:val="00086F75"/>
    <w:rsid w:val="00087240"/>
    <w:rsid w:val="000873EA"/>
    <w:rsid w:val="000902D9"/>
    <w:rsid w:val="00090635"/>
    <w:rsid w:val="0009095A"/>
    <w:rsid w:val="00090C7E"/>
    <w:rsid w:val="00091703"/>
    <w:rsid w:val="00091812"/>
    <w:rsid w:val="0009243D"/>
    <w:rsid w:val="00092600"/>
    <w:rsid w:val="0009262B"/>
    <w:rsid w:val="00092F8E"/>
    <w:rsid w:val="00093310"/>
    <w:rsid w:val="0009445C"/>
    <w:rsid w:val="0009482E"/>
    <w:rsid w:val="000949EF"/>
    <w:rsid w:val="00095200"/>
    <w:rsid w:val="000958EA"/>
    <w:rsid w:val="00095FE5"/>
    <w:rsid w:val="00096284"/>
    <w:rsid w:val="00096294"/>
    <w:rsid w:val="0009674D"/>
    <w:rsid w:val="000967B4"/>
    <w:rsid w:val="000972AA"/>
    <w:rsid w:val="000A122B"/>
    <w:rsid w:val="000A18F6"/>
    <w:rsid w:val="000A19DE"/>
    <w:rsid w:val="000A1BC0"/>
    <w:rsid w:val="000A1F18"/>
    <w:rsid w:val="000A2F9A"/>
    <w:rsid w:val="000A6039"/>
    <w:rsid w:val="000A7453"/>
    <w:rsid w:val="000A76F5"/>
    <w:rsid w:val="000A7D08"/>
    <w:rsid w:val="000B0121"/>
    <w:rsid w:val="000B0670"/>
    <w:rsid w:val="000B0C3F"/>
    <w:rsid w:val="000B0E75"/>
    <w:rsid w:val="000B0E82"/>
    <w:rsid w:val="000B114F"/>
    <w:rsid w:val="000B166E"/>
    <w:rsid w:val="000B1EE5"/>
    <w:rsid w:val="000B2052"/>
    <w:rsid w:val="000B2DCB"/>
    <w:rsid w:val="000B4646"/>
    <w:rsid w:val="000B48F5"/>
    <w:rsid w:val="000B4CD2"/>
    <w:rsid w:val="000B5CE0"/>
    <w:rsid w:val="000B6918"/>
    <w:rsid w:val="000B6C13"/>
    <w:rsid w:val="000B6CAC"/>
    <w:rsid w:val="000B70C6"/>
    <w:rsid w:val="000B7612"/>
    <w:rsid w:val="000B78AE"/>
    <w:rsid w:val="000B7B52"/>
    <w:rsid w:val="000B7ED2"/>
    <w:rsid w:val="000C03C4"/>
    <w:rsid w:val="000C1782"/>
    <w:rsid w:val="000C1964"/>
    <w:rsid w:val="000C19E0"/>
    <w:rsid w:val="000C1BBF"/>
    <w:rsid w:val="000C1D27"/>
    <w:rsid w:val="000C2551"/>
    <w:rsid w:val="000C29AF"/>
    <w:rsid w:val="000C2CD8"/>
    <w:rsid w:val="000C339D"/>
    <w:rsid w:val="000C3DF9"/>
    <w:rsid w:val="000C4663"/>
    <w:rsid w:val="000C500F"/>
    <w:rsid w:val="000C616C"/>
    <w:rsid w:val="000C649F"/>
    <w:rsid w:val="000C6713"/>
    <w:rsid w:val="000D07C1"/>
    <w:rsid w:val="000D178F"/>
    <w:rsid w:val="000D1BFC"/>
    <w:rsid w:val="000D1D5D"/>
    <w:rsid w:val="000D26C2"/>
    <w:rsid w:val="000D281A"/>
    <w:rsid w:val="000D2848"/>
    <w:rsid w:val="000D326A"/>
    <w:rsid w:val="000D42BB"/>
    <w:rsid w:val="000D4C57"/>
    <w:rsid w:val="000D512A"/>
    <w:rsid w:val="000D51FB"/>
    <w:rsid w:val="000D5F02"/>
    <w:rsid w:val="000D7051"/>
    <w:rsid w:val="000E0324"/>
    <w:rsid w:val="000E0640"/>
    <w:rsid w:val="000E1218"/>
    <w:rsid w:val="000E135D"/>
    <w:rsid w:val="000E1963"/>
    <w:rsid w:val="000E2009"/>
    <w:rsid w:val="000E20D9"/>
    <w:rsid w:val="000E2160"/>
    <w:rsid w:val="000E300B"/>
    <w:rsid w:val="000E4707"/>
    <w:rsid w:val="000E4DB3"/>
    <w:rsid w:val="000E51A8"/>
    <w:rsid w:val="000E6C02"/>
    <w:rsid w:val="000F00BA"/>
    <w:rsid w:val="000F0C68"/>
    <w:rsid w:val="000F1284"/>
    <w:rsid w:val="000F22DD"/>
    <w:rsid w:val="000F2724"/>
    <w:rsid w:val="000F2D5E"/>
    <w:rsid w:val="000F2DCB"/>
    <w:rsid w:val="000F316A"/>
    <w:rsid w:val="000F3C74"/>
    <w:rsid w:val="000F3EE0"/>
    <w:rsid w:val="000F3F24"/>
    <w:rsid w:val="000F4019"/>
    <w:rsid w:val="000F4BB8"/>
    <w:rsid w:val="000F4FA9"/>
    <w:rsid w:val="000F53FB"/>
    <w:rsid w:val="000F6A82"/>
    <w:rsid w:val="000F7127"/>
    <w:rsid w:val="000F73D3"/>
    <w:rsid w:val="000F7B54"/>
    <w:rsid w:val="00100286"/>
    <w:rsid w:val="0010034B"/>
    <w:rsid w:val="00100F8A"/>
    <w:rsid w:val="0010178B"/>
    <w:rsid w:val="00102285"/>
    <w:rsid w:val="00102297"/>
    <w:rsid w:val="00102564"/>
    <w:rsid w:val="00102CCD"/>
    <w:rsid w:val="00102D1A"/>
    <w:rsid w:val="00103646"/>
    <w:rsid w:val="00103B6E"/>
    <w:rsid w:val="00103EA8"/>
    <w:rsid w:val="0010452E"/>
    <w:rsid w:val="00104B8E"/>
    <w:rsid w:val="00105382"/>
    <w:rsid w:val="00105634"/>
    <w:rsid w:val="00105708"/>
    <w:rsid w:val="00105AE2"/>
    <w:rsid w:val="001060C6"/>
    <w:rsid w:val="00106B80"/>
    <w:rsid w:val="001075A4"/>
    <w:rsid w:val="001076DA"/>
    <w:rsid w:val="00107AF0"/>
    <w:rsid w:val="0011032E"/>
    <w:rsid w:val="00110751"/>
    <w:rsid w:val="001109E2"/>
    <w:rsid w:val="001114EB"/>
    <w:rsid w:val="0011153E"/>
    <w:rsid w:val="00112948"/>
    <w:rsid w:val="00112D7E"/>
    <w:rsid w:val="001130AF"/>
    <w:rsid w:val="0011348B"/>
    <w:rsid w:val="001135B8"/>
    <w:rsid w:val="00113A5E"/>
    <w:rsid w:val="00113F1A"/>
    <w:rsid w:val="00114826"/>
    <w:rsid w:val="00114B73"/>
    <w:rsid w:val="00114D2A"/>
    <w:rsid w:val="00115520"/>
    <w:rsid w:val="00115982"/>
    <w:rsid w:val="00115EAF"/>
    <w:rsid w:val="00116C53"/>
    <w:rsid w:val="00117428"/>
    <w:rsid w:val="001214DC"/>
    <w:rsid w:val="00121799"/>
    <w:rsid w:val="001222FC"/>
    <w:rsid w:val="0012254F"/>
    <w:rsid w:val="00122B73"/>
    <w:rsid w:val="00123902"/>
    <w:rsid w:val="00124A0E"/>
    <w:rsid w:val="00124A51"/>
    <w:rsid w:val="00125631"/>
    <w:rsid w:val="00126621"/>
    <w:rsid w:val="00126B1D"/>
    <w:rsid w:val="00127BB2"/>
    <w:rsid w:val="00130172"/>
    <w:rsid w:val="001301E9"/>
    <w:rsid w:val="00131473"/>
    <w:rsid w:val="00131763"/>
    <w:rsid w:val="00131B03"/>
    <w:rsid w:val="00131D41"/>
    <w:rsid w:val="00131D82"/>
    <w:rsid w:val="001325AD"/>
    <w:rsid w:val="00132B22"/>
    <w:rsid w:val="00132D17"/>
    <w:rsid w:val="001338C3"/>
    <w:rsid w:val="00133D36"/>
    <w:rsid w:val="00134249"/>
    <w:rsid w:val="0013429B"/>
    <w:rsid w:val="001357EF"/>
    <w:rsid w:val="00135843"/>
    <w:rsid w:val="00136175"/>
    <w:rsid w:val="001364A4"/>
    <w:rsid w:val="00137254"/>
    <w:rsid w:val="00137645"/>
    <w:rsid w:val="00137975"/>
    <w:rsid w:val="00137BA6"/>
    <w:rsid w:val="0014015A"/>
    <w:rsid w:val="00140C23"/>
    <w:rsid w:val="00140C54"/>
    <w:rsid w:val="00140E99"/>
    <w:rsid w:val="00141A0A"/>
    <w:rsid w:val="00141DB5"/>
    <w:rsid w:val="0014216F"/>
    <w:rsid w:val="00142344"/>
    <w:rsid w:val="001424C0"/>
    <w:rsid w:val="00142AA9"/>
    <w:rsid w:val="001439F3"/>
    <w:rsid w:val="00143F67"/>
    <w:rsid w:val="00144A01"/>
    <w:rsid w:val="00144C55"/>
    <w:rsid w:val="00145540"/>
    <w:rsid w:val="001456B0"/>
    <w:rsid w:val="0014785F"/>
    <w:rsid w:val="00154192"/>
    <w:rsid w:val="00154A51"/>
    <w:rsid w:val="00155696"/>
    <w:rsid w:val="0015598F"/>
    <w:rsid w:val="001561AE"/>
    <w:rsid w:val="00156502"/>
    <w:rsid w:val="00156EED"/>
    <w:rsid w:val="00156F8F"/>
    <w:rsid w:val="00157130"/>
    <w:rsid w:val="001576B1"/>
    <w:rsid w:val="0016047B"/>
    <w:rsid w:val="00160898"/>
    <w:rsid w:val="00160A4C"/>
    <w:rsid w:val="00160C8A"/>
    <w:rsid w:val="00160D5A"/>
    <w:rsid w:val="0016138D"/>
    <w:rsid w:val="00162913"/>
    <w:rsid w:val="00162A87"/>
    <w:rsid w:val="00163078"/>
    <w:rsid w:val="00163EFF"/>
    <w:rsid w:val="00163F66"/>
    <w:rsid w:val="001661FB"/>
    <w:rsid w:val="0016663E"/>
    <w:rsid w:val="00166CB0"/>
    <w:rsid w:val="001671A0"/>
    <w:rsid w:val="00167249"/>
    <w:rsid w:val="001675AD"/>
    <w:rsid w:val="0016767F"/>
    <w:rsid w:val="00170AC6"/>
    <w:rsid w:val="00170D3E"/>
    <w:rsid w:val="00172007"/>
    <w:rsid w:val="00172663"/>
    <w:rsid w:val="001729E9"/>
    <w:rsid w:val="001734FD"/>
    <w:rsid w:val="00173565"/>
    <w:rsid w:val="001735D2"/>
    <w:rsid w:val="00173754"/>
    <w:rsid w:val="00173AD4"/>
    <w:rsid w:val="00173B07"/>
    <w:rsid w:val="00174F73"/>
    <w:rsid w:val="001751FA"/>
    <w:rsid w:val="00175B3C"/>
    <w:rsid w:val="001764EE"/>
    <w:rsid w:val="00176659"/>
    <w:rsid w:val="001770CA"/>
    <w:rsid w:val="001770F1"/>
    <w:rsid w:val="00177DDD"/>
    <w:rsid w:val="00180180"/>
    <w:rsid w:val="0018062E"/>
    <w:rsid w:val="00180B2E"/>
    <w:rsid w:val="00181D9C"/>
    <w:rsid w:val="00181E7E"/>
    <w:rsid w:val="00182ACC"/>
    <w:rsid w:val="001834DA"/>
    <w:rsid w:val="00183DD6"/>
    <w:rsid w:val="00183E86"/>
    <w:rsid w:val="00184B0E"/>
    <w:rsid w:val="00184BF1"/>
    <w:rsid w:val="00185306"/>
    <w:rsid w:val="00185446"/>
    <w:rsid w:val="001857A0"/>
    <w:rsid w:val="00186AFC"/>
    <w:rsid w:val="00186FF4"/>
    <w:rsid w:val="00187504"/>
    <w:rsid w:val="0018752F"/>
    <w:rsid w:val="0018794B"/>
    <w:rsid w:val="00187B90"/>
    <w:rsid w:val="001902A2"/>
    <w:rsid w:val="001903B9"/>
    <w:rsid w:val="0019062B"/>
    <w:rsid w:val="00191192"/>
    <w:rsid w:val="00192304"/>
    <w:rsid w:val="0019248F"/>
    <w:rsid w:val="00193838"/>
    <w:rsid w:val="00193AC9"/>
    <w:rsid w:val="00194AD8"/>
    <w:rsid w:val="00194B54"/>
    <w:rsid w:val="00194C6B"/>
    <w:rsid w:val="00194FC5"/>
    <w:rsid w:val="00195222"/>
    <w:rsid w:val="0019562C"/>
    <w:rsid w:val="00195E6C"/>
    <w:rsid w:val="00196C58"/>
    <w:rsid w:val="001975D8"/>
    <w:rsid w:val="0019773D"/>
    <w:rsid w:val="001A07CE"/>
    <w:rsid w:val="001A1110"/>
    <w:rsid w:val="001A178E"/>
    <w:rsid w:val="001A1A2A"/>
    <w:rsid w:val="001A3237"/>
    <w:rsid w:val="001A37BB"/>
    <w:rsid w:val="001A3F95"/>
    <w:rsid w:val="001A43FA"/>
    <w:rsid w:val="001A47C5"/>
    <w:rsid w:val="001A4F22"/>
    <w:rsid w:val="001A5126"/>
    <w:rsid w:val="001A59FB"/>
    <w:rsid w:val="001A5E9E"/>
    <w:rsid w:val="001A6354"/>
    <w:rsid w:val="001A6366"/>
    <w:rsid w:val="001A7AE8"/>
    <w:rsid w:val="001B0832"/>
    <w:rsid w:val="001B204E"/>
    <w:rsid w:val="001B2372"/>
    <w:rsid w:val="001B2A1D"/>
    <w:rsid w:val="001B2C68"/>
    <w:rsid w:val="001B3443"/>
    <w:rsid w:val="001B3677"/>
    <w:rsid w:val="001B4ABE"/>
    <w:rsid w:val="001B4D20"/>
    <w:rsid w:val="001B53CE"/>
    <w:rsid w:val="001B60DA"/>
    <w:rsid w:val="001B766C"/>
    <w:rsid w:val="001C0741"/>
    <w:rsid w:val="001C1547"/>
    <w:rsid w:val="001C2A9B"/>
    <w:rsid w:val="001C3697"/>
    <w:rsid w:val="001C375D"/>
    <w:rsid w:val="001C3A41"/>
    <w:rsid w:val="001C4299"/>
    <w:rsid w:val="001C436A"/>
    <w:rsid w:val="001C4874"/>
    <w:rsid w:val="001C57DB"/>
    <w:rsid w:val="001C5D1A"/>
    <w:rsid w:val="001C5F94"/>
    <w:rsid w:val="001C6E66"/>
    <w:rsid w:val="001D0A0E"/>
    <w:rsid w:val="001D1100"/>
    <w:rsid w:val="001D128C"/>
    <w:rsid w:val="001D1391"/>
    <w:rsid w:val="001D1B2A"/>
    <w:rsid w:val="001D202E"/>
    <w:rsid w:val="001D222C"/>
    <w:rsid w:val="001D25D7"/>
    <w:rsid w:val="001D3230"/>
    <w:rsid w:val="001D41E6"/>
    <w:rsid w:val="001D4CC9"/>
    <w:rsid w:val="001D50B2"/>
    <w:rsid w:val="001D5D49"/>
    <w:rsid w:val="001D5D62"/>
    <w:rsid w:val="001D6F0E"/>
    <w:rsid w:val="001D7130"/>
    <w:rsid w:val="001D7283"/>
    <w:rsid w:val="001D74AF"/>
    <w:rsid w:val="001D7645"/>
    <w:rsid w:val="001E0272"/>
    <w:rsid w:val="001E0B20"/>
    <w:rsid w:val="001E1BA2"/>
    <w:rsid w:val="001E1E86"/>
    <w:rsid w:val="001E238E"/>
    <w:rsid w:val="001E2483"/>
    <w:rsid w:val="001E2AF4"/>
    <w:rsid w:val="001E2B1E"/>
    <w:rsid w:val="001E2CFF"/>
    <w:rsid w:val="001E2F24"/>
    <w:rsid w:val="001E2FDE"/>
    <w:rsid w:val="001E30D4"/>
    <w:rsid w:val="001E338D"/>
    <w:rsid w:val="001E34DF"/>
    <w:rsid w:val="001E40B9"/>
    <w:rsid w:val="001E42D2"/>
    <w:rsid w:val="001E4918"/>
    <w:rsid w:val="001E52EB"/>
    <w:rsid w:val="001E5A60"/>
    <w:rsid w:val="001E5A8B"/>
    <w:rsid w:val="001E61D2"/>
    <w:rsid w:val="001E6A08"/>
    <w:rsid w:val="001E740C"/>
    <w:rsid w:val="001E7759"/>
    <w:rsid w:val="001E7C6D"/>
    <w:rsid w:val="001F06C7"/>
    <w:rsid w:val="001F1235"/>
    <w:rsid w:val="001F1CB3"/>
    <w:rsid w:val="001F2939"/>
    <w:rsid w:val="001F2B0C"/>
    <w:rsid w:val="001F3292"/>
    <w:rsid w:val="001F36E0"/>
    <w:rsid w:val="001F38B5"/>
    <w:rsid w:val="001F3915"/>
    <w:rsid w:val="001F3EBB"/>
    <w:rsid w:val="001F4081"/>
    <w:rsid w:val="001F49DC"/>
    <w:rsid w:val="001F4E1B"/>
    <w:rsid w:val="001F4E25"/>
    <w:rsid w:val="001F4EB5"/>
    <w:rsid w:val="001F4FD1"/>
    <w:rsid w:val="001F5431"/>
    <w:rsid w:val="001F5789"/>
    <w:rsid w:val="001F5A3D"/>
    <w:rsid w:val="001F5A66"/>
    <w:rsid w:val="001F643C"/>
    <w:rsid w:val="001F6B43"/>
    <w:rsid w:val="001F6EC3"/>
    <w:rsid w:val="001F7361"/>
    <w:rsid w:val="002007FE"/>
    <w:rsid w:val="00200BF8"/>
    <w:rsid w:val="002011B0"/>
    <w:rsid w:val="002016E6"/>
    <w:rsid w:val="002016F1"/>
    <w:rsid w:val="00202093"/>
    <w:rsid w:val="002024D5"/>
    <w:rsid w:val="00202D13"/>
    <w:rsid w:val="00203181"/>
    <w:rsid w:val="00203412"/>
    <w:rsid w:val="00203783"/>
    <w:rsid w:val="0020385F"/>
    <w:rsid w:val="00203CAD"/>
    <w:rsid w:val="00204BD2"/>
    <w:rsid w:val="00204CA7"/>
    <w:rsid w:val="002051EB"/>
    <w:rsid w:val="002068A0"/>
    <w:rsid w:val="00207021"/>
    <w:rsid w:val="0020732F"/>
    <w:rsid w:val="00207361"/>
    <w:rsid w:val="002079FD"/>
    <w:rsid w:val="00207D00"/>
    <w:rsid w:val="002105C1"/>
    <w:rsid w:val="00211760"/>
    <w:rsid w:val="002119EC"/>
    <w:rsid w:val="00212BAE"/>
    <w:rsid w:val="00212E95"/>
    <w:rsid w:val="00213EF5"/>
    <w:rsid w:val="002143C2"/>
    <w:rsid w:val="002153A7"/>
    <w:rsid w:val="00215EBD"/>
    <w:rsid w:val="002164AF"/>
    <w:rsid w:val="00216A1E"/>
    <w:rsid w:val="00216BF5"/>
    <w:rsid w:val="00217559"/>
    <w:rsid w:val="002175C2"/>
    <w:rsid w:val="002201B0"/>
    <w:rsid w:val="00220FB0"/>
    <w:rsid w:val="00223194"/>
    <w:rsid w:val="00223982"/>
    <w:rsid w:val="00223B49"/>
    <w:rsid w:val="00223D5A"/>
    <w:rsid w:val="00224D17"/>
    <w:rsid w:val="00224DD4"/>
    <w:rsid w:val="00224E22"/>
    <w:rsid w:val="00226121"/>
    <w:rsid w:val="00226696"/>
    <w:rsid w:val="00226E2F"/>
    <w:rsid w:val="00227425"/>
    <w:rsid w:val="002278A0"/>
    <w:rsid w:val="002300AC"/>
    <w:rsid w:val="0023019D"/>
    <w:rsid w:val="0023065E"/>
    <w:rsid w:val="002309CC"/>
    <w:rsid w:val="00231454"/>
    <w:rsid w:val="002317C2"/>
    <w:rsid w:val="00231BB7"/>
    <w:rsid w:val="00231F3E"/>
    <w:rsid w:val="0023209F"/>
    <w:rsid w:val="00233C01"/>
    <w:rsid w:val="00234079"/>
    <w:rsid w:val="002340CA"/>
    <w:rsid w:val="0023413C"/>
    <w:rsid w:val="00234179"/>
    <w:rsid w:val="0023461C"/>
    <w:rsid w:val="002346F0"/>
    <w:rsid w:val="0023525E"/>
    <w:rsid w:val="002356AE"/>
    <w:rsid w:val="0023629D"/>
    <w:rsid w:val="00237255"/>
    <w:rsid w:val="00237512"/>
    <w:rsid w:val="002378D3"/>
    <w:rsid w:val="00240729"/>
    <w:rsid w:val="0024096D"/>
    <w:rsid w:val="00241231"/>
    <w:rsid w:val="00241D85"/>
    <w:rsid w:val="002424AF"/>
    <w:rsid w:val="002426FF"/>
    <w:rsid w:val="00243886"/>
    <w:rsid w:val="002439DC"/>
    <w:rsid w:val="00243B63"/>
    <w:rsid w:val="002441D2"/>
    <w:rsid w:val="00244658"/>
    <w:rsid w:val="00244DC8"/>
    <w:rsid w:val="002457D8"/>
    <w:rsid w:val="002458BA"/>
    <w:rsid w:val="00245CE9"/>
    <w:rsid w:val="0024636C"/>
    <w:rsid w:val="00246617"/>
    <w:rsid w:val="00246F0F"/>
    <w:rsid w:val="002477AF"/>
    <w:rsid w:val="00247925"/>
    <w:rsid w:val="00250128"/>
    <w:rsid w:val="00250319"/>
    <w:rsid w:val="00250B1B"/>
    <w:rsid w:val="00251006"/>
    <w:rsid w:val="002513BA"/>
    <w:rsid w:val="00251B13"/>
    <w:rsid w:val="002521E1"/>
    <w:rsid w:val="002524D5"/>
    <w:rsid w:val="00252B91"/>
    <w:rsid w:val="00252D2C"/>
    <w:rsid w:val="00253B1D"/>
    <w:rsid w:val="00253E32"/>
    <w:rsid w:val="0025407A"/>
    <w:rsid w:val="002545F3"/>
    <w:rsid w:val="00254DCF"/>
    <w:rsid w:val="00254E97"/>
    <w:rsid w:val="0025534B"/>
    <w:rsid w:val="00255B48"/>
    <w:rsid w:val="00255BB7"/>
    <w:rsid w:val="00256692"/>
    <w:rsid w:val="002568FF"/>
    <w:rsid w:val="0025712B"/>
    <w:rsid w:val="00257541"/>
    <w:rsid w:val="00257A39"/>
    <w:rsid w:val="00257AC4"/>
    <w:rsid w:val="00260406"/>
    <w:rsid w:val="00260DE0"/>
    <w:rsid w:val="002610E8"/>
    <w:rsid w:val="00261EEF"/>
    <w:rsid w:val="00262639"/>
    <w:rsid w:val="00262837"/>
    <w:rsid w:val="0026294E"/>
    <w:rsid w:val="00262A1A"/>
    <w:rsid w:val="00262A87"/>
    <w:rsid w:val="00263454"/>
    <w:rsid w:val="00263B8C"/>
    <w:rsid w:val="00263E8B"/>
    <w:rsid w:val="002646E4"/>
    <w:rsid w:val="00264D26"/>
    <w:rsid w:val="0026626F"/>
    <w:rsid w:val="00267642"/>
    <w:rsid w:val="00267A99"/>
    <w:rsid w:val="00267AEA"/>
    <w:rsid w:val="00267E6D"/>
    <w:rsid w:val="002700E6"/>
    <w:rsid w:val="00270650"/>
    <w:rsid w:val="00270683"/>
    <w:rsid w:val="002712F1"/>
    <w:rsid w:val="002713BB"/>
    <w:rsid w:val="002720CA"/>
    <w:rsid w:val="00272444"/>
    <w:rsid w:val="0027294B"/>
    <w:rsid w:val="00273861"/>
    <w:rsid w:val="00273CF7"/>
    <w:rsid w:val="00273EB4"/>
    <w:rsid w:val="00274453"/>
    <w:rsid w:val="00274465"/>
    <w:rsid w:val="00274671"/>
    <w:rsid w:val="00274682"/>
    <w:rsid w:val="002748F4"/>
    <w:rsid w:val="00274B26"/>
    <w:rsid w:val="002757E2"/>
    <w:rsid w:val="00275C5A"/>
    <w:rsid w:val="00275EF3"/>
    <w:rsid w:val="00276437"/>
    <w:rsid w:val="00276868"/>
    <w:rsid w:val="00276EAF"/>
    <w:rsid w:val="00276F25"/>
    <w:rsid w:val="00277DBE"/>
    <w:rsid w:val="002802B5"/>
    <w:rsid w:val="00280952"/>
    <w:rsid w:val="00281014"/>
    <w:rsid w:val="002811CD"/>
    <w:rsid w:val="00282431"/>
    <w:rsid w:val="00282A7C"/>
    <w:rsid w:val="00282BFA"/>
    <w:rsid w:val="00282F4F"/>
    <w:rsid w:val="0028343C"/>
    <w:rsid w:val="00285A67"/>
    <w:rsid w:val="0028665D"/>
    <w:rsid w:val="00286A36"/>
    <w:rsid w:val="0029051A"/>
    <w:rsid w:val="002927E3"/>
    <w:rsid w:val="00292FD9"/>
    <w:rsid w:val="00293153"/>
    <w:rsid w:val="002935C2"/>
    <w:rsid w:val="00293D9E"/>
    <w:rsid w:val="00294018"/>
    <w:rsid w:val="002940FE"/>
    <w:rsid w:val="00294422"/>
    <w:rsid w:val="00294ED7"/>
    <w:rsid w:val="0029612F"/>
    <w:rsid w:val="002968DF"/>
    <w:rsid w:val="00296B16"/>
    <w:rsid w:val="00296D7C"/>
    <w:rsid w:val="002971E5"/>
    <w:rsid w:val="0029723A"/>
    <w:rsid w:val="00297E0B"/>
    <w:rsid w:val="002A03AA"/>
    <w:rsid w:val="002A14AB"/>
    <w:rsid w:val="002A1C5A"/>
    <w:rsid w:val="002A2342"/>
    <w:rsid w:val="002A2ADE"/>
    <w:rsid w:val="002A2F50"/>
    <w:rsid w:val="002A3B80"/>
    <w:rsid w:val="002A452D"/>
    <w:rsid w:val="002A4D46"/>
    <w:rsid w:val="002A59BA"/>
    <w:rsid w:val="002A64A1"/>
    <w:rsid w:val="002A7BE1"/>
    <w:rsid w:val="002A7D38"/>
    <w:rsid w:val="002B04AF"/>
    <w:rsid w:val="002B05A1"/>
    <w:rsid w:val="002B05C5"/>
    <w:rsid w:val="002B09A4"/>
    <w:rsid w:val="002B1C1F"/>
    <w:rsid w:val="002B1E6C"/>
    <w:rsid w:val="002B2175"/>
    <w:rsid w:val="002B2A15"/>
    <w:rsid w:val="002B2BD9"/>
    <w:rsid w:val="002B2CF8"/>
    <w:rsid w:val="002B4323"/>
    <w:rsid w:val="002B432F"/>
    <w:rsid w:val="002B62B3"/>
    <w:rsid w:val="002B6754"/>
    <w:rsid w:val="002B6C5D"/>
    <w:rsid w:val="002B6CCE"/>
    <w:rsid w:val="002B741C"/>
    <w:rsid w:val="002B78A4"/>
    <w:rsid w:val="002C2510"/>
    <w:rsid w:val="002C2617"/>
    <w:rsid w:val="002C2775"/>
    <w:rsid w:val="002C27C1"/>
    <w:rsid w:val="002C30FC"/>
    <w:rsid w:val="002C3E27"/>
    <w:rsid w:val="002C4AD9"/>
    <w:rsid w:val="002C5099"/>
    <w:rsid w:val="002C531F"/>
    <w:rsid w:val="002C552D"/>
    <w:rsid w:val="002C5889"/>
    <w:rsid w:val="002C5E3F"/>
    <w:rsid w:val="002C5EDB"/>
    <w:rsid w:val="002C648B"/>
    <w:rsid w:val="002C71CE"/>
    <w:rsid w:val="002C7256"/>
    <w:rsid w:val="002D00AE"/>
    <w:rsid w:val="002D08F8"/>
    <w:rsid w:val="002D0E84"/>
    <w:rsid w:val="002D11B4"/>
    <w:rsid w:val="002D1CF5"/>
    <w:rsid w:val="002D1DCF"/>
    <w:rsid w:val="002D2F68"/>
    <w:rsid w:val="002D3686"/>
    <w:rsid w:val="002D577C"/>
    <w:rsid w:val="002D5DFE"/>
    <w:rsid w:val="002D6150"/>
    <w:rsid w:val="002D7FC1"/>
    <w:rsid w:val="002E0CF8"/>
    <w:rsid w:val="002E0D90"/>
    <w:rsid w:val="002E1071"/>
    <w:rsid w:val="002E123A"/>
    <w:rsid w:val="002E15B9"/>
    <w:rsid w:val="002E1FD4"/>
    <w:rsid w:val="002E2158"/>
    <w:rsid w:val="002E3165"/>
    <w:rsid w:val="002E329D"/>
    <w:rsid w:val="002E3BDD"/>
    <w:rsid w:val="002E3F87"/>
    <w:rsid w:val="002E4F02"/>
    <w:rsid w:val="002E538E"/>
    <w:rsid w:val="002E64DE"/>
    <w:rsid w:val="002E699A"/>
    <w:rsid w:val="002E6C79"/>
    <w:rsid w:val="002E7153"/>
    <w:rsid w:val="002E7722"/>
    <w:rsid w:val="002F02AA"/>
    <w:rsid w:val="002F07BA"/>
    <w:rsid w:val="002F09C6"/>
    <w:rsid w:val="002F0D76"/>
    <w:rsid w:val="002F0DA9"/>
    <w:rsid w:val="002F1014"/>
    <w:rsid w:val="002F3F2F"/>
    <w:rsid w:val="002F450E"/>
    <w:rsid w:val="002F4B46"/>
    <w:rsid w:val="002F51CC"/>
    <w:rsid w:val="002F5533"/>
    <w:rsid w:val="002F5D94"/>
    <w:rsid w:val="002F643C"/>
    <w:rsid w:val="002F68EF"/>
    <w:rsid w:val="002F68FB"/>
    <w:rsid w:val="002F71C0"/>
    <w:rsid w:val="002F74F1"/>
    <w:rsid w:val="002F78F2"/>
    <w:rsid w:val="0030045A"/>
    <w:rsid w:val="0030099C"/>
    <w:rsid w:val="00301017"/>
    <w:rsid w:val="00301106"/>
    <w:rsid w:val="0030155F"/>
    <w:rsid w:val="00301807"/>
    <w:rsid w:val="00301A4D"/>
    <w:rsid w:val="003034F6"/>
    <w:rsid w:val="00303669"/>
    <w:rsid w:val="00303AA2"/>
    <w:rsid w:val="00303C65"/>
    <w:rsid w:val="0030429A"/>
    <w:rsid w:val="003044DC"/>
    <w:rsid w:val="003046EC"/>
    <w:rsid w:val="00304EB3"/>
    <w:rsid w:val="0030587B"/>
    <w:rsid w:val="00306B87"/>
    <w:rsid w:val="00306D98"/>
    <w:rsid w:val="00306E2E"/>
    <w:rsid w:val="00307639"/>
    <w:rsid w:val="0030786C"/>
    <w:rsid w:val="0031031A"/>
    <w:rsid w:val="003104DD"/>
    <w:rsid w:val="00310521"/>
    <w:rsid w:val="00310981"/>
    <w:rsid w:val="00310A2B"/>
    <w:rsid w:val="0031126F"/>
    <w:rsid w:val="00311838"/>
    <w:rsid w:val="00312160"/>
    <w:rsid w:val="003124D9"/>
    <w:rsid w:val="00312594"/>
    <w:rsid w:val="00312614"/>
    <w:rsid w:val="00312DA9"/>
    <w:rsid w:val="00314651"/>
    <w:rsid w:val="00315498"/>
    <w:rsid w:val="003156F5"/>
    <w:rsid w:val="00315848"/>
    <w:rsid w:val="00316303"/>
    <w:rsid w:val="00316474"/>
    <w:rsid w:val="00316E32"/>
    <w:rsid w:val="00316F8C"/>
    <w:rsid w:val="00317570"/>
    <w:rsid w:val="003200B8"/>
    <w:rsid w:val="0032079F"/>
    <w:rsid w:val="00321D6D"/>
    <w:rsid w:val="00322107"/>
    <w:rsid w:val="00322247"/>
    <w:rsid w:val="00322355"/>
    <w:rsid w:val="00322846"/>
    <w:rsid w:val="00322A8D"/>
    <w:rsid w:val="00322FF7"/>
    <w:rsid w:val="00323C91"/>
    <w:rsid w:val="00323CA3"/>
    <w:rsid w:val="00323CBC"/>
    <w:rsid w:val="00324031"/>
    <w:rsid w:val="00324F26"/>
    <w:rsid w:val="00326DA7"/>
    <w:rsid w:val="003270E4"/>
    <w:rsid w:val="00327156"/>
    <w:rsid w:val="0032719B"/>
    <w:rsid w:val="003273CB"/>
    <w:rsid w:val="00327C0E"/>
    <w:rsid w:val="00330DAA"/>
    <w:rsid w:val="00330F5C"/>
    <w:rsid w:val="00331431"/>
    <w:rsid w:val="0033314F"/>
    <w:rsid w:val="00333510"/>
    <w:rsid w:val="00333800"/>
    <w:rsid w:val="00334347"/>
    <w:rsid w:val="003352AD"/>
    <w:rsid w:val="0033576B"/>
    <w:rsid w:val="003366C9"/>
    <w:rsid w:val="00336C13"/>
    <w:rsid w:val="003371B0"/>
    <w:rsid w:val="00337664"/>
    <w:rsid w:val="0034056B"/>
    <w:rsid w:val="0034094F"/>
    <w:rsid w:val="00340DF1"/>
    <w:rsid w:val="00341651"/>
    <w:rsid w:val="00341AB6"/>
    <w:rsid w:val="00341EB7"/>
    <w:rsid w:val="00342A27"/>
    <w:rsid w:val="003431FF"/>
    <w:rsid w:val="00343CF4"/>
    <w:rsid w:val="00343E30"/>
    <w:rsid w:val="003442DD"/>
    <w:rsid w:val="00344EB3"/>
    <w:rsid w:val="003452A4"/>
    <w:rsid w:val="00345D9D"/>
    <w:rsid w:val="00345E9C"/>
    <w:rsid w:val="00351254"/>
    <w:rsid w:val="00351522"/>
    <w:rsid w:val="003517F9"/>
    <w:rsid w:val="00351BA9"/>
    <w:rsid w:val="00351D51"/>
    <w:rsid w:val="0035283D"/>
    <w:rsid w:val="00352AF1"/>
    <w:rsid w:val="00353728"/>
    <w:rsid w:val="0035429D"/>
    <w:rsid w:val="00354DE1"/>
    <w:rsid w:val="00354F64"/>
    <w:rsid w:val="0035533D"/>
    <w:rsid w:val="0035595B"/>
    <w:rsid w:val="00356057"/>
    <w:rsid w:val="0035620E"/>
    <w:rsid w:val="0035730C"/>
    <w:rsid w:val="003574F9"/>
    <w:rsid w:val="00360345"/>
    <w:rsid w:val="00360CF9"/>
    <w:rsid w:val="00360E1D"/>
    <w:rsid w:val="00361812"/>
    <w:rsid w:val="00361A05"/>
    <w:rsid w:val="003624C4"/>
    <w:rsid w:val="003633E7"/>
    <w:rsid w:val="00363B00"/>
    <w:rsid w:val="00363C71"/>
    <w:rsid w:val="00364076"/>
    <w:rsid w:val="003654AC"/>
    <w:rsid w:val="003710CF"/>
    <w:rsid w:val="0037232A"/>
    <w:rsid w:val="0037293A"/>
    <w:rsid w:val="0037338C"/>
    <w:rsid w:val="00373572"/>
    <w:rsid w:val="0037358A"/>
    <w:rsid w:val="00373AE8"/>
    <w:rsid w:val="003746FB"/>
    <w:rsid w:val="003747A9"/>
    <w:rsid w:val="003748F4"/>
    <w:rsid w:val="00374D84"/>
    <w:rsid w:val="003750F6"/>
    <w:rsid w:val="00375116"/>
    <w:rsid w:val="003760FC"/>
    <w:rsid w:val="0037665E"/>
    <w:rsid w:val="00377406"/>
    <w:rsid w:val="00377C66"/>
    <w:rsid w:val="0038013D"/>
    <w:rsid w:val="0038094C"/>
    <w:rsid w:val="00382293"/>
    <w:rsid w:val="0038336A"/>
    <w:rsid w:val="0038365C"/>
    <w:rsid w:val="0038369B"/>
    <w:rsid w:val="00383B78"/>
    <w:rsid w:val="00385A9D"/>
    <w:rsid w:val="00385C1A"/>
    <w:rsid w:val="0038636C"/>
    <w:rsid w:val="003863A7"/>
    <w:rsid w:val="003875AA"/>
    <w:rsid w:val="003902B1"/>
    <w:rsid w:val="00390C77"/>
    <w:rsid w:val="00390CBB"/>
    <w:rsid w:val="0039179C"/>
    <w:rsid w:val="00391F23"/>
    <w:rsid w:val="00391F39"/>
    <w:rsid w:val="00391F3E"/>
    <w:rsid w:val="00392981"/>
    <w:rsid w:val="00392CA4"/>
    <w:rsid w:val="00392DA2"/>
    <w:rsid w:val="00393192"/>
    <w:rsid w:val="00393453"/>
    <w:rsid w:val="003936BA"/>
    <w:rsid w:val="003949F5"/>
    <w:rsid w:val="00395666"/>
    <w:rsid w:val="00395BEC"/>
    <w:rsid w:val="0039635D"/>
    <w:rsid w:val="00396465"/>
    <w:rsid w:val="00396896"/>
    <w:rsid w:val="00396FD0"/>
    <w:rsid w:val="003A0A30"/>
    <w:rsid w:val="003A0D25"/>
    <w:rsid w:val="003A1889"/>
    <w:rsid w:val="003A1A7A"/>
    <w:rsid w:val="003A209D"/>
    <w:rsid w:val="003A227C"/>
    <w:rsid w:val="003A2392"/>
    <w:rsid w:val="003A2831"/>
    <w:rsid w:val="003A2DBD"/>
    <w:rsid w:val="003A30EE"/>
    <w:rsid w:val="003A398E"/>
    <w:rsid w:val="003A3CB6"/>
    <w:rsid w:val="003A3D2E"/>
    <w:rsid w:val="003A3ED1"/>
    <w:rsid w:val="003A44DB"/>
    <w:rsid w:val="003A4CFB"/>
    <w:rsid w:val="003A555F"/>
    <w:rsid w:val="003A5B52"/>
    <w:rsid w:val="003A5F14"/>
    <w:rsid w:val="003A698D"/>
    <w:rsid w:val="003A6FE2"/>
    <w:rsid w:val="003B06B9"/>
    <w:rsid w:val="003B0A2B"/>
    <w:rsid w:val="003B10E2"/>
    <w:rsid w:val="003B113E"/>
    <w:rsid w:val="003B1231"/>
    <w:rsid w:val="003B1491"/>
    <w:rsid w:val="003B14BF"/>
    <w:rsid w:val="003B205F"/>
    <w:rsid w:val="003B2B92"/>
    <w:rsid w:val="003B390E"/>
    <w:rsid w:val="003B3971"/>
    <w:rsid w:val="003B3983"/>
    <w:rsid w:val="003B3ECE"/>
    <w:rsid w:val="003B55D1"/>
    <w:rsid w:val="003B5B61"/>
    <w:rsid w:val="003B630B"/>
    <w:rsid w:val="003B6BAD"/>
    <w:rsid w:val="003C003C"/>
    <w:rsid w:val="003C0E21"/>
    <w:rsid w:val="003C10EF"/>
    <w:rsid w:val="003C1654"/>
    <w:rsid w:val="003C1F94"/>
    <w:rsid w:val="003C2B89"/>
    <w:rsid w:val="003C338E"/>
    <w:rsid w:val="003C3CAE"/>
    <w:rsid w:val="003C440E"/>
    <w:rsid w:val="003C4872"/>
    <w:rsid w:val="003C4C47"/>
    <w:rsid w:val="003C513E"/>
    <w:rsid w:val="003C5542"/>
    <w:rsid w:val="003C57D0"/>
    <w:rsid w:val="003C6AD1"/>
    <w:rsid w:val="003C7D19"/>
    <w:rsid w:val="003C7D2F"/>
    <w:rsid w:val="003D07B7"/>
    <w:rsid w:val="003D08F3"/>
    <w:rsid w:val="003D0D51"/>
    <w:rsid w:val="003D0DC3"/>
    <w:rsid w:val="003D1828"/>
    <w:rsid w:val="003D1DE4"/>
    <w:rsid w:val="003D1E9A"/>
    <w:rsid w:val="003D2422"/>
    <w:rsid w:val="003D252E"/>
    <w:rsid w:val="003D2D96"/>
    <w:rsid w:val="003D39A1"/>
    <w:rsid w:val="003D3A5C"/>
    <w:rsid w:val="003D3FBF"/>
    <w:rsid w:val="003D4443"/>
    <w:rsid w:val="003D4A30"/>
    <w:rsid w:val="003D58DA"/>
    <w:rsid w:val="003D73AB"/>
    <w:rsid w:val="003D7452"/>
    <w:rsid w:val="003D79BB"/>
    <w:rsid w:val="003D7B58"/>
    <w:rsid w:val="003D7C98"/>
    <w:rsid w:val="003D7D9D"/>
    <w:rsid w:val="003E0386"/>
    <w:rsid w:val="003E0543"/>
    <w:rsid w:val="003E09BF"/>
    <w:rsid w:val="003E18A1"/>
    <w:rsid w:val="003E2078"/>
    <w:rsid w:val="003E21D0"/>
    <w:rsid w:val="003E2619"/>
    <w:rsid w:val="003E367D"/>
    <w:rsid w:val="003E3F6A"/>
    <w:rsid w:val="003E40B9"/>
    <w:rsid w:val="003E4334"/>
    <w:rsid w:val="003E43EF"/>
    <w:rsid w:val="003E4920"/>
    <w:rsid w:val="003E4AC4"/>
    <w:rsid w:val="003E4C84"/>
    <w:rsid w:val="003E6FD7"/>
    <w:rsid w:val="003E6FF6"/>
    <w:rsid w:val="003E749E"/>
    <w:rsid w:val="003E74B5"/>
    <w:rsid w:val="003F00B5"/>
    <w:rsid w:val="003F041B"/>
    <w:rsid w:val="003F0C7C"/>
    <w:rsid w:val="003F15A5"/>
    <w:rsid w:val="003F1B6E"/>
    <w:rsid w:val="003F2057"/>
    <w:rsid w:val="003F22FC"/>
    <w:rsid w:val="003F288F"/>
    <w:rsid w:val="003F2D2B"/>
    <w:rsid w:val="003F4156"/>
    <w:rsid w:val="003F4294"/>
    <w:rsid w:val="003F4469"/>
    <w:rsid w:val="003F54C5"/>
    <w:rsid w:val="003F5ADF"/>
    <w:rsid w:val="003F7004"/>
    <w:rsid w:val="003F79F2"/>
    <w:rsid w:val="00400965"/>
    <w:rsid w:val="004009E8"/>
    <w:rsid w:val="00400A3D"/>
    <w:rsid w:val="00400B29"/>
    <w:rsid w:val="00402A62"/>
    <w:rsid w:val="00402CF9"/>
    <w:rsid w:val="004048B9"/>
    <w:rsid w:val="0040504B"/>
    <w:rsid w:val="0040526B"/>
    <w:rsid w:val="004059F4"/>
    <w:rsid w:val="0040709C"/>
    <w:rsid w:val="00407FE5"/>
    <w:rsid w:val="004101B0"/>
    <w:rsid w:val="004102AE"/>
    <w:rsid w:val="004102E5"/>
    <w:rsid w:val="00410326"/>
    <w:rsid w:val="00410708"/>
    <w:rsid w:val="00410749"/>
    <w:rsid w:val="00410EC7"/>
    <w:rsid w:val="004110EC"/>
    <w:rsid w:val="00411B39"/>
    <w:rsid w:val="004127A7"/>
    <w:rsid w:val="00412ED4"/>
    <w:rsid w:val="00413A1E"/>
    <w:rsid w:val="004143A0"/>
    <w:rsid w:val="004143B5"/>
    <w:rsid w:val="00414476"/>
    <w:rsid w:val="00414C2E"/>
    <w:rsid w:val="00414C96"/>
    <w:rsid w:val="00414F58"/>
    <w:rsid w:val="004151CF"/>
    <w:rsid w:val="004158F9"/>
    <w:rsid w:val="00415CE1"/>
    <w:rsid w:val="00416364"/>
    <w:rsid w:val="00416632"/>
    <w:rsid w:val="00416945"/>
    <w:rsid w:val="00416B2A"/>
    <w:rsid w:val="00417044"/>
    <w:rsid w:val="0042047F"/>
    <w:rsid w:val="0042084E"/>
    <w:rsid w:val="00420AA6"/>
    <w:rsid w:val="00420B9F"/>
    <w:rsid w:val="0042192C"/>
    <w:rsid w:val="00422260"/>
    <w:rsid w:val="00422477"/>
    <w:rsid w:val="00422F37"/>
    <w:rsid w:val="00423AD5"/>
    <w:rsid w:val="0042413F"/>
    <w:rsid w:val="004241D6"/>
    <w:rsid w:val="00424283"/>
    <w:rsid w:val="0042439D"/>
    <w:rsid w:val="0042450E"/>
    <w:rsid w:val="004250C5"/>
    <w:rsid w:val="004254E3"/>
    <w:rsid w:val="00425626"/>
    <w:rsid w:val="0042598B"/>
    <w:rsid w:val="0042621F"/>
    <w:rsid w:val="0042682B"/>
    <w:rsid w:val="00426877"/>
    <w:rsid w:val="00427E14"/>
    <w:rsid w:val="00430358"/>
    <w:rsid w:val="00431595"/>
    <w:rsid w:val="004319F8"/>
    <w:rsid w:val="00431E55"/>
    <w:rsid w:val="004321F6"/>
    <w:rsid w:val="00433044"/>
    <w:rsid w:val="004330ED"/>
    <w:rsid w:val="004334D2"/>
    <w:rsid w:val="004335E5"/>
    <w:rsid w:val="00434088"/>
    <w:rsid w:val="00434877"/>
    <w:rsid w:val="004369AC"/>
    <w:rsid w:val="00437535"/>
    <w:rsid w:val="00437540"/>
    <w:rsid w:val="004375B9"/>
    <w:rsid w:val="0043775A"/>
    <w:rsid w:val="0044068B"/>
    <w:rsid w:val="00441CA7"/>
    <w:rsid w:val="00441D32"/>
    <w:rsid w:val="004428D0"/>
    <w:rsid w:val="00442D92"/>
    <w:rsid w:val="00443C77"/>
    <w:rsid w:val="00444185"/>
    <w:rsid w:val="004442D1"/>
    <w:rsid w:val="004443A7"/>
    <w:rsid w:val="0044442C"/>
    <w:rsid w:val="00445479"/>
    <w:rsid w:val="00445633"/>
    <w:rsid w:val="00445750"/>
    <w:rsid w:val="004458D8"/>
    <w:rsid w:val="00445941"/>
    <w:rsid w:val="00445DCD"/>
    <w:rsid w:val="004464EB"/>
    <w:rsid w:val="00447D26"/>
    <w:rsid w:val="00447DFC"/>
    <w:rsid w:val="00451CED"/>
    <w:rsid w:val="0045224E"/>
    <w:rsid w:val="00452EC9"/>
    <w:rsid w:val="00453CDC"/>
    <w:rsid w:val="00454BC2"/>
    <w:rsid w:val="00455A58"/>
    <w:rsid w:val="00455D45"/>
    <w:rsid w:val="004563EB"/>
    <w:rsid w:val="0046090E"/>
    <w:rsid w:val="00460C3D"/>
    <w:rsid w:val="00461532"/>
    <w:rsid w:val="00461BE2"/>
    <w:rsid w:val="00461CE2"/>
    <w:rsid w:val="004623AA"/>
    <w:rsid w:val="004630A4"/>
    <w:rsid w:val="00463B8E"/>
    <w:rsid w:val="00463EEA"/>
    <w:rsid w:val="004644F6"/>
    <w:rsid w:val="00464595"/>
    <w:rsid w:val="00464818"/>
    <w:rsid w:val="004658B5"/>
    <w:rsid w:val="00465C42"/>
    <w:rsid w:val="00466747"/>
    <w:rsid w:val="004668E9"/>
    <w:rsid w:val="00467399"/>
    <w:rsid w:val="00467921"/>
    <w:rsid w:val="004702B3"/>
    <w:rsid w:val="0047193D"/>
    <w:rsid w:val="004719CF"/>
    <w:rsid w:val="00471EA5"/>
    <w:rsid w:val="00472A79"/>
    <w:rsid w:val="00472DD7"/>
    <w:rsid w:val="004739CA"/>
    <w:rsid w:val="00473AF7"/>
    <w:rsid w:val="00473F19"/>
    <w:rsid w:val="00474E91"/>
    <w:rsid w:val="0047544E"/>
    <w:rsid w:val="00475E22"/>
    <w:rsid w:val="004761F6"/>
    <w:rsid w:val="00476DC5"/>
    <w:rsid w:val="0048055F"/>
    <w:rsid w:val="0048074C"/>
    <w:rsid w:val="0048088E"/>
    <w:rsid w:val="004808B7"/>
    <w:rsid w:val="00480AD8"/>
    <w:rsid w:val="00480F2B"/>
    <w:rsid w:val="004811FE"/>
    <w:rsid w:val="00481B9B"/>
    <w:rsid w:val="00482720"/>
    <w:rsid w:val="004828FF"/>
    <w:rsid w:val="004835E7"/>
    <w:rsid w:val="004839E9"/>
    <w:rsid w:val="00483F9A"/>
    <w:rsid w:val="00484E12"/>
    <w:rsid w:val="00485342"/>
    <w:rsid w:val="004853A6"/>
    <w:rsid w:val="004867E2"/>
    <w:rsid w:val="00486ECF"/>
    <w:rsid w:val="004870C8"/>
    <w:rsid w:val="00487CD8"/>
    <w:rsid w:val="00487ED7"/>
    <w:rsid w:val="00490818"/>
    <w:rsid w:val="00490B17"/>
    <w:rsid w:val="00490D9B"/>
    <w:rsid w:val="00491247"/>
    <w:rsid w:val="00491B3A"/>
    <w:rsid w:val="004924D2"/>
    <w:rsid w:val="0049263A"/>
    <w:rsid w:val="00492CFD"/>
    <w:rsid w:val="00492FB6"/>
    <w:rsid w:val="0049340E"/>
    <w:rsid w:val="004934FC"/>
    <w:rsid w:val="00494207"/>
    <w:rsid w:val="00494DD5"/>
    <w:rsid w:val="004962D2"/>
    <w:rsid w:val="00496FCB"/>
    <w:rsid w:val="00497C52"/>
    <w:rsid w:val="00497F3A"/>
    <w:rsid w:val="004A00D5"/>
    <w:rsid w:val="004A0980"/>
    <w:rsid w:val="004A0DA1"/>
    <w:rsid w:val="004A13D6"/>
    <w:rsid w:val="004A2D4A"/>
    <w:rsid w:val="004A3B29"/>
    <w:rsid w:val="004A47C6"/>
    <w:rsid w:val="004A52E9"/>
    <w:rsid w:val="004A54D6"/>
    <w:rsid w:val="004A5662"/>
    <w:rsid w:val="004A594C"/>
    <w:rsid w:val="004A5B6F"/>
    <w:rsid w:val="004A5E79"/>
    <w:rsid w:val="004A6040"/>
    <w:rsid w:val="004A6597"/>
    <w:rsid w:val="004A7848"/>
    <w:rsid w:val="004B18F2"/>
    <w:rsid w:val="004B1CB4"/>
    <w:rsid w:val="004B290F"/>
    <w:rsid w:val="004B2D01"/>
    <w:rsid w:val="004B2F18"/>
    <w:rsid w:val="004B3DDB"/>
    <w:rsid w:val="004B3EE8"/>
    <w:rsid w:val="004B44FD"/>
    <w:rsid w:val="004B4967"/>
    <w:rsid w:val="004B57BD"/>
    <w:rsid w:val="004B5CFC"/>
    <w:rsid w:val="004B65C4"/>
    <w:rsid w:val="004B6F65"/>
    <w:rsid w:val="004B6F79"/>
    <w:rsid w:val="004B774D"/>
    <w:rsid w:val="004B7BCA"/>
    <w:rsid w:val="004C0842"/>
    <w:rsid w:val="004C08A0"/>
    <w:rsid w:val="004C0A32"/>
    <w:rsid w:val="004C0A9B"/>
    <w:rsid w:val="004C13B2"/>
    <w:rsid w:val="004C187B"/>
    <w:rsid w:val="004C1BE2"/>
    <w:rsid w:val="004C1FFF"/>
    <w:rsid w:val="004C20CA"/>
    <w:rsid w:val="004C4AED"/>
    <w:rsid w:val="004C51A5"/>
    <w:rsid w:val="004C7AED"/>
    <w:rsid w:val="004C7F5A"/>
    <w:rsid w:val="004D0A1C"/>
    <w:rsid w:val="004D121A"/>
    <w:rsid w:val="004D23B4"/>
    <w:rsid w:val="004D2A51"/>
    <w:rsid w:val="004D2C2D"/>
    <w:rsid w:val="004D3CF1"/>
    <w:rsid w:val="004D4313"/>
    <w:rsid w:val="004D4F9A"/>
    <w:rsid w:val="004D693A"/>
    <w:rsid w:val="004D69B5"/>
    <w:rsid w:val="004D6BFD"/>
    <w:rsid w:val="004D7227"/>
    <w:rsid w:val="004D741E"/>
    <w:rsid w:val="004D784A"/>
    <w:rsid w:val="004E0DA5"/>
    <w:rsid w:val="004E0E7F"/>
    <w:rsid w:val="004E0EB8"/>
    <w:rsid w:val="004E1446"/>
    <w:rsid w:val="004E172F"/>
    <w:rsid w:val="004E18E9"/>
    <w:rsid w:val="004E23B8"/>
    <w:rsid w:val="004E2ADC"/>
    <w:rsid w:val="004E32D1"/>
    <w:rsid w:val="004E36D3"/>
    <w:rsid w:val="004E43B2"/>
    <w:rsid w:val="004E4AC0"/>
    <w:rsid w:val="004E4B39"/>
    <w:rsid w:val="004E51BF"/>
    <w:rsid w:val="004E53E8"/>
    <w:rsid w:val="004E5C7C"/>
    <w:rsid w:val="004E6288"/>
    <w:rsid w:val="004E64DA"/>
    <w:rsid w:val="004E6AF4"/>
    <w:rsid w:val="004E75C2"/>
    <w:rsid w:val="004E7C60"/>
    <w:rsid w:val="004F1500"/>
    <w:rsid w:val="004F176D"/>
    <w:rsid w:val="004F19B5"/>
    <w:rsid w:val="004F1A26"/>
    <w:rsid w:val="004F1D02"/>
    <w:rsid w:val="004F1FC4"/>
    <w:rsid w:val="004F202D"/>
    <w:rsid w:val="004F2679"/>
    <w:rsid w:val="004F2C2C"/>
    <w:rsid w:val="004F2F21"/>
    <w:rsid w:val="004F3DE5"/>
    <w:rsid w:val="004F4E3D"/>
    <w:rsid w:val="004F596D"/>
    <w:rsid w:val="004F5CFB"/>
    <w:rsid w:val="004F65AB"/>
    <w:rsid w:val="004F6913"/>
    <w:rsid w:val="004F7476"/>
    <w:rsid w:val="004F7865"/>
    <w:rsid w:val="005002A5"/>
    <w:rsid w:val="0050037F"/>
    <w:rsid w:val="00500461"/>
    <w:rsid w:val="0050174E"/>
    <w:rsid w:val="00501854"/>
    <w:rsid w:val="0050219B"/>
    <w:rsid w:val="00502888"/>
    <w:rsid w:val="00502DB6"/>
    <w:rsid w:val="00503711"/>
    <w:rsid w:val="00503C7F"/>
    <w:rsid w:val="00503CD2"/>
    <w:rsid w:val="00503D56"/>
    <w:rsid w:val="00503F17"/>
    <w:rsid w:val="00504237"/>
    <w:rsid w:val="0050520A"/>
    <w:rsid w:val="005053D3"/>
    <w:rsid w:val="0050591E"/>
    <w:rsid w:val="00505D33"/>
    <w:rsid w:val="00505DBE"/>
    <w:rsid w:val="00505E05"/>
    <w:rsid w:val="00506928"/>
    <w:rsid w:val="00506B2C"/>
    <w:rsid w:val="00506DD9"/>
    <w:rsid w:val="005077EF"/>
    <w:rsid w:val="00507B8C"/>
    <w:rsid w:val="00510218"/>
    <w:rsid w:val="00510A35"/>
    <w:rsid w:val="00510EF8"/>
    <w:rsid w:val="00511121"/>
    <w:rsid w:val="005113AE"/>
    <w:rsid w:val="00511415"/>
    <w:rsid w:val="00511AD5"/>
    <w:rsid w:val="00511DC7"/>
    <w:rsid w:val="0051222A"/>
    <w:rsid w:val="00513508"/>
    <w:rsid w:val="0051351B"/>
    <w:rsid w:val="00514222"/>
    <w:rsid w:val="005142C5"/>
    <w:rsid w:val="005143E7"/>
    <w:rsid w:val="005148C5"/>
    <w:rsid w:val="0051501B"/>
    <w:rsid w:val="005152B5"/>
    <w:rsid w:val="00515ECA"/>
    <w:rsid w:val="00516249"/>
    <w:rsid w:val="005171ED"/>
    <w:rsid w:val="00520B3C"/>
    <w:rsid w:val="0052123C"/>
    <w:rsid w:val="00521319"/>
    <w:rsid w:val="00521D75"/>
    <w:rsid w:val="00522BC8"/>
    <w:rsid w:val="00522DFB"/>
    <w:rsid w:val="00523C28"/>
    <w:rsid w:val="005256F7"/>
    <w:rsid w:val="00526992"/>
    <w:rsid w:val="00526DB5"/>
    <w:rsid w:val="00527F8D"/>
    <w:rsid w:val="00530666"/>
    <w:rsid w:val="00531608"/>
    <w:rsid w:val="0053176B"/>
    <w:rsid w:val="00531900"/>
    <w:rsid w:val="00531D52"/>
    <w:rsid w:val="0053357E"/>
    <w:rsid w:val="0053402E"/>
    <w:rsid w:val="005343F8"/>
    <w:rsid w:val="005363CB"/>
    <w:rsid w:val="00536785"/>
    <w:rsid w:val="00536B37"/>
    <w:rsid w:val="00536F42"/>
    <w:rsid w:val="00537182"/>
    <w:rsid w:val="005373B2"/>
    <w:rsid w:val="0053792C"/>
    <w:rsid w:val="005409CF"/>
    <w:rsid w:val="005411FA"/>
    <w:rsid w:val="0054156B"/>
    <w:rsid w:val="00541C0B"/>
    <w:rsid w:val="00541EDD"/>
    <w:rsid w:val="00542743"/>
    <w:rsid w:val="00542C2D"/>
    <w:rsid w:val="00543466"/>
    <w:rsid w:val="0054352D"/>
    <w:rsid w:val="00543DE9"/>
    <w:rsid w:val="00544332"/>
    <w:rsid w:val="0054433B"/>
    <w:rsid w:val="00544846"/>
    <w:rsid w:val="0054587F"/>
    <w:rsid w:val="00545F48"/>
    <w:rsid w:val="005478BD"/>
    <w:rsid w:val="005479E3"/>
    <w:rsid w:val="0055014A"/>
    <w:rsid w:val="0055056E"/>
    <w:rsid w:val="0055101A"/>
    <w:rsid w:val="00551985"/>
    <w:rsid w:val="00551FFC"/>
    <w:rsid w:val="00552BD3"/>
    <w:rsid w:val="00553113"/>
    <w:rsid w:val="005532A0"/>
    <w:rsid w:val="005535E0"/>
    <w:rsid w:val="00553CD2"/>
    <w:rsid w:val="00555109"/>
    <w:rsid w:val="0055554E"/>
    <w:rsid w:val="005562A3"/>
    <w:rsid w:val="00556B35"/>
    <w:rsid w:val="00556EA5"/>
    <w:rsid w:val="0055741A"/>
    <w:rsid w:val="00557644"/>
    <w:rsid w:val="005577DA"/>
    <w:rsid w:val="005604FD"/>
    <w:rsid w:val="005611B7"/>
    <w:rsid w:val="005613D8"/>
    <w:rsid w:val="005617D7"/>
    <w:rsid w:val="005618D4"/>
    <w:rsid w:val="00562378"/>
    <w:rsid w:val="00564D69"/>
    <w:rsid w:val="00564DB3"/>
    <w:rsid w:val="00565986"/>
    <w:rsid w:val="00565DF0"/>
    <w:rsid w:val="00565E2C"/>
    <w:rsid w:val="00566183"/>
    <w:rsid w:val="0056696F"/>
    <w:rsid w:val="00566D04"/>
    <w:rsid w:val="005706CC"/>
    <w:rsid w:val="00570A8B"/>
    <w:rsid w:val="00571773"/>
    <w:rsid w:val="00571B85"/>
    <w:rsid w:val="00572269"/>
    <w:rsid w:val="0057244A"/>
    <w:rsid w:val="00572F26"/>
    <w:rsid w:val="005750C5"/>
    <w:rsid w:val="0057519C"/>
    <w:rsid w:val="005752DE"/>
    <w:rsid w:val="00575C70"/>
    <w:rsid w:val="00575D7A"/>
    <w:rsid w:val="00575D8D"/>
    <w:rsid w:val="0057640A"/>
    <w:rsid w:val="005764A9"/>
    <w:rsid w:val="00576972"/>
    <w:rsid w:val="00576F9D"/>
    <w:rsid w:val="00577412"/>
    <w:rsid w:val="00577C63"/>
    <w:rsid w:val="0058013B"/>
    <w:rsid w:val="00580BF4"/>
    <w:rsid w:val="00580C6C"/>
    <w:rsid w:val="00582938"/>
    <w:rsid w:val="00583259"/>
    <w:rsid w:val="0058344A"/>
    <w:rsid w:val="00583699"/>
    <w:rsid w:val="00584264"/>
    <w:rsid w:val="005845ED"/>
    <w:rsid w:val="00584B1D"/>
    <w:rsid w:val="005851FF"/>
    <w:rsid w:val="00585CDD"/>
    <w:rsid w:val="00586068"/>
    <w:rsid w:val="00586A20"/>
    <w:rsid w:val="00587058"/>
    <w:rsid w:val="00587BB6"/>
    <w:rsid w:val="00590136"/>
    <w:rsid w:val="00590C85"/>
    <w:rsid w:val="0059101E"/>
    <w:rsid w:val="00591957"/>
    <w:rsid w:val="00591A9C"/>
    <w:rsid w:val="0059232D"/>
    <w:rsid w:val="005923D1"/>
    <w:rsid w:val="00593419"/>
    <w:rsid w:val="00593C12"/>
    <w:rsid w:val="0059499E"/>
    <w:rsid w:val="00594E18"/>
    <w:rsid w:val="00595898"/>
    <w:rsid w:val="00595A50"/>
    <w:rsid w:val="00595FFA"/>
    <w:rsid w:val="005965A6"/>
    <w:rsid w:val="00596B54"/>
    <w:rsid w:val="005972A0"/>
    <w:rsid w:val="00597BF9"/>
    <w:rsid w:val="00597E7C"/>
    <w:rsid w:val="005A11B3"/>
    <w:rsid w:val="005A1314"/>
    <w:rsid w:val="005A309A"/>
    <w:rsid w:val="005A373D"/>
    <w:rsid w:val="005A456A"/>
    <w:rsid w:val="005A480D"/>
    <w:rsid w:val="005A619F"/>
    <w:rsid w:val="005A6883"/>
    <w:rsid w:val="005B02EB"/>
    <w:rsid w:val="005B0B58"/>
    <w:rsid w:val="005B1F51"/>
    <w:rsid w:val="005B1FDF"/>
    <w:rsid w:val="005B227D"/>
    <w:rsid w:val="005B2E74"/>
    <w:rsid w:val="005B4AE4"/>
    <w:rsid w:val="005B4E53"/>
    <w:rsid w:val="005B52CE"/>
    <w:rsid w:val="005B5857"/>
    <w:rsid w:val="005B6336"/>
    <w:rsid w:val="005B6C6A"/>
    <w:rsid w:val="005C0EDB"/>
    <w:rsid w:val="005C157C"/>
    <w:rsid w:val="005C1B83"/>
    <w:rsid w:val="005C25FF"/>
    <w:rsid w:val="005C2D55"/>
    <w:rsid w:val="005C346B"/>
    <w:rsid w:val="005C36BB"/>
    <w:rsid w:val="005C4F3F"/>
    <w:rsid w:val="005C528A"/>
    <w:rsid w:val="005C66EB"/>
    <w:rsid w:val="005C67C9"/>
    <w:rsid w:val="005C68DB"/>
    <w:rsid w:val="005C7B8C"/>
    <w:rsid w:val="005D044D"/>
    <w:rsid w:val="005D058F"/>
    <w:rsid w:val="005D0644"/>
    <w:rsid w:val="005D0827"/>
    <w:rsid w:val="005D0ABD"/>
    <w:rsid w:val="005D18AD"/>
    <w:rsid w:val="005D202D"/>
    <w:rsid w:val="005D21A4"/>
    <w:rsid w:val="005D23D9"/>
    <w:rsid w:val="005D26B4"/>
    <w:rsid w:val="005D2964"/>
    <w:rsid w:val="005D3383"/>
    <w:rsid w:val="005D377D"/>
    <w:rsid w:val="005D3A91"/>
    <w:rsid w:val="005D3E10"/>
    <w:rsid w:val="005D3E93"/>
    <w:rsid w:val="005D3F54"/>
    <w:rsid w:val="005D491B"/>
    <w:rsid w:val="005D5DA8"/>
    <w:rsid w:val="005D627D"/>
    <w:rsid w:val="005D62E0"/>
    <w:rsid w:val="005D7931"/>
    <w:rsid w:val="005E0318"/>
    <w:rsid w:val="005E1EB3"/>
    <w:rsid w:val="005E2857"/>
    <w:rsid w:val="005E2BC5"/>
    <w:rsid w:val="005E2EB0"/>
    <w:rsid w:val="005E3E3C"/>
    <w:rsid w:val="005E4456"/>
    <w:rsid w:val="005E5699"/>
    <w:rsid w:val="005E589E"/>
    <w:rsid w:val="005E600F"/>
    <w:rsid w:val="005E6125"/>
    <w:rsid w:val="005E68A0"/>
    <w:rsid w:val="005E6CBC"/>
    <w:rsid w:val="005E72FF"/>
    <w:rsid w:val="005E73C0"/>
    <w:rsid w:val="005E7668"/>
    <w:rsid w:val="005E7E0F"/>
    <w:rsid w:val="005F209E"/>
    <w:rsid w:val="005F23E6"/>
    <w:rsid w:val="005F2706"/>
    <w:rsid w:val="005F3589"/>
    <w:rsid w:val="005F371C"/>
    <w:rsid w:val="005F4FB3"/>
    <w:rsid w:val="005F55B9"/>
    <w:rsid w:val="005F688B"/>
    <w:rsid w:val="005F6A8F"/>
    <w:rsid w:val="005F6BB7"/>
    <w:rsid w:val="005F73AC"/>
    <w:rsid w:val="005F7588"/>
    <w:rsid w:val="005F7881"/>
    <w:rsid w:val="00600634"/>
    <w:rsid w:val="00601BF2"/>
    <w:rsid w:val="00602C3C"/>
    <w:rsid w:val="00603DB9"/>
    <w:rsid w:val="00603F93"/>
    <w:rsid w:val="006047C2"/>
    <w:rsid w:val="00604F11"/>
    <w:rsid w:val="00605A45"/>
    <w:rsid w:val="006068AF"/>
    <w:rsid w:val="00606FBA"/>
    <w:rsid w:val="00607669"/>
    <w:rsid w:val="006076F4"/>
    <w:rsid w:val="00607739"/>
    <w:rsid w:val="00607AFD"/>
    <w:rsid w:val="00607E07"/>
    <w:rsid w:val="00607E3A"/>
    <w:rsid w:val="00607F9D"/>
    <w:rsid w:val="00610856"/>
    <w:rsid w:val="00611259"/>
    <w:rsid w:val="00611D2B"/>
    <w:rsid w:val="006121D8"/>
    <w:rsid w:val="00612730"/>
    <w:rsid w:val="00612F97"/>
    <w:rsid w:val="0061345D"/>
    <w:rsid w:val="00613DB5"/>
    <w:rsid w:val="0061417D"/>
    <w:rsid w:val="00614461"/>
    <w:rsid w:val="006144BC"/>
    <w:rsid w:val="0061495B"/>
    <w:rsid w:val="00615098"/>
    <w:rsid w:val="0061549B"/>
    <w:rsid w:val="00615E23"/>
    <w:rsid w:val="00616802"/>
    <w:rsid w:val="00616B8D"/>
    <w:rsid w:val="00616C53"/>
    <w:rsid w:val="00617DA8"/>
    <w:rsid w:val="00617E12"/>
    <w:rsid w:val="00620A14"/>
    <w:rsid w:val="00620C25"/>
    <w:rsid w:val="00621477"/>
    <w:rsid w:val="00621888"/>
    <w:rsid w:val="00621ADA"/>
    <w:rsid w:val="00621B25"/>
    <w:rsid w:val="00621B5D"/>
    <w:rsid w:val="006221C8"/>
    <w:rsid w:val="00622F08"/>
    <w:rsid w:val="00623F7B"/>
    <w:rsid w:val="006254E3"/>
    <w:rsid w:val="00625C62"/>
    <w:rsid w:val="006260D6"/>
    <w:rsid w:val="006267C5"/>
    <w:rsid w:val="0063158F"/>
    <w:rsid w:val="0063160C"/>
    <w:rsid w:val="00631CC7"/>
    <w:rsid w:val="00631D6B"/>
    <w:rsid w:val="00631DBD"/>
    <w:rsid w:val="00632183"/>
    <w:rsid w:val="0063252D"/>
    <w:rsid w:val="006330A1"/>
    <w:rsid w:val="006336C2"/>
    <w:rsid w:val="006338E6"/>
    <w:rsid w:val="00633B45"/>
    <w:rsid w:val="00634184"/>
    <w:rsid w:val="006345BD"/>
    <w:rsid w:val="0063479F"/>
    <w:rsid w:val="006353F0"/>
    <w:rsid w:val="006357B5"/>
    <w:rsid w:val="00636351"/>
    <w:rsid w:val="006364A1"/>
    <w:rsid w:val="0063678E"/>
    <w:rsid w:val="006373C7"/>
    <w:rsid w:val="00637BFD"/>
    <w:rsid w:val="00637C09"/>
    <w:rsid w:val="00637DA3"/>
    <w:rsid w:val="00640E7D"/>
    <w:rsid w:val="00641C4E"/>
    <w:rsid w:val="00641FB3"/>
    <w:rsid w:val="00642B89"/>
    <w:rsid w:val="0064339E"/>
    <w:rsid w:val="006439EA"/>
    <w:rsid w:val="00644020"/>
    <w:rsid w:val="0064434C"/>
    <w:rsid w:val="00644743"/>
    <w:rsid w:val="006447E8"/>
    <w:rsid w:val="00644AD9"/>
    <w:rsid w:val="00645E54"/>
    <w:rsid w:val="00646D32"/>
    <w:rsid w:val="006471CC"/>
    <w:rsid w:val="00647881"/>
    <w:rsid w:val="00647A29"/>
    <w:rsid w:val="00647E5D"/>
    <w:rsid w:val="00650190"/>
    <w:rsid w:val="00650774"/>
    <w:rsid w:val="0065079F"/>
    <w:rsid w:val="00650E21"/>
    <w:rsid w:val="00651119"/>
    <w:rsid w:val="006526AF"/>
    <w:rsid w:val="00652A28"/>
    <w:rsid w:val="006532C4"/>
    <w:rsid w:val="0065379F"/>
    <w:rsid w:val="006539BC"/>
    <w:rsid w:val="0065528B"/>
    <w:rsid w:val="00656188"/>
    <w:rsid w:val="0065715A"/>
    <w:rsid w:val="00657840"/>
    <w:rsid w:val="00660291"/>
    <w:rsid w:val="0066049A"/>
    <w:rsid w:val="006610F1"/>
    <w:rsid w:val="00661543"/>
    <w:rsid w:val="00661C6B"/>
    <w:rsid w:val="00661DBB"/>
    <w:rsid w:val="0066321A"/>
    <w:rsid w:val="00664756"/>
    <w:rsid w:val="006656F7"/>
    <w:rsid w:val="0066586B"/>
    <w:rsid w:val="006664B6"/>
    <w:rsid w:val="00666A4C"/>
    <w:rsid w:val="00667158"/>
    <w:rsid w:val="006677ED"/>
    <w:rsid w:val="00670FAF"/>
    <w:rsid w:val="00671004"/>
    <w:rsid w:val="00671D4C"/>
    <w:rsid w:val="00671E09"/>
    <w:rsid w:val="00671EFF"/>
    <w:rsid w:val="00672646"/>
    <w:rsid w:val="00672F55"/>
    <w:rsid w:val="00674414"/>
    <w:rsid w:val="00674E42"/>
    <w:rsid w:val="006751F4"/>
    <w:rsid w:val="006757C4"/>
    <w:rsid w:val="00675C19"/>
    <w:rsid w:val="00677AD9"/>
    <w:rsid w:val="0068051D"/>
    <w:rsid w:val="006813F8"/>
    <w:rsid w:val="0068182F"/>
    <w:rsid w:val="00681D10"/>
    <w:rsid w:val="0068204C"/>
    <w:rsid w:val="00682112"/>
    <w:rsid w:val="006823F9"/>
    <w:rsid w:val="00682BA6"/>
    <w:rsid w:val="00684266"/>
    <w:rsid w:val="006847C6"/>
    <w:rsid w:val="006855C7"/>
    <w:rsid w:val="006855D1"/>
    <w:rsid w:val="006857AE"/>
    <w:rsid w:val="00685998"/>
    <w:rsid w:val="00685CDD"/>
    <w:rsid w:val="00686006"/>
    <w:rsid w:val="006865AD"/>
    <w:rsid w:val="00686949"/>
    <w:rsid w:val="00686957"/>
    <w:rsid w:val="00686BA5"/>
    <w:rsid w:val="006872BA"/>
    <w:rsid w:val="006879AB"/>
    <w:rsid w:val="00690795"/>
    <w:rsid w:val="00691648"/>
    <w:rsid w:val="006917D7"/>
    <w:rsid w:val="00692DC3"/>
    <w:rsid w:val="00692FBE"/>
    <w:rsid w:val="00693B37"/>
    <w:rsid w:val="0069434C"/>
    <w:rsid w:val="00694430"/>
    <w:rsid w:val="0069443C"/>
    <w:rsid w:val="0069478B"/>
    <w:rsid w:val="00694BFA"/>
    <w:rsid w:val="00694CA9"/>
    <w:rsid w:val="00694F44"/>
    <w:rsid w:val="00695958"/>
    <w:rsid w:val="00695FC5"/>
    <w:rsid w:val="00696F51"/>
    <w:rsid w:val="006971E7"/>
    <w:rsid w:val="006979A5"/>
    <w:rsid w:val="00697A76"/>
    <w:rsid w:val="006A0C58"/>
    <w:rsid w:val="006A1C34"/>
    <w:rsid w:val="006A200A"/>
    <w:rsid w:val="006A28BF"/>
    <w:rsid w:val="006A333B"/>
    <w:rsid w:val="006A3A89"/>
    <w:rsid w:val="006A4892"/>
    <w:rsid w:val="006A4A50"/>
    <w:rsid w:val="006A5165"/>
    <w:rsid w:val="006A51BC"/>
    <w:rsid w:val="006A54F3"/>
    <w:rsid w:val="006A5568"/>
    <w:rsid w:val="006A5861"/>
    <w:rsid w:val="006A5BAB"/>
    <w:rsid w:val="006A66CA"/>
    <w:rsid w:val="006A69E2"/>
    <w:rsid w:val="006A6B99"/>
    <w:rsid w:val="006A6BFB"/>
    <w:rsid w:val="006A73A0"/>
    <w:rsid w:val="006A7861"/>
    <w:rsid w:val="006A7A87"/>
    <w:rsid w:val="006A7AD6"/>
    <w:rsid w:val="006A7E5F"/>
    <w:rsid w:val="006B0417"/>
    <w:rsid w:val="006B055A"/>
    <w:rsid w:val="006B261B"/>
    <w:rsid w:val="006B2C90"/>
    <w:rsid w:val="006B35E6"/>
    <w:rsid w:val="006B465A"/>
    <w:rsid w:val="006B4706"/>
    <w:rsid w:val="006B4F04"/>
    <w:rsid w:val="006B6B93"/>
    <w:rsid w:val="006B6DD0"/>
    <w:rsid w:val="006B7B14"/>
    <w:rsid w:val="006C0399"/>
    <w:rsid w:val="006C2723"/>
    <w:rsid w:val="006C2980"/>
    <w:rsid w:val="006C2A8E"/>
    <w:rsid w:val="006C3255"/>
    <w:rsid w:val="006C33C1"/>
    <w:rsid w:val="006C3CAF"/>
    <w:rsid w:val="006C3F26"/>
    <w:rsid w:val="006C4378"/>
    <w:rsid w:val="006C4552"/>
    <w:rsid w:val="006C5E64"/>
    <w:rsid w:val="006C5F14"/>
    <w:rsid w:val="006C692A"/>
    <w:rsid w:val="006C7F29"/>
    <w:rsid w:val="006D01FE"/>
    <w:rsid w:val="006D0D17"/>
    <w:rsid w:val="006D1160"/>
    <w:rsid w:val="006D1253"/>
    <w:rsid w:val="006D17E0"/>
    <w:rsid w:val="006D3C7D"/>
    <w:rsid w:val="006D426C"/>
    <w:rsid w:val="006D4659"/>
    <w:rsid w:val="006D553E"/>
    <w:rsid w:val="006D5944"/>
    <w:rsid w:val="006D5D5F"/>
    <w:rsid w:val="006D5E00"/>
    <w:rsid w:val="006D63B5"/>
    <w:rsid w:val="006D68FB"/>
    <w:rsid w:val="006D7466"/>
    <w:rsid w:val="006D78C6"/>
    <w:rsid w:val="006D7963"/>
    <w:rsid w:val="006D7D2F"/>
    <w:rsid w:val="006E1884"/>
    <w:rsid w:val="006E1DD8"/>
    <w:rsid w:val="006E2868"/>
    <w:rsid w:val="006E2EDB"/>
    <w:rsid w:val="006E37BF"/>
    <w:rsid w:val="006E3CB7"/>
    <w:rsid w:val="006E517A"/>
    <w:rsid w:val="006E60A5"/>
    <w:rsid w:val="006E6201"/>
    <w:rsid w:val="006E6699"/>
    <w:rsid w:val="006E71B7"/>
    <w:rsid w:val="006E7294"/>
    <w:rsid w:val="006E72EB"/>
    <w:rsid w:val="006F1F05"/>
    <w:rsid w:val="006F238A"/>
    <w:rsid w:val="006F306C"/>
    <w:rsid w:val="006F4AAA"/>
    <w:rsid w:val="006F551D"/>
    <w:rsid w:val="006F63A5"/>
    <w:rsid w:val="00700202"/>
    <w:rsid w:val="00700825"/>
    <w:rsid w:val="007011BB"/>
    <w:rsid w:val="0070142B"/>
    <w:rsid w:val="00701838"/>
    <w:rsid w:val="00701B93"/>
    <w:rsid w:val="00702022"/>
    <w:rsid w:val="0070227A"/>
    <w:rsid w:val="0070276E"/>
    <w:rsid w:val="0070277F"/>
    <w:rsid w:val="00702F8F"/>
    <w:rsid w:val="007037B4"/>
    <w:rsid w:val="007050A2"/>
    <w:rsid w:val="00705B43"/>
    <w:rsid w:val="00706000"/>
    <w:rsid w:val="0070653E"/>
    <w:rsid w:val="0070657C"/>
    <w:rsid w:val="00706B58"/>
    <w:rsid w:val="00706F38"/>
    <w:rsid w:val="007079FC"/>
    <w:rsid w:val="00707ED6"/>
    <w:rsid w:val="00711A36"/>
    <w:rsid w:val="007121D3"/>
    <w:rsid w:val="0071259B"/>
    <w:rsid w:val="00712DCF"/>
    <w:rsid w:val="0071382E"/>
    <w:rsid w:val="00714806"/>
    <w:rsid w:val="00714C26"/>
    <w:rsid w:val="00715211"/>
    <w:rsid w:val="0071529C"/>
    <w:rsid w:val="007162DB"/>
    <w:rsid w:val="007168FA"/>
    <w:rsid w:val="007170DA"/>
    <w:rsid w:val="007172AD"/>
    <w:rsid w:val="00717629"/>
    <w:rsid w:val="0071785F"/>
    <w:rsid w:val="00720801"/>
    <w:rsid w:val="007208BB"/>
    <w:rsid w:val="007214E8"/>
    <w:rsid w:val="00721F19"/>
    <w:rsid w:val="00722281"/>
    <w:rsid w:val="007222D8"/>
    <w:rsid w:val="00722B1B"/>
    <w:rsid w:val="007235B5"/>
    <w:rsid w:val="0072416F"/>
    <w:rsid w:val="00724D54"/>
    <w:rsid w:val="00725ACF"/>
    <w:rsid w:val="007267D7"/>
    <w:rsid w:val="00726A26"/>
    <w:rsid w:val="00726B0E"/>
    <w:rsid w:val="0072731A"/>
    <w:rsid w:val="00727C94"/>
    <w:rsid w:val="0073053B"/>
    <w:rsid w:val="00730874"/>
    <w:rsid w:val="00730FD8"/>
    <w:rsid w:val="007313CD"/>
    <w:rsid w:val="00731B0A"/>
    <w:rsid w:val="00731DC4"/>
    <w:rsid w:val="00731EAE"/>
    <w:rsid w:val="007320E8"/>
    <w:rsid w:val="00732CB8"/>
    <w:rsid w:val="00733073"/>
    <w:rsid w:val="00735033"/>
    <w:rsid w:val="00735328"/>
    <w:rsid w:val="0073566A"/>
    <w:rsid w:val="00735E69"/>
    <w:rsid w:val="00735FD4"/>
    <w:rsid w:val="00736344"/>
    <w:rsid w:val="00736526"/>
    <w:rsid w:val="0073685B"/>
    <w:rsid w:val="00736DA0"/>
    <w:rsid w:val="007376B5"/>
    <w:rsid w:val="00740B2A"/>
    <w:rsid w:val="00742F90"/>
    <w:rsid w:val="007437D3"/>
    <w:rsid w:val="007449BF"/>
    <w:rsid w:val="00744BE1"/>
    <w:rsid w:val="00745A0A"/>
    <w:rsid w:val="00745E16"/>
    <w:rsid w:val="00746201"/>
    <w:rsid w:val="00746BC0"/>
    <w:rsid w:val="0074718E"/>
    <w:rsid w:val="007478B6"/>
    <w:rsid w:val="007510B4"/>
    <w:rsid w:val="00751BBE"/>
    <w:rsid w:val="00751FD5"/>
    <w:rsid w:val="00752142"/>
    <w:rsid w:val="007523F9"/>
    <w:rsid w:val="00753260"/>
    <w:rsid w:val="007534BC"/>
    <w:rsid w:val="0075357E"/>
    <w:rsid w:val="00755277"/>
    <w:rsid w:val="007557BC"/>
    <w:rsid w:val="00755C98"/>
    <w:rsid w:val="00756187"/>
    <w:rsid w:val="00756749"/>
    <w:rsid w:val="007573E8"/>
    <w:rsid w:val="00757509"/>
    <w:rsid w:val="0076038F"/>
    <w:rsid w:val="00760C4E"/>
    <w:rsid w:val="00760F9E"/>
    <w:rsid w:val="00761ECA"/>
    <w:rsid w:val="0076202B"/>
    <w:rsid w:val="007627BE"/>
    <w:rsid w:val="007628B6"/>
    <w:rsid w:val="00762C6D"/>
    <w:rsid w:val="00762E86"/>
    <w:rsid w:val="007631CF"/>
    <w:rsid w:val="007636FD"/>
    <w:rsid w:val="0076405D"/>
    <w:rsid w:val="007641E3"/>
    <w:rsid w:val="0076420F"/>
    <w:rsid w:val="0076461D"/>
    <w:rsid w:val="00764F03"/>
    <w:rsid w:val="00765B1A"/>
    <w:rsid w:val="0076642E"/>
    <w:rsid w:val="0076674F"/>
    <w:rsid w:val="007668FE"/>
    <w:rsid w:val="00767703"/>
    <w:rsid w:val="007679D4"/>
    <w:rsid w:val="007709F8"/>
    <w:rsid w:val="00770A89"/>
    <w:rsid w:val="007723B7"/>
    <w:rsid w:val="0077266E"/>
    <w:rsid w:val="007746DA"/>
    <w:rsid w:val="00774934"/>
    <w:rsid w:val="00774E91"/>
    <w:rsid w:val="00775C8B"/>
    <w:rsid w:val="00777335"/>
    <w:rsid w:val="00777DC9"/>
    <w:rsid w:val="00780056"/>
    <w:rsid w:val="00780D5C"/>
    <w:rsid w:val="00780FF1"/>
    <w:rsid w:val="00781AF5"/>
    <w:rsid w:val="00782416"/>
    <w:rsid w:val="00782914"/>
    <w:rsid w:val="00783CD3"/>
    <w:rsid w:val="007843F2"/>
    <w:rsid w:val="00784B23"/>
    <w:rsid w:val="00785A9F"/>
    <w:rsid w:val="007865E7"/>
    <w:rsid w:val="00787244"/>
    <w:rsid w:val="00787720"/>
    <w:rsid w:val="007878AA"/>
    <w:rsid w:val="00787BA5"/>
    <w:rsid w:val="00787DF1"/>
    <w:rsid w:val="0079003F"/>
    <w:rsid w:val="0079082D"/>
    <w:rsid w:val="00790A43"/>
    <w:rsid w:val="00790CF2"/>
    <w:rsid w:val="00791767"/>
    <w:rsid w:val="00791DD8"/>
    <w:rsid w:val="007925DF"/>
    <w:rsid w:val="007927D0"/>
    <w:rsid w:val="00794737"/>
    <w:rsid w:val="00795269"/>
    <w:rsid w:val="00795E44"/>
    <w:rsid w:val="007960F0"/>
    <w:rsid w:val="00797B15"/>
    <w:rsid w:val="007A05A2"/>
    <w:rsid w:val="007A0690"/>
    <w:rsid w:val="007A07A3"/>
    <w:rsid w:val="007A08AA"/>
    <w:rsid w:val="007A0A12"/>
    <w:rsid w:val="007A1181"/>
    <w:rsid w:val="007A132D"/>
    <w:rsid w:val="007A1345"/>
    <w:rsid w:val="007A2DDB"/>
    <w:rsid w:val="007A3746"/>
    <w:rsid w:val="007A4A7F"/>
    <w:rsid w:val="007A669A"/>
    <w:rsid w:val="007A68F2"/>
    <w:rsid w:val="007A70BA"/>
    <w:rsid w:val="007A75D2"/>
    <w:rsid w:val="007B02C6"/>
    <w:rsid w:val="007B0C4A"/>
    <w:rsid w:val="007B0D68"/>
    <w:rsid w:val="007B14BF"/>
    <w:rsid w:val="007B24F8"/>
    <w:rsid w:val="007B251D"/>
    <w:rsid w:val="007B3D74"/>
    <w:rsid w:val="007B48C3"/>
    <w:rsid w:val="007B4F58"/>
    <w:rsid w:val="007B528D"/>
    <w:rsid w:val="007B5FEA"/>
    <w:rsid w:val="007B63CA"/>
    <w:rsid w:val="007B6F33"/>
    <w:rsid w:val="007B7036"/>
    <w:rsid w:val="007B75E7"/>
    <w:rsid w:val="007B763A"/>
    <w:rsid w:val="007B77D1"/>
    <w:rsid w:val="007B78B8"/>
    <w:rsid w:val="007B7E53"/>
    <w:rsid w:val="007C00E1"/>
    <w:rsid w:val="007C02C6"/>
    <w:rsid w:val="007C07C7"/>
    <w:rsid w:val="007C1CD9"/>
    <w:rsid w:val="007C32EF"/>
    <w:rsid w:val="007C3602"/>
    <w:rsid w:val="007C361D"/>
    <w:rsid w:val="007C4B84"/>
    <w:rsid w:val="007C5AFB"/>
    <w:rsid w:val="007C5D7F"/>
    <w:rsid w:val="007C6C9B"/>
    <w:rsid w:val="007C6F93"/>
    <w:rsid w:val="007C70FF"/>
    <w:rsid w:val="007C7252"/>
    <w:rsid w:val="007C7C25"/>
    <w:rsid w:val="007D004F"/>
    <w:rsid w:val="007D0181"/>
    <w:rsid w:val="007D0928"/>
    <w:rsid w:val="007D0B38"/>
    <w:rsid w:val="007D1A14"/>
    <w:rsid w:val="007D23E8"/>
    <w:rsid w:val="007D26B1"/>
    <w:rsid w:val="007D2D52"/>
    <w:rsid w:val="007D2DF0"/>
    <w:rsid w:val="007D342C"/>
    <w:rsid w:val="007D388C"/>
    <w:rsid w:val="007D4C98"/>
    <w:rsid w:val="007D5440"/>
    <w:rsid w:val="007D5F2B"/>
    <w:rsid w:val="007D69EB"/>
    <w:rsid w:val="007E0D62"/>
    <w:rsid w:val="007E0F54"/>
    <w:rsid w:val="007E128F"/>
    <w:rsid w:val="007E12A5"/>
    <w:rsid w:val="007E12AB"/>
    <w:rsid w:val="007E1D45"/>
    <w:rsid w:val="007E1E37"/>
    <w:rsid w:val="007E1E65"/>
    <w:rsid w:val="007E2E6F"/>
    <w:rsid w:val="007E344D"/>
    <w:rsid w:val="007E3CE6"/>
    <w:rsid w:val="007E403F"/>
    <w:rsid w:val="007E4726"/>
    <w:rsid w:val="007E5C9A"/>
    <w:rsid w:val="007F0582"/>
    <w:rsid w:val="007F0673"/>
    <w:rsid w:val="007F07FA"/>
    <w:rsid w:val="007F1017"/>
    <w:rsid w:val="007F12F5"/>
    <w:rsid w:val="007F1E04"/>
    <w:rsid w:val="007F1F63"/>
    <w:rsid w:val="007F2171"/>
    <w:rsid w:val="007F3312"/>
    <w:rsid w:val="007F381B"/>
    <w:rsid w:val="007F4A3F"/>
    <w:rsid w:val="007F4A61"/>
    <w:rsid w:val="007F5255"/>
    <w:rsid w:val="007F52E0"/>
    <w:rsid w:val="007F56A0"/>
    <w:rsid w:val="007F56CC"/>
    <w:rsid w:val="007F61C2"/>
    <w:rsid w:val="007F76E8"/>
    <w:rsid w:val="007F7F18"/>
    <w:rsid w:val="0080017D"/>
    <w:rsid w:val="00800AF3"/>
    <w:rsid w:val="008012A0"/>
    <w:rsid w:val="0080207E"/>
    <w:rsid w:val="0080260B"/>
    <w:rsid w:val="00802622"/>
    <w:rsid w:val="00804C72"/>
    <w:rsid w:val="00805142"/>
    <w:rsid w:val="00805FCE"/>
    <w:rsid w:val="00806422"/>
    <w:rsid w:val="00806470"/>
    <w:rsid w:val="008065D1"/>
    <w:rsid w:val="0080674F"/>
    <w:rsid w:val="008069D4"/>
    <w:rsid w:val="00807A8B"/>
    <w:rsid w:val="008102C5"/>
    <w:rsid w:val="008105C4"/>
    <w:rsid w:val="00811383"/>
    <w:rsid w:val="00811B31"/>
    <w:rsid w:val="00811DF4"/>
    <w:rsid w:val="00812149"/>
    <w:rsid w:val="008123DF"/>
    <w:rsid w:val="00812A0A"/>
    <w:rsid w:val="00812CAC"/>
    <w:rsid w:val="0081558A"/>
    <w:rsid w:val="00815CC1"/>
    <w:rsid w:val="00816361"/>
    <w:rsid w:val="0081664F"/>
    <w:rsid w:val="008166EF"/>
    <w:rsid w:val="00816FEF"/>
    <w:rsid w:val="008173AE"/>
    <w:rsid w:val="00817931"/>
    <w:rsid w:val="008203A8"/>
    <w:rsid w:val="00820A8C"/>
    <w:rsid w:val="00821084"/>
    <w:rsid w:val="00821206"/>
    <w:rsid w:val="008215FB"/>
    <w:rsid w:val="00822024"/>
    <w:rsid w:val="00823174"/>
    <w:rsid w:val="008233B3"/>
    <w:rsid w:val="00825078"/>
    <w:rsid w:val="00825751"/>
    <w:rsid w:val="00825E77"/>
    <w:rsid w:val="008264EB"/>
    <w:rsid w:val="008274CA"/>
    <w:rsid w:val="00827C7B"/>
    <w:rsid w:val="00827F65"/>
    <w:rsid w:val="00830999"/>
    <w:rsid w:val="008310FA"/>
    <w:rsid w:val="00831120"/>
    <w:rsid w:val="00831153"/>
    <w:rsid w:val="00831502"/>
    <w:rsid w:val="008315DD"/>
    <w:rsid w:val="008325AB"/>
    <w:rsid w:val="008325CD"/>
    <w:rsid w:val="00833B05"/>
    <w:rsid w:val="00834A02"/>
    <w:rsid w:val="00835F81"/>
    <w:rsid w:val="008361FB"/>
    <w:rsid w:val="008362B4"/>
    <w:rsid w:val="0083666F"/>
    <w:rsid w:val="00837335"/>
    <w:rsid w:val="00837DF1"/>
    <w:rsid w:val="00840009"/>
    <w:rsid w:val="00840CA2"/>
    <w:rsid w:val="008411B0"/>
    <w:rsid w:val="008416A7"/>
    <w:rsid w:val="00841C3B"/>
    <w:rsid w:val="00841DAD"/>
    <w:rsid w:val="00843449"/>
    <w:rsid w:val="0084374F"/>
    <w:rsid w:val="00844A22"/>
    <w:rsid w:val="00845183"/>
    <w:rsid w:val="00845959"/>
    <w:rsid w:val="008475F1"/>
    <w:rsid w:val="00847703"/>
    <w:rsid w:val="00847788"/>
    <w:rsid w:val="00847AAB"/>
    <w:rsid w:val="00847DF5"/>
    <w:rsid w:val="00850AD9"/>
    <w:rsid w:val="008521F5"/>
    <w:rsid w:val="00852F5E"/>
    <w:rsid w:val="0085309D"/>
    <w:rsid w:val="008536F4"/>
    <w:rsid w:val="00853EF8"/>
    <w:rsid w:val="00854969"/>
    <w:rsid w:val="0085533C"/>
    <w:rsid w:val="00855496"/>
    <w:rsid w:val="00856897"/>
    <w:rsid w:val="00856E9A"/>
    <w:rsid w:val="00856F72"/>
    <w:rsid w:val="00857EB5"/>
    <w:rsid w:val="00860712"/>
    <w:rsid w:val="0086075D"/>
    <w:rsid w:val="00860BF8"/>
    <w:rsid w:val="00860E9A"/>
    <w:rsid w:val="008611F4"/>
    <w:rsid w:val="00861621"/>
    <w:rsid w:val="00861F9E"/>
    <w:rsid w:val="00862502"/>
    <w:rsid w:val="00862B71"/>
    <w:rsid w:val="00862CC1"/>
    <w:rsid w:val="00863396"/>
    <w:rsid w:val="00863B7F"/>
    <w:rsid w:val="00863C64"/>
    <w:rsid w:val="00863F53"/>
    <w:rsid w:val="0086407F"/>
    <w:rsid w:val="008659A4"/>
    <w:rsid w:val="00865CE8"/>
    <w:rsid w:val="00865FEB"/>
    <w:rsid w:val="008660D4"/>
    <w:rsid w:val="0086632F"/>
    <w:rsid w:val="00866E25"/>
    <w:rsid w:val="0086711D"/>
    <w:rsid w:val="00867F11"/>
    <w:rsid w:val="00867F71"/>
    <w:rsid w:val="00871546"/>
    <w:rsid w:val="00871FA9"/>
    <w:rsid w:val="008724A7"/>
    <w:rsid w:val="0087265F"/>
    <w:rsid w:val="008728E9"/>
    <w:rsid w:val="008729EA"/>
    <w:rsid w:val="0087311D"/>
    <w:rsid w:val="00874210"/>
    <w:rsid w:val="00875F43"/>
    <w:rsid w:val="00876E11"/>
    <w:rsid w:val="00877787"/>
    <w:rsid w:val="00877CA4"/>
    <w:rsid w:val="0088035D"/>
    <w:rsid w:val="008808C4"/>
    <w:rsid w:val="00880C7F"/>
    <w:rsid w:val="00880EB9"/>
    <w:rsid w:val="00882874"/>
    <w:rsid w:val="00882ACC"/>
    <w:rsid w:val="00882E01"/>
    <w:rsid w:val="00882E3C"/>
    <w:rsid w:val="00883787"/>
    <w:rsid w:val="00883B83"/>
    <w:rsid w:val="008854C2"/>
    <w:rsid w:val="008854E5"/>
    <w:rsid w:val="008855E4"/>
    <w:rsid w:val="008855F2"/>
    <w:rsid w:val="008859D8"/>
    <w:rsid w:val="00886566"/>
    <w:rsid w:val="00886CD2"/>
    <w:rsid w:val="00887355"/>
    <w:rsid w:val="00887825"/>
    <w:rsid w:val="0089081D"/>
    <w:rsid w:val="008909D9"/>
    <w:rsid w:val="00891C5C"/>
    <w:rsid w:val="00891E6F"/>
    <w:rsid w:val="0089275D"/>
    <w:rsid w:val="0089279C"/>
    <w:rsid w:val="00892A36"/>
    <w:rsid w:val="00892F66"/>
    <w:rsid w:val="00893239"/>
    <w:rsid w:val="00893A85"/>
    <w:rsid w:val="0089414A"/>
    <w:rsid w:val="00894489"/>
    <w:rsid w:val="008946D9"/>
    <w:rsid w:val="00894E85"/>
    <w:rsid w:val="00895C40"/>
    <w:rsid w:val="008963A5"/>
    <w:rsid w:val="00896D5D"/>
    <w:rsid w:val="008975BA"/>
    <w:rsid w:val="00897BCF"/>
    <w:rsid w:val="00897CD9"/>
    <w:rsid w:val="008A0163"/>
    <w:rsid w:val="008A04EA"/>
    <w:rsid w:val="008A0CC0"/>
    <w:rsid w:val="008A1E4B"/>
    <w:rsid w:val="008A2F85"/>
    <w:rsid w:val="008A32FF"/>
    <w:rsid w:val="008A3363"/>
    <w:rsid w:val="008A3371"/>
    <w:rsid w:val="008A3C3E"/>
    <w:rsid w:val="008A3D62"/>
    <w:rsid w:val="008A63C4"/>
    <w:rsid w:val="008A726F"/>
    <w:rsid w:val="008A793B"/>
    <w:rsid w:val="008A79DE"/>
    <w:rsid w:val="008B1757"/>
    <w:rsid w:val="008B1B63"/>
    <w:rsid w:val="008B1C97"/>
    <w:rsid w:val="008B21E5"/>
    <w:rsid w:val="008B2997"/>
    <w:rsid w:val="008B2C23"/>
    <w:rsid w:val="008B3582"/>
    <w:rsid w:val="008B389E"/>
    <w:rsid w:val="008B3EA1"/>
    <w:rsid w:val="008B4950"/>
    <w:rsid w:val="008B4E19"/>
    <w:rsid w:val="008B521D"/>
    <w:rsid w:val="008B6852"/>
    <w:rsid w:val="008B7992"/>
    <w:rsid w:val="008B7D7E"/>
    <w:rsid w:val="008C1326"/>
    <w:rsid w:val="008C1DFD"/>
    <w:rsid w:val="008C3176"/>
    <w:rsid w:val="008C3487"/>
    <w:rsid w:val="008C4EBC"/>
    <w:rsid w:val="008C5610"/>
    <w:rsid w:val="008C5739"/>
    <w:rsid w:val="008C58F4"/>
    <w:rsid w:val="008C5EE6"/>
    <w:rsid w:val="008C6461"/>
    <w:rsid w:val="008C7143"/>
    <w:rsid w:val="008C7ECB"/>
    <w:rsid w:val="008D080C"/>
    <w:rsid w:val="008D0BEA"/>
    <w:rsid w:val="008D0D37"/>
    <w:rsid w:val="008D1369"/>
    <w:rsid w:val="008D1923"/>
    <w:rsid w:val="008D2630"/>
    <w:rsid w:val="008D3904"/>
    <w:rsid w:val="008D3B86"/>
    <w:rsid w:val="008D4644"/>
    <w:rsid w:val="008D4755"/>
    <w:rsid w:val="008D4C3D"/>
    <w:rsid w:val="008D5F0D"/>
    <w:rsid w:val="008D60E7"/>
    <w:rsid w:val="008D61BB"/>
    <w:rsid w:val="008D6B40"/>
    <w:rsid w:val="008D743C"/>
    <w:rsid w:val="008D7BB1"/>
    <w:rsid w:val="008D7D05"/>
    <w:rsid w:val="008E0D3C"/>
    <w:rsid w:val="008E19B2"/>
    <w:rsid w:val="008E1B1A"/>
    <w:rsid w:val="008E1B9E"/>
    <w:rsid w:val="008E2313"/>
    <w:rsid w:val="008E2459"/>
    <w:rsid w:val="008E2D41"/>
    <w:rsid w:val="008E34B0"/>
    <w:rsid w:val="008E44C9"/>
    <w:rsid w:val="008E45EC"/>
    <w:rsid w:val="008E55AB"/>
    <w:rsid w:val="008E5818"/>
    <w:rsid w:val="008E6B42"/>
    <w:rsid w:val="008E7F49"/>
    <w:rsid w:val="008F00A9"/>
    <w:rsid w:val="008F033B"/>
    <w:rsid w:val="008F0BCE"/>
    <w:rsid w:val="008F120A"/>
    <w:rsid w:val="008F2023"/>
    <w:rsid w:val="008F26DA"/>
    <w:rsid w:val="008F27E0"/>
    <w:rsid w:val="008F48EB"/>
    <w:rsid w:val="008F4F0B"/>
    <w:rsid w:val="008F52D1"/>
    <w:rsid w:val="008F5836"/>
    <w:rsid w:val="008F7169"/>
    <w:rsid w:val="009005F0"/>
    <w:rsid w:val="00900A60"/>
    <w:rsid w:val="00900E13"/>
    <w:rsid w:val="009011EB"/>
    <w:rsid w:val="0090209F"/>
    <w:rsid w:val="00902540"/>
    <w:rsid w:val="00904227"/>
    <w:rsid w:val="009046C4"/>
    <w:rsid w:val="00906289"/>
    <w:rsid w:val="009062A5"/>
    <w:rsid w:val="0090796E"/>
    <w:rsid w:val="00907DD8"/>
    <w:rsid w:val="0091024B"/>
    <w:rsid w:val="00910D14"/>
    <w:rsid w:val="00910FA7"/>
    <w:rsid w:val="00911272"/>
    <w:rsid w:val="00911983"/>
    <w:rsid w:val="009128D6"/>
    <w:rsid w:val="009132F3"/>
    <w:rsid w:val="009135D6"/>
    <w:rsid w:val="00913B04"/>
    <w:rsid w:val="0091439E"/>
    <w:rsid w:val="00914C77"/>
    <w:rsid w:val="009159A9"/>
    <w:rsid w:val="00916F8F"/>
    <w:rsid w:val="009170E2"/>
    <w:rsid w:val="009179EA"/>
    <w:rsid w:val="009206D3"/>
    <w:rsid w:val="00920ABD"/>
    <w:rsid w:val="00920C54"/>
    <w:rsid w:val="00921717"/>
    <w:rsid w:val="00921ACB"/>
    <w:rsid w:val="00922C33"/>
    <w:rsid w:val="0092369B"/>
    <w:rsid w:val="009237F4"/>
    <w:rsid w:val="00923838"/>
    <w:rsid w:val="009239B2"/>
    <w:rsid w:val="0092531A"/>
    <w:rsid w:val="009258B4"/>
    <w:rsid w:val="00925EC4"/>
    <w:rsid w:val="00927556"/>
    <w:rsid w:val="009278C2"/>
    <w:rsid w:val="0093121D"/>
    <w:rsid w:val="00931922"/>
    <w:rsid w:val="00931AE0"/>
    <w:rsid w:val="009321BA"/>
    <w:rsid w:val="00932B45"/>
    <w:rsid w:val="00933C61"/>
    <w:rsid w:val="00934988"/>
    <w:rsid w:val="00935488"/>
    <w:rsid w:val="00937089"/>
    <w:rsid w:val="00937FA9"/>
    <w:rsid w:val="009403E6"/>
    <w:rsid w:val="00942585"/>
    <w:rsid w:val="00942D21"/>
    <w:rsid w:val="009439C0"/>
    <w:rsid w:val="0094421A"/>
    <w:rsid w:val="009447A9"/>
    <w:rsid w:val="00944F71"/>
    <w:rsid w:val="00944F8A"/>
    <w:rsid w:val="0094506F"/>
    <w:rsid w:val="009450E7"/>
    <w:rsid w:val="009457BA"/>
    <w:rsid w:val="00945873"/>
    <w:rsid w:val="0094654E"/>
    <w:rsid w:val="0094688D"/>
    <w:rsid w:val="00946B6B"/>
    <w:rsid w:val="00946EA5"/>
    <w:rsid w:val="009510A2"/>
    <w:rsid w:val="00953257"/>
    <w:rsid w:val="0095401C"/>
    <w:rsid w:val="0095474C"/>
    <w:rsid w:val="00955837"/>
    <w:rsid w:val="009603ED"/>
    <w:rsid w:val="009608EA"/>
    <w:rsid w:val="00960BA9"/>
    <w:rsid w:val="00962B2B"/>
    <w:rsid w:val="00962CB9"/>
    <w:rsid w:val="00964312"/>
    <w:rsid w:val="00964A39"/>
    <w:rsid w:val="00965B8A"/>
    <w:rsid w:val="00966140"/>
    <w:rsid w:val="009666F3"/>
    <w:rsid w:val="00967221"/>
    <w:rsid w:val="00967411"/>
    <w:rsid w:val="00970452"/>
    <w:rsid w:val="0097071F"/>
    <w:rsid w:val="00970F4C"/>
    <w:rsid w:val="009717AC"/>
    <w:rsid w:val="00972407"/>
    <w:rsid w:val="009727CE"/>
    <w:rsid w:val="00974ABE"/>
    <w:rsid w:val="009751C1"/>
    <w:rsid w:val="009752DF"/>
    <w:rsid w:val="00975C58"/>
    <w:rsid w:val="00976B78"/>
    <w:rsid w:val="0097761B"/>
    <w:rsid w:val="0097773F"/>
    <w:rsid w:val="0098006B"/>
    <w:rsid w:val="00980517"/>
    <w:rsid w:val="009811F1"/>
    <w:rsid w:val="009816FC"/>
    <w:rsid w:val="00981DBA"/>
    <w:rsid w:val="00983D43"/>
    <w:rsid w:val="00983E57"/>
    <w:rsid w:val="00983EBB"/>
    <w:rsid w:val="00984788"/>
    <w:rsid w:val="009858B9"/>
    <w:rsid w:val="00985DE2"/>
    <w:rsid w:val="0098675D"/>
    <w:rsid w:val="00986C9F"/>
    <w:rsid w:val="00986D0F"/>
    <w:rsid w:val="00987181"/>
    <w:rsid w:val="0098776F"/>
    <w:rsid w:val="00987D60"/>
    <w:rsid w:val="0099008D"/>
    <w:rsid w:val="00990367"/>
    <w:rsid w:val="009903D9"/>
    <w:rsid w:val="00991018"/>
    <w:rsid w:val="009926E0"/>
    <w:rsid w:val="00993AEA"/>
    <w:rsid w:val="0099451E"/>
    <w:rsid w:val="009946BC"/>
    <w:rsid w:val="00994ED0"/>
    <w:rsid w:val="0099520D"/>
    <w:rsid w:val="00996830"/>
    <w:rsid w:val="00996B1A"/>
    <w:rsid w:val="00996CA0"/>
    <w:rsid w:val="00996CCB"/>
    <w:rsid w:val="00997155"/>
    <w:rsid w:val="00997975"/>
    <w:rsid w:val="009A022B"/>
    <w:rsid w:val="009A167B"/>
    <w:rsid w:val="009A28FC"/>
    <w:rsid w:val="009A2DCC"/>
    <w:rsid w:val="009A3633"/>
    <w:rsid w:val="009A3A64"/>
    <w:rsid w:val="009A5502"/>
    <w:rsid w:val="009A5ABC"/>
    <w:rsid w:val="009A5DB1"/>
    <w:rsid w:val="009A5E64"/>
    <w:rsid w:val="009A60E3"/>
    <w:rsid w:val="009A6B86"/>
    <w:rsid w:val="009A6BF4"/>
    <w:rsid w:val="009A6D99"/>
    <w:rsid w:val="009A7F10"/>
    <w:rsid w:val="009B0337"/>
    <w:rsid w:val="009B1369"/>
    <w:rsid w:val="009B16B7"/>
    <w:rsid w:val="009B27DE"/>
    <w:rsid w:val="009B3896"/>
    <w:rsid w:val="009B3E26"/>
    <w:rsid w:val="009B3E6A"/>
    <w:rsid w:val="009B51B3"/>
    <w:rsid w:val="009B53EB"/>
    <w:rsid w:val="009B55F8"/>
    <w:rsid w:val="009B5EF6"/>
    <w:rsid w:val="009B5FAE"/>
    <w:rsid w:val="009B67E3"/>
    <w:rsid w:val="009B74D1"/>
    <w:rsid w:val="009C0422"/>
    <w:rsid w:val="009C0489"/>
    <w:rsid w:val="009C2205"/>
    <w:rsid w:val="009C2708"/>
    <w:rsid w:val="009C272C"/>
    <w:rsid w:val="009C2D18"/>
    <w:rsid w:val="009C3357"/>
    <w:rsid w:val="009C3706"/>
    <w:rsid w:val="009C3A3A"/>
    <w:rsid w:val="009C3EFE"/>
    <w:rsid w:val="009C5B79"/>
    <w:rsid w:val="009C6AC6"/>
    <w:rsid w:val="009C6CEA"/>
    <w:rsid w:val="009C721C"/>
    <w:rsid w:val="009C7463"/>
    <w:rsid w:val="009C7B85"/>
    <w:rsid w:val="009D0254"/>
    <w:rsid w:val="009D0823"/>
    <w:rsid w:val="009D0925"/>
    <w:rsid w:val="009D0988"/>
    <w:rsid w:val="009D1A64"/>
    <w:rsid w:val="009D3953"/>
    <w:rsid w:val="009D5299"/>
    <w:rsid w:val="009D5B91"/>
    <w:rsid w:val="009D5F10"/>
    <w:rsid w:val="009D6AE1"/>
    <w:rsid w:val="009D78B8"/>
    <w:rsid w:val="009D792E"/>
    <w:rsid w:val="009D7AD6"/>
    <w:rsid w:val="009D7AE7"/>
    <w:rsid w:val="009E0DFE"/>
    <w:rsid w:val="009E1412"/>
    <w:rsid w:val="009E19DF"/>
    <w:rsid w:val="009E294A"/>
    <w:rsid w:val="009E31F6"/>
    <w:rsid w:val="009E33C0"/>
    <w:rsid w:val="009E3F7B"/>
    <w:rsid w:val="009E4AE4"/>
    <w:rsid w:val="009E4C07"/>
    <w:rsid w:val="009E5786"/>
    <w:rsid w:val="009E6540"/>
    <w:rsid w:val="009E694C"/>
    <w:rsid w:val="009F1552"/>
    <w:rsid w:val="009F165B"/>
    <w:rsid w:val="009F1A12"/>
    <w:rsid w:val="009F1D7C"/>
    <w:rsid w:val="009F1DF0"/>
    <w:rsid w:val="009F2ED0"/>
    <w:rsid w:val="009F36FA"/>
    <w:rsid w:val="009F45BB"/>
    <w:rsid w:val="009F478C"/>
    <w:rsid w:val="009F5B9E"/>
    <w:rsid w:val="009F70E4"/>
    <w:rsid w:val="009F7195"/>
    <w:rsid w:val="009F7FEC"/>
    <w:rsid w:val="00A003CE"/>
    <w:rsid w:val="00A00C60"/>
    <w:rsid w:val="00A01184"/>
    <w:rsid w:val="00A01614"/>
    <w:rsid w:val="00A01A9D"/>
    <w:rsid w:val="00A02028"/>
    <w:rsid w:val="00A02EA3"/>
    <w:rsid w:val="00A037C2"/>
    <w:rsid w:val="00A03D43"/>
    <w:rsid w:val="00A03ECD"/>
    <w:rsid w:val="00A04380"/>
    <w:rsid w:val="00A048BD"/>
    <w:rsid w:val="00A04AC5"/>
    <w:rsid w:val="00A04C04"/>
    <w:rsid w:val="00A051E3"/>
    <w:rsid w:val="00A05472"/>
    <w:rsid w:val="00A0558B"/>
    <w:rsid w:val="00A059FF"/>
    <w:rsid w:val="00A05C32"/>
    <w:rsid w:val="00A060F3"/>
    <w:rsid w:val="00A0653F"/>
    <w:rsid w:val="00A068A1"/>
    <w:rsid w:val="00A06B13"/>
    <w:rsid w:val="00A070CD"/>
    <w:rsid w:val="00A071FF"/>
    <w:rsid w:val="00A104AB"/>
    <w:rsid w:val="00A108F3"/>
    <w:rsid w:val="00A10A72"/>
    <w:rsid w:val="00A10D00"/>
    <w:rsid w:val="00A10ED8"/>
    <w:rsid w:val="00A11584"/>
    <w:rsid w:val="00A11CD0"/>
    <w:rsid w:val="00A13907"/>
    <w:rsid w:val="00A13948"/>
    <w:rsid w:val="00A14C91"/>
    <w:rsid w:val="00A15355"/>
    <w:rsid w:val="00A1555B"/>
    <w:rsid w:val="00A155C5"/>
    <w:rsid w:val="00A1605D"/>
    <w:rsid w:val="00A1653F"/>
    <w:rsid w:val="00A16AD8"/>
    <w:rsid w:val="00A17013"/>
    <w:rsid w:val="00A1781F"/>
    <w:rsid w:val="00A179C5"/>
    <w:rsid w:val="00A17C58"/>
    <w:rsid w:val="00A208F2"/>
    <w:rsid w:val="00A21C95"/>
    <w:rsid w:val="00A21CF3"/>
    <w:rsid w:val="00A22D63"/>
    <w:rsid w:val="00A230B4"/>
    <w:rsid w:val="00A24736"/>
    <w:rsid w:val="00A24813"/>
    <w:rsid w:val="00A248E5"/>
    <w:rsid w:val="00A24F87"/>
    <w:rsid w:val="00A26238"/>
    <w:rsid w:val="00A26371"/>
    <w:rsid w:val="00A26526"/>
    <w:rsid w:val="00A27958"/>
    <w:rsid w:val="00A27AEC"/>
    <w:rsid w:val="00A30BF5"/>
    <w:rsid w:val="00A320DB"/>
    <w:rsid w:val="00A3276D"/>
    <w:rsid w:val="00A32CB3"/>
    <w:rsid w:val="00A33288"/>
    <w:rsid w:val="00A34245"/>
    <w:rsid w:val="00A35D16"/>
    <w:rsid w:val="00A3671C"/>
    <w:rsid w:val="00A37BCD"/>
    <w:rsid w:val="00A401DE"/>
    <w:rsid w:val="00A41021"/>
    <w:rsid w:val="00A41689"/>
    <w:rsid w:val="00A41B9A"/>
    <w:rsid w:val="00A42592"/>
    <w:rsid w:val="00A43C59"/>
    <w:rsid w:val="00A4494E"/>
    <w:rsid w:val="00A4610E"/>
    <w:rsid w:val="00A461EA"/>
    <w:rsid w:val="00A478CA"/>
    <w:rsid w:val="00A47FE2"/>
    <w:rsid w:val="00A50ECD"/>
    <w:rsid w:val="00A513E8"/>
    <w:rsid w:val="00A5184F"/>
    <w:rsid w:val="00A518F3"/>
    <w:rsid w:val="00A52729"/>
    <w:rsid w:val="00A53675"/>
    <w:rsid w:val="00A53B60"/>
    <w:rsid w:val="00A541CC"/>
    <w:rsid w:val="00A54F9F"/>
    <w:rsid w:val="00A557BC"/>
    <w:rsid w:val="00A564D7"/>
    <w:rsid w:val="00A567B5"/>
    <w:rsid w:val="00A56B6A"/>
    <w:rsid w:val="00A56FF9"/>
    <w:rsid w:val="00A57338"/>
    <w:rsid w:val="00A57376"/>
    <w:rsid w:val="00A573DA"/>
    <w:rsid w:val="00A578DC"/>
    <w:rsid w:val="00A60179"/>
    <w:rsid w:val="00A610CC"/>
    <w:rsid w:val="00A628A4"/>
    <w:rsid w:val="00A62F3C"/>
    <w:rsid w:val="00A638C5"/>
    <w:rsid w:val="00A640E2"/>
    <w:rsid w:val="00A645AF"/>
    <w:rsid w:val="00A64859"/>
    <w:rsid w:val="00A6497D"/>
    <w:rsid w:val="00A64C24"/>
    <w:rsid w:val="00A64C4B"/>
    <w:rsid w:val="00A64D65"/>
    <w:rsid w:val="00A6554C"/>
    <w:rsid w:val="00A65944"/>
    <w:rsid w:val="00A665BC"/>
    <w:rsid w:val="00A66691"/>
    <w:rsid w:val="00A6673C"/>
    <w:rsid w:val="00A66BCF"/>
    <w:rsid w:val="00A66F69"/>
    <w:rsid w:val="00A6705E"/>
    <w:rsid w:val="00A6725B"/>
    <w:rsid w:val="00A6727F"/>
    <w:rsid w:val="00A70053"/>
    <w:rsid w:val="00A70605"/>
    <w:rsid w:val="00A7072E"/>
    <w:rsid w:val="00A71653"/>
    <w:rsid w:val="00A7198B"/>
    <w:rsid w:val="00A719AF"/>
    <w:rsid w:val="00A7269B"/>
    <w:rsid w:val="00A7269D"/>
    <w:rsid w:val="00A73134"/>
    <w:rsid w:val="00A7315E"/>
    <w:rsid w:val="00A73296"/>
    <w:rsid w:val="00A74809"/>
    <w:rsid w:val="00A74C94"/>
    <w:rsid w:val="00A76001"/>
    <w:rsid w:val="00A76CC6"/>
    <w:rsid w:val="00A77746"/>
    <w:rsid w:val="00A777B2"/>
    <w:rsid w:val="00A778D8"/>
    <w:rsid w:val="00A818A0"/>
    <w:rsid w:val="00A825D4"/>
    <w:rsid w:val="00A828F6"/>
    <w:rsid w:val="00A82B73"/>
    <w:rsid w:val="00A83A16"/>
    <w:rsid w:val="00A83FF9"/>
    <w:rsid w:val="00A85AED"/>
    <w:rsid w:val="00A86015"/>
    <w:rsid w:val="00A86B61"/>
    <w:rsid w:val="00A86E8B"/>
    <w:rsid w:val="00A86EA4"/>
    <w:rsid w:val="00A87164"/>
    <w:rsid w:val="00A873A2"/>
    <w:rsid w:val="00A87A92"/>
    <w:rsid w:val="00A914F6"/>
    <w:rsid w:val="00A916B9"/>
    <w:rsid w:val="00A916FD"/>
    <w:rsid w:val="00A919E9"/>
    <w:rsid w:val="00A91E76"/>
    <w:rsid w:val="00A922B8"/>
    <w:rsid w:val="00A92A2A"/>
    <w:rsid w:val="00A92DC5"/>
    <w:rsid w:val="00A93072"/>
    <w:rsid w:val="00A93758"/>
    <w:rsid w:val="00A938BD"/>
    <w:rsid w:val="00A93953"/>
    <w:rsid w:val="00A94550"/>
    <w:rsid w:val="00A945F7"/>
    <w:rsid w:val="00A949F5"/>
    <w:rsid w:val="00A959D8"/>
    <w:rsid w:val="00A95DBE"/>
    <w:rsid w:val="00A962F4"/>
    <w:rsid w:val="00A96711"/>
    <w:rsid w:val="00A967E8"/>
    <w:rsid w:val="00A97BB2"/>
    <w:rsid w:val="00A97E9C"/>
    <w:rsid w:val="00AA02CC"/>
    <w:rsid w:val="00AA0A00"/>
    <w:rsid w:val="00AA0B28"/>
    <w:rsid w:val="00AA113D"/>
    <w:rsid w:val="00AA1B50"/>
    <w:rsid w:val="00AA1B85"/>
    <w:rsid w:val="00AA1F5D"/>
    <w:rsid w:val="00AA286F"/>
    <w:rsid w:val="00AA4B0B"/>
    <w:rsid w:val="00AA5146"/>
    <w:rsid w:val="00AA5149"/>
    <w:rsid w:val="00AA52E8"/>
    <w:rsid w:val="00AA57F3"/>
    <w:rsid w:val="00AA6BD5"/>
    <w:rsid w:val="00AA6BD8"/>
    <w:rsid w:val="00AA6C7D"/>
    <w:rsid w:val="00AA744C"/>
    <w:rsid w:val="00AA7FD6"/>
    <w:rsid w:val="00AB042A"/>
    <w:rsid w:val="00AB157D"/>
    <w:rsid w:val="00AB19EF"/>
    <w:rsid w:val="00AB1AD6"/>
    <w:rsid w:val="00AB2051"/>
    <w:rsid w:val="00AB262A"/>
    <w:rsid w:val="00AB2C8D"/>
    <w:rsid w:val="00AB2D34"/>
    <w:rsid w:val="00AB3408"/>
    <w:rsid w:val="00AB3430"/>
    <w:rsid w:val="00AB37B9"/>
    <w:rsid w:val="00AB4AD1"/>
    <w:rsid w:val="00AB5221"/>
    <w:rsid w:val="00AB5E07"/>
    <w:rsid w:val="00AB6797"/>
    <w:rsid w:val="00AB6853"/>
    <w:rsid w:val="00AB7B27"/>
    <w:rsid w:val="00AB7CFA"/>
    <w:rsid w:val="00AC0135"/>
    <w:rsid w:val="00AC0CBD"/>
    <w:rsid w:val="00AC12B1"/>
    <w:rsid w:val="00AC1EF2"/>
    <w:rsid w:val="00AC2C4F"/>
    <w:rsid w:val="00AC32A5"/>
    <w:rsid w:val="00AC33B2"/>
    <w:rsid w:val="00AC50B4"/>
    <w:rsid w:val="00AC531C"/>
    <w:rsid w:val="00AC5A0E"/>
    <w:rsid w:val="00AC5B48"/>
    <w:rsid w:val="00AC6484"/>
    <w:rsid w:val="00AC64C2"/>
    <w:rsid w:val="00AC67C2"/>
    <w:rsid w:val="00AC6BCC"/>
    <w:rsid w:val="00AC770C"/>
    <w:rsid w:val="00AC7782"/>
    <w:rsid w:val="00AD063B"/>
    <w:rsid w:val="00AD0EF6"/>
    <w:rsid w:val="00AD1450"/>
    <w:rsid w:val="00AD16D4"/>
    <w:rsid w:val="00AD2F01"/>
    <w:rsid w:val="00AD382E"/>
    <w:rsid w:val="00AD38FD"/>
    <w:rsid w:val="00AD3A48"/>
    <w:rsid w:val="00AD3AA0"/>
    <w:rsid w:val="00AD5967"/>
    <w:rsid w:val="00AD6502"/>
    <w:rsid w:val="00AD6857"/>
    <w:rsid w:val="00AE0695"/>
    <w:rsid w:val="00AE19E6"/>
    <w:rsid w:val="00AE24CD"/>
    <w:rsid w:val="00AE2B46"/>
    <w:rsid w:val="00AE35CF"/>
    <w:rsid w:val="00AE36E6"/>
    <w:rsid w:val="00AE3E7E"/>
    <w:rsid w:val="00AE4743"/>
    <w:rsid w:val="00AE485E"/>
    <w:rsid w:val="00AE4B0A"/>
    <w:rsid w:val="00AE5384"/>
    <w:rsid w:val="00AE6AE0"/>
    <w:rsid w:val="00AF0F23"/>
    <w:rsid w:val="00AF1315"/>
    <w:rsid w:val="00AF19BF"/>
    <w:rsid w:val="00AF2DC3"/>
    <w:rsid w:val="00AF2E0C"/>
    <w:rsid w:val="00AF2E49"/>
    <w:rsid w:val="00AF3FC6"/>
    <w:rsid w:val="00AF4E8E"/>
    <w:rsid w:val="00AF6128"/>
    <w:rsid w:val="00AF6B68"/>
    <w:rsid w:val="00AF7456"/>
    <w:rsid w:val="00AF7BFF"/>
    <w:rsid w:val="00B001B1"/>
    <w:rsid w:val="00B008AA"/>
    <w:rsid w:val="00B00A38"/>
    <w:rsid w:val="00B00AC3"/>
    <w:rsid w:val="00B01C2D"/>
    <w:rsid w:val="00B01EF1"/>
    <w:rsid w:val="00B020AD"/>
    <w:rsid w:val="00B02CE7"/>
    <w:rsid w:val="00B033E5"/>
    <w:rsid w:val="00B03A63"/>
    <w:rsid w:val="00B04129"/>
    <w:rsid w:val="00B0414F"/>
    <w:rsid w:val="00B04368"/>
    <w:rsid w:val="00B055F8"/>
    <w:rsid w:val="00B05CC9"/>
    <w:rsid w:val="00B05E95"/>
    <w:rsid w:val="00B0641A"/>
    <w:rsid w:val="00B0692F"/>
    <w:rsid w:val="00B06D21"/>
    <w:rsid w:val="00B06F98"/>
    <w:rsid w:val="00B079B1"/>
    <w:rsid w:val="00B07C44"/>
    <w:rsid w:val="00B1059E"/>
    <w:rsid w:val="00B11476"/>
    <w:rsid w:val="00B11883"/>
    <w:rsid w:val="00B11D6D"/>
    <w:rsid w:val="00B13855"/>
    <w:rsid w:val="00B13BA0"/>
    <w:rsid w:val="00B13CA6"/>
    <w:rsid w:val="00B14C9D"/>
    <w:rsid w:val="00B14CDB"/>
    <w:rsid w:val="00B151F8"/>
    <w:rsid w:val="00B1528E"/>
    <w:rsid w:val="00B16A72"/>
    <w:rsid w:val="00B17BE4"/>
    <w:rsid w:val="00B17F35"/>
    <w:rsid w:val="00B201A4"/>
    <w:rsid w:val="00B201D1"/>
    <w:rsid w:val="00B213A6"/>
    <w:rsid w:val="00B21D68"/>
    <w:rsid w:val="00B226A1"/>
    <w:rsid w:val="00B235B0"/>
    <w:rsid w:val="00B23BDB"/>
    <w:rsid w:val="00B23DC1"/>
    <w:rsid w:val="00B23FB8"/>
    <w:rsid w:val="00B24A7F"/>
    <w:rsid w:val="00B24DF6"/>
    <w:rsid w:val="00B24EBE"/>
    <w:rsid w:val="00B25FCB"/>
    <w:rsid w:val="00B25FD8"/>
    <w:rsid w:val="00B26F4E"/>
    <w:rsid w:val="00B27A38"/>
    <w:rsid w:val="00B27E2D"/>
    <w:rsid w:val="00B31E1F"/>
    <w:rsid w:val="00B323AE"/>
    <w:rsid w:val="00B33082"/>
    <w:rsid w:val="00B34FE2"/>
    <w:rsid w:val="00B35130"/>
    <w:rsid w:val="00B35166"/>
    <w:rsid w:val="00B357D8"/>
    <w:rsid w:val="00B3586F"/>
    <w:rsid w:val="00B360F4"/>
    <w:rsid w:val="00B362EB"/>
    <w:rsid w:val="00B36A00"/>
    <w:rsid w:val="00B37BFC"/>
    <w:rsid w:val="00B40358"/>
    <w:rsid w:val="00B403C3"/>
    <w:rsid w:val="00B40B0D"/>
    <w:rsid w:val="00B411A0"/>
    <w:rsid w:val="00B41614"/>
    <w:rsid w:val="00B41E5E"/>
    <w:rsid w:val="00B426AA"/>
    <w:rsid w:val="00B42851"/>
    <w:rsid w:val="00B42A7E"/>
    <w:rsid w:val="00B42F80"/>
    <w:rsid w:val="00B43134"/>
    <w:rsid w:val="00B435CB"/>
    <w:rsid w:val="00B4367C"/>
    <w:rsid w:val="00B43B8B"/>
    <w:rsid w:val="00B452B3"/>
    <w:rsid w:val="00B45CF0"/>
    <w:rsid w:val="00B45E73"/>
    <w:rsid w:val="00B46BD6"/>
    <w:rsid w:val="00B473A3"/>
    <w:rsid w:val="00B4767F"/>
    <w:rsid w:val="00B47F3D"/>
    <w:rsid w:val="00B5028D"/>
    <w:rsid w:val="00B505C8"/>
    <w:rsid w:val="00B50DB8"/>
    <w:rsid w:val="00B522F8"/>
    <w:rsid w:val="00B52D43"/>
    <w:rsid w:val="00B530A5"/>
    <w:rsid w:val="00B53654"/>
    <w:rsid w:val="00B53905"/>
    <w:rsid w:val="00B53FB3"/>
    <w:rsid w:val="00B54B5B"/>
    <w:rsid w:val="00B5562E"/>
    <w:rsid w:val="00B55D65"/>
    <w:rsid w:val="00B5680B"/>
    <w:rsid w:val="00B57000"/>
    <w:rsid w:val="00B60939"/>
    <w:rsid w:val="00B60AFD"/>
    <w:rsid w:val="00B61BCF"/>
    <w:rsid w:val="00B62355"/>
    <w:rsid w:val="00B62715"/>
    <w:rsid w:val="00B645C6"/>
    <w:rsid w:val="00B65171"/>
    <w:rsid w:val="00B65611"/>
    <w:rsid w:val="00B65A54"/>
    <w:rsid w:val="00B66953"/>
    <w:rsid w:val="00B66A99"/>
    <w:rsid w:val="00B67B85"/>
    <w:rsid w:val="00B70B6A"/>
    <w:rsid w:val="00B70E8E"/>
    <w:rsid w:val="00B718C2"/>
    <w:rsid w:val="00B73000"/>
    <w:rsid w:val="00B73E63"/>
    <w:rsid w:val="00B750C0"/>
    <w:rsid w:val="00B75912"/>
    <w:rsid w:val="00B75D7B"/>
    <w:rsid w:val="00B763F4"/>
    <w:rsid w:val="00B76C92"/>
    <w:rsid w:val="00B77100"/>
    <w:rsid w:val="00B77AA5"/>
    <w:rsid w:val="00B77EE8"/>
    <w:rsid w:val="00B80148"/>
    <w:rsid w:val="00B8055F"/>
    <w:rsid w:val="00B80741"/>
    <w:rsid w:val="00B81349"/>
    <w:rsid w:val="00B818A4"/>
    <w:rsid w:val="00B825CC"/>
    <w:rsid w:val="00B82691"/>
    <w:rsid w:val="00B82E7D"/>
    <w:rsid w:val="00B830BB"/>
    <w:rsid w:val="00B837E3"/>
    <w:rsid w:val="00B84117"/>
    <w:rsid w:val="00B843E6"/>
    <w:rsid w:val="00B84540"/>
    <w:rsid w:val="00B858F0"/>
    <w:rsid w:val="00B85AA2"/>
    <w:rsid w:val="00B8649C"/>
    <w:rsid w:val="00B866A3"/>
    <w:rsid w:val="00B8695D"/>
    <w:rsid w:val="00B8720F"/>
    <w:rsid w:val="00B87F0A"/>
    <w:rsid w:val="00B901D9"/>
    <w:rsid w:val="00B90C31"/>
    <w:rsid w:val="00B91A1D"/>
    <w:rsid w:val="00B92D0B"/>
    <w:rsid w:val="00B9401B"/>
    <w:rsid w:val="00B940E9"/>
    <w:rsid w:val="00B941F6"/>
    <w:rsid w:val="00B94945"/>
    <w:rsid w:val="00B94DD6"/>
    <w:rsid w:val="00B94E7B"/>
    <w:rsid w:val="00B950D7"/>
    <w:rsid w:val="00B9551F"/>
    <w:rsid w:val="00B9557F"/>
    <w:rsid w:val="00B96922"/>
    <w:rsid w:val="00B97DFA"/>
    <w:rsid w:val="00BA11CD"/>
    <w:rsid w:val="00BA1B49"/>
    <w:rsid w:val="00BA1DA8"/>
    <w:rsid w:val="00BA2E6E"/>
    <w:rsid w:val="00BA322D"/>
    <w:rsid w:val="00BA36F9"/>
    <w:rsid w:val="00BA3710"/>
    <w:rsid w:val="00BA5AFC"/>
    <w:rsid w:val="00BA5F30"/>
    <w:rsid w:val="00BA63FA"/>
    <w:rsid w:val="00BA6D93"/>
    <w:rsid w:val="00BA6DD9"/>
    <w:rsid w:val="00BA71F3"/>
    <w:rsid w:val="00BB00B3"/>
    <w:rsid w:val="00BB0172"/>
    <w:rsid w:val="00BB0AAC"/>
    <w:rsid w:val="00BB0BDD"/>
    <w:rsid w:val="00BB0F79"/>
    <w:rsid w:val="00BB176C"/>
    <w:rsid w:val="00BB1E45"/>
    <w:rsid w:val="00BB2A73"/>
    <w:rsid w:val="00BB3954"/>
    <w:rsid w:val="00BB3A45"/>
    <w:rsid w:val="00BB3ADD"/>
    <w:rsid w:val="00BB4ACC"/>
    <w:rsid w:val="00BB5E54"/>
    <w:rsid w:val="00BB60CC"/>
    <w:rsid w:val="00BB703E"/>
    <w:rsid w:val="00BB732D"/>
    <w:rsid w:val="00BB7405"/>
    <w:rsid w:val="00BB789E"/>
    <w:rsid w:val="00BB7F6B"/>
    <w:rsid w:val="00BC0311"/>
    <w:rsid w:val="00BC21C2"/>
    <w:rsid w:val="00BC2278"/>
    <w:rsid w:val="00BC2692"/>
    <w:rsid w:val="00BC2D59"/>
    <w:rsid w:val="00BC33DE"/>
    <w:rsid w:val="00BC33E5"/>
    <w:rsid w:val="00BC3631"/>
    <w:rsid w:val="00BC46C7"/>
    <w:rsid w:val="00BC591F"/>
    <w:rsid w:val="00BC6034"/>
    <w:rsid w:val="00BC6BDB"/>
    <w:rsid w:val="00BC7D6D"/>
    <w:rsid w:val="00BD1403"/>
    <w:rsid w:val="00BD1427"/>
    <w:rsid w:val="00BD14AD"/>
    <w:rsid w:val="00BD20C1"/>
    <w:rsid w:val="00BD2108"/>
    <w:rsid w:val="00BD287D"/>
    <w:rsid w:val="00BD31E7"/>
    <w:rsid w:val="00BD31EF"/>
    <w:rsid w:val="00BD45FE"/>
    <w:rsid w:val="00BD4629"/>
    <w:rsid w:val="00BD4F0C"/>
    <w:rsid w:val="00BD5868"/>
    <w:rsid w:val="00BD5974"/>
    <w:rsid w:val="00BD5B0D"/>
    <w:rsid w:val="00BD62B6"/>
    <w:rsid w:val="00BD6474"/>
    <w:rsid w:val="00BD68A3"/>
    <w:rsid w:val="00BD6938"/>
    <w:rsid w:val="00BD6CF3"/>
    <w:rsid w:val="00BE01B5"/>
    <w:rsid w:val="00BE0498"/>
    <w:rsid w:val="00BE0ECA"/>
    <w:rsid w:val="00BE1628"/>
    <w:rsid w:val="00BE2180"/>
    <w:rsid w:val="00BE21F2"/>
    <w:rsid w:val="00BE2719"/>
    <w:rsid w:val="00BE3D18"/>
    <w:rsid w:val="00BE4275"/>
    <w:rsid w:val="00BE5BC3"/>
    <w:rsid w:val="00BE5F7D"/>
    <w:rsid w:val="00BE7072"/>
    <w:rsid w:val="00BF028B"/>
    <w:rsid w:val="00BF06AE"/>
    <w:rsid w:val="00BF0D41"/>
    <w:rsid w:val="00BF0EDA"/>
    <w:rsid w:val="00BF0F95"/>
    <w:rsid w:val="00BF106C"/>
    <w:rsid w:val="00BF1726"/>
    <w:rsid w:val="00BF1B8F"/>
    <w:rsid w:val="00BF1E1D"/>
    <w:rsid w:val="00BF1EEF"/>
    <w:rsid w:val="00BF1FF1"/>
    <w:rsid w:val="00BF2433"/>
    <w:rsid w:val="00BF2D2D"/>
    <w:rsid w:val="00BF3F75"/>
    <w:rsid w:val="00BF4A25"/>
    <w:rsid w:val="00BF54FF"/>
    <w:rsid w:val="00BF61C9"/>
    <w:rsid w:val="00BF6B92"/>
    <w:rsid w:val="00BF6C94"/>
    <w:rsid w:val="00BF744C"/>
    <w:rsid w:val="00C00424"/>
    <w:rsid w:val="00C008CD"/>
    <w:rsid w:val="00C012CB"/>
    <w:rsid w:val="00C023FC"/>
    <w:rsid w:val="00C027A2"/>
    <w:rsid w:val="00C02B0C"/>
    <w:rsid w:val="00C0406E"/>
    <w:rsid w:val="00C041ED"/>
    <w:rsid w:val="00C04E2E"/>
    <w:rsid w:val="00C050C7"/>
    <w:rsid w:val="00C05489"/>
    <w:rsid w:val="00C059E3"/>
    <w:rsid w:val="00C06D04"/>
    <w:rsid w:val="00C06E9A"/>
    <w:rsid w:val="00C0757E"/>
    <w:rsid w:val="00C0769D"/>
    <w:rsid w:val="00C07BDB"/>
    <w:rsid w:val="00C07F81"/>
    <w:rsid w:val="00C102F5"/>
    <w:rsid w:val="00C10A58"/>
    <w:rsid w:val="00C10C1D"/>
    <w:rsid w:val="00C10F1E"/>
    <w:rsid w:val="00C1140A"/>
    <w:rsid w:val="00C1179F"/>
    <w:rsid w:val="00C11C4C"/>
    <w:rsid w:val="00C120DF"/>
    <w:rsid w:val="00C12339"/>
    <w:rsid w:val="00C12C14"/>
    <w:rsid w:val="00C137AC"/>
    <w:rsid w:val="00C13C78"/>
    <w:rsid w:val="00C142BE"/>
    <w:rsid w:val="00C14BA2"/>
    <w:rsid w:val="00C157B2"/>
    <w:rsid w:val="00C157BB"/>
    <w:rsid w:val="00C15F04"/>
    <w:rsid w:val="00C15F7B"/>
    <w:rsid w:val="00C16C4C"/>
    <w:rsid w:val="00C16DC2"/>
    <w:rsid w:val="00C179B3"/>
    <w:rsid w:val="00C17E3F"/>
    <w:rsid w:val="00C17FB4"/>
    <w:rsid w:val="00C200AA"/>
    <w:rsid w:val="00C20CAC"/>
    <w:rsid w:val="00C2129C"/>
    <w:rsid w:val="00C21AB0"/>
    <w:rsid w:val="00C22240"/>
    <w:rsid w:val="00C22539"/>
    <w:rsid w:val="00C2325A"/>
    <w:rsid w:val="00C237ED"/>
    <w:rsid w:val="00C23BC3"/>
    <w:rsid w:val="00C24632"/>
    <w:rsid w:val="00C24A72"/>
    <w:rsid w:val="00C25418"/>
    <w:rsid w:val="00C25D9C"/>
    <w:rsid w:val="00C26044"/>
    <w:rsid w:val="00C265FC"/>
    <w:rsid w:val="00C2687F"/>
    <w:rsid w:val="00C2778B"/>
    <w:rsid w:val="00C27F11"/>
    <w:rsid w:val="00C306E4"/>
    <w:rsid w:val="00C31649"/>
    <w:rsid w:val="00C319EB"/>
    <w:rsid w:val="00C31DDC"/>
    <w:rsid w:val="00C3210C"/>
    <w:rsid w:val="00C321CB"/>
    <w:rsid w:val="00C3434C"/>
    <w:rsid w:val="00C3495F"/>
    <w:rsid w:val="00C37078"/>
    <w:rsid w:val="00C375C8"/>
    <w:rsid w:val="00C37A42"/>
    <w:rsid w:val="00C37C99"/>
    <w:rsid w:val="00C37EFD"/>
    <w:rsid w:val="00C40385"/>
    <w:rsid w:val="00C40AAC"/>
    <w:rsid w:val="00C41768"/>
    <w:rsid w:val="00C41CB7"/>
    <w:rsid w:val="00C431C4"/>
    <w:rsid w:val="00C457AC"/>
    <w:rsid w:val="00C46ED6"/>
    <w:rsid w:val="00C475AA"/>
    <w:rsid w:val="00C47666"/>
    <w:rsid w:val="00C47BDA"/>
    <w:rsid w:val="00C50A6A"/>
    <w:rsid w:val="00C514FE"/>
    <w:rsid w:val="00C51554"/>
    <w:rsid w:val="00C51E02"/>
    <w:rsid w:val="00C52068"/>
    <w:rsid w:val="00C52389"/>
    <w:rsid w:val="00C52752"/>
    <w:rsid w:val="00C52790"/>
    <w:rsid w:val="00C53C98"/>
    <w:rsid w:val="00C53E08"/>
    <w:rsid w:val="00C5460A"/>
    <w:rsid w:val="00C54B48"/>
    <w:rsid w:val="00C54C38"/>
    <w:rsid w:val="00C54C4C"/>
    <w:rsid w:val="00C54DD2"/>
    <w:rsid w:val="00C54F63"/>
    <w:rsid w:val="00C56A3B"/>
    <w:rsid w:val="00C56FCF"/>
    <w:rsid w:val="00C5757B"/>
    <w:rsid w:val="00C57B6C"/>
    <w:rsid w:val="00C60BBA"/>
    <w:rsid w:val="00C62446"/>
    <w:rsid w:val="00C628A6"/>
    <w:rsid w:val="00C63DD0"/>
    <w:rsid w:val="00C64344"/>
    <w:rsid w:val="00C64B7A"/>
    <w:rsid w:val="00C65108"/>
    <w:rsid w:val="00C65576"/>
    <w:rsid w:val="00C65F43"/>
    <w:rsid w:val="00C66165"/>
    <w:rsid w:val="00C67140"/>
    <w:rsid w:val="00C67575"/>
    <w:rsid w:val="00C703EC"/>
    <w:rsid w:val="00C704DE"/>
    <w:rsid w:val="00C7060A"/>
    <w:rsid w:val="00C70BC3"/>
    <w:rsid w:val="00C7151A"/>
    <w:rsid w:val="00C717E3"/>
    <w:rsid w:val="00C71F60"/>
    <w:rsid w:val="00C72241"/>
    <w:rsid w:val="00C7228A"/>
    <w:rsid w:val="00C72460"/>
    <w:rsid w:val="00C72DD1"/>
    <w:rsid w:val="00C733EE"/>
    <w:rsid w:val="00C73A82"/>
    <w:rsid w:val="00C743C0"/>
    <w:rsid w:val="00C750C8"/>
    <w:rsid w:val="00C7560F"/>
    <w:rsid w:val="00C77A3C"/>
    <w:rsid w:val="00C77BD4"/>
    <w:rsid w:val="00C77E8E"/>
    <w:rsid w:val="00C77EED"/>
    <w:rsid w:val="00C80A0E"/>
    <w:rsid w:val="00C80BE7"/>
    <w:rsid w:val="00C8213F"/>
    <w:rsid w:val="00C8214D"/>
    <w:rsid w:val="00C83E05"/>
    <w:rsid w:val="00C84243"/>
    <w:rsid w:val="00C84822"/>
    <w:rsid w:val="00C84A2C"/>
    <w:rsid w:val="00C85154"/>
    <w:rsid w:val="00C856E7"/>
    <w:rsid w:val="00C85716"/>
    <w:rsid w:val="00C8661F"/>
    <w:rsid w:val="00C86B32"/>
    <w:rsid w:val="00C8706B"/>
    <w:rsid w:val="00C8797A"/>
    <w:rsid w:val="00C87DFB"/>
    <w:rsid w:val="00C900B8"/>
    <w:rsid w:val="00C900D7"/>
    <w:rsid w:val="00C9029A"/>
    <w:rsid w:val="00C90C71"/>
    <w:rsid w:val="00C91809"/>
    <w:rsid w:val="00C91E42"/>
    <w:rsid w:val="00C91FC5"/>
    <w:rsid w:val="00C91FD1"/>
    <w:rsid w:val="00C9261F"/>
    <w:rsid w:val="00C931CF"/>
    <w:rsid w:val="00C938CF"/>
    <w:rsid w:val="00C93E57"/>
    <w:rsid w:val="00C94053"/>
    <w:rsid w:val="00C944B3"/>
    <w:rsid w:val="00C9624D"/>
    <w:rsid w:val="00C96273"/>
    <w:rsid w:val="00C96412"/>
    <w:rsid w:val="00C969DA"/>
    <w:rsid w:val="00C96D49"/>
    <w:rsid w:val="00C97629"/>
    <w:rsid w:val="00C97993"/>
    <w:rsid w:val="00CA02C3"/>
    <w:rsid w:val="00CA0369"/>
    <w:rsid w:val="00CA0CB6"/>
    <w:rsid w:val="00CA0F72"/>
    <w:rsid w:val="00CA1862"/>
    <w:rsid w:val="00CA1C15"/>
    <w:rsid w:val="00CA2C77"/>
    <w:rsid w:val="00CA444F"/>
    <w:rsid w:val="00CA45C2"/>
    <w:rsid w:val="00CA5245"/>
    <w:rsid w:val="00CA576A"/>
    <w:rsid w:val="00CA59B5"/>
    <w:rsid w:val="00CA71F4"/>
    <w:rsid w:val="00CA7B09"/>
    <w:rsid w:val="00CA7F66"/>
    <w:rsid w:val="00CB06F6"/>
    <w:rsid w:val="00CB12A5"/>
    <w:rsid w:val="00CB1CAC"/>
    <w:rsid w:val="00CB21CB"/>
    <w:rsid w:val="00CB294D"/>
    <w:rsid w:val="00CB2F2A"/>
    <w:rsid w:val="00CB39EA"/>
    <w:rsid w:val="00CB3CB1"/>
    <w:rsid w:val="00CB53AB"/>
    <w:rsid w:val="00CB5551"/>
    <w:rsid w:val="00CB5638"/>
    <w:rsid w:val="00CB581D"/>
    <w:rsid w:val="00CB5B1A"/>
    <w:rsid w:val="00CB5C40"/>
    <w:rsid w:val="00CB6B22"/>
    <w:rsid w:val="00CB758F"/>
    <w:rsid w:val="00CB7F5F"/>
    <w:rsid w:val="00CC04DF"/>
    <w:rsid w:val="00CC1B39"/>
    <w:rsid w:val="00CC1CE0"/>
    <w:rsid w:val="00CC2FF6"/>
    <w:rsid w:val="00CC30D6"/>
    <w:rsid w:val="00CC35EA"/>
    <w:rsid w:val="00CC3848"/>
    <w:rsid w:val="00CC5729"/>
    <w:rsid w:val="00CC69DD"/>
    <w:rsid w:val="00CC6A5F"/>
    <w:rsid w:val="00CC6B1C"/>
    <w:rsid w:val="00CC778D"/>
    <w:rsid w:val="00CD172E"/>
    <w:rsid w:val="00CD235E"/>
    <w:rsid w:val="00CD3F77"/>
    <w:rsid w:val="00CD4256"/>
    <w:rsid w:val="00CD682F"/>
    <w:rsid w:val="00CD6940"/>
    <w:rsid w:val="00CD69FD"/>
    <w:rsid w:val="00CD6ADC"/>
    <w:rsid w:val="00CD6E24"/>
    <w:rsid w:val="00CD6E3B"/>
    <w:rsid w:val="00CD7193"/>
    <w:rsid w:val="00CD7312"/>
    <w:rsid w:val="00CD7B6F"/>
    <w:rsid w:val="00CE04C4"/>
    <w:rsid w:val="00CE11DB"/>
    <w:rsid w:val="00CE1E03"/>
    <w:rsid w:val="00CE2140"/>
    <w:rsid w:val="00CE222C"/>
    <w:rsid w:val="00CE38C8"/>
    <w:rsid w:val="00CE46B2"/>
    <w:rsid w:val="00CE50B8"/>
    <w:rsid w:val="00CE5D87"/>
    <w:rsid w:val="00CE5DD2"/>
    <w:rsid w:val="00CE6274"/>
    <w:rsid w:val="00CE7088"/>
    <w:rsid w:val="00CE70E8"/>
    <w:rsid w:val="00CE715A"/>
    <w:rsid w:val="00CE72D0"/>
    <w:rsid w:val="00CE7613"/>
    <w:rsid w:val="00CE77B6"/>
    <w:rsid w:val="00CE7FA3"/>
    <w:rsid w:val="00CF1FD6"/>
    <w:rsid w:val="00CF2034"/>
    <w:rsid w:val="00CF25DD"/>
    <w:rsid w:val="00CF2B8D"/>
    <w:rsid w:val="00CF2CA4"/>
    <w:rsid w:val="00CF3537"/>
    <w:rsid w:val="00CF456B"/>
    <w:rsid w:val="00CF49CC"/>
    <w:rsid w:val="00CF5A22"/>
    <w:rsid w:val="00CF5EC2"/>
    <w:rsid w:val="00CF61E7"/>
    <w:rsid w:val="00CF64C1"/>
    <w:rsid w:val="00CF71D6"/>
    <w:rsid w:val="00CF7A63"/>
    <w:rsid w:val="00D0025C"/>
    <w:rsid w:val="00D00B12"/>
    <w:rsid w:val="00D00E68"/>
    <w:rsid w:val="00D01276"/>
    <w:rsid w:val="00D01F7F"/>
    <w:rsid w:val="00D0262E"/>
    <w:rsid w:val="00D02690"/>
    <w:rsid w:val="00D02807"/>
    <w:rsid w:val="00D02EBA"/>
    <w:rsid w:val="00D03171"/>
    <w:rsid w:val="00D058B4"/>
    <w:rsid w:val="00D05962"/>
    <w:rsid w:val="00D05E3D"/>
    <w:rsid w:val="00D06139"/>
    <w:rsid w:val="00D07832"/>
    <w:rsid w:val="00D1081E"/>
    <w:rsid w:val="00D109DF"/>
    <w:rsid w:val="00D110BD"/>
    <w:rsid w:val="00D1239A"/>
    <w:rsid w:val="00D124E4"/>
    <w:rsid w:val="00D13675"/>
    <w:rsid w:val="00D1373E"/>
    <w:rsid w:val="00D13BEB"/>
    <w:rsid w:val="00D13E93"/>
    <w:rsid w:val="00D141E1"/>
    <w:rsid w:val="00D14C44"/>
    <w:rsid w:val="00D15314"/>
    <w:rsid w:val="00D15511"/>
    <w:rsid w:val="00D17D6C"/>
    <w:rsid w:val="00D17E90"/>
    <w:rsid w:val="00D21018"/>
    <w:rsid w:val="00D212E2"/>
    <w:rsid w:val="00D2155B"/>
    <w:rsid w:val="00D2219B"/>
    <w:rsid w:val="00D22B64"/>
    <w:rsid w:val="00D22FE9"/>
    <w:rsid w:val="00D2308C"/>
    <w:rsid w:val="00D23D11"/>
    <w:rsid w:val="00D23FF7"/>
    <w:rsid w:val="00D244B6"/>
    <w:rsid w:val="00D267E2"/>
    <w:rsid w:val="00D2695F"/>
    <w:rsid w:val="00D27380"/>
    <w:rsid w:val="00D2754D"/>
    <w:rsid w:val="00D27A65"/>
    <w:rsid w:val="00D27AAB"/>
    <w:rsid w:val="00D27B02"/>
    <w:rsid w:val="00D27B27"/>
    <w:rsid w:val="00D302E9"/>
    <w:rsid w:val="00D303A4"/>
    <w:rsid w:val="00D306A4"/>
    <w:rsid w:val="00D30978"/>
    <w:rsid w:val="00D30D8E"/>
    <w:rsid w:val="00D30E5F"/>
    <w:rsid w:val="00D30FA0"/>
    <w:rsid w:val="00D3139B"/>
    <w:rsid w:val="00D314CF"/>
    <w:rsid w:val="00D32FDA"/>
    <w:rsid w:val="00D33BE9"/>
    <w:rsid w:val="00D33D4E"/>
    <w:rsid w:val="00D33F93"/>
    <w:rsid w:val="00D353B1"/>
    <w:rsid w:val="00D357FF"/>
    <w:rsid w:val="00D3673F"/>
    <w:rsid w:val="00D36E0E"/>
    <w:rsid w:val="00D37720"/>
    <w:rsid w:val="00D37CBD"/>
    <w:rsid w:val="00D411C7"/>
    <w:rsid w:val="00D4151E"/>
    <w:rsid w:val="00D4155B"/>
    <w:rsid w:val="00D4160A"/>
    <w:rsid w:val="00D424C7"/>
    <w:rsid w:val="00D42A6A"/>
    <w:rsid w:val="00D43B2A"/>
    <w:rsid w:val="00D43D83"/>
    <w:rsid w:val="00D44CF4"/>
    <w:rsid w:val="00D44DAB"/>
    <w:rsid w:val="00D46905"/>
    <w:rsid w:val="00D47575"/>
    <w:rsid w:val="00D47975"/>
    <w:rsid w:val="00D5118A"/>
    <w:rsid w:val="00D519F5"/>
    <w:rsid w:val="00D51FCE"/>
    <w:rsid w:val="00D5239F"/>
    <w:rsid w:val="00D5243B"/>
    <w:rsid w:val="00D52AB8"/>
    <w:rsid w:val="00D530F8"/>
    <w:rsid w:val="00D533EC"/>
    <w:rsid w:val="00D53874"/>
    <w:rsid w:val="00D53BE7"/>
    <w:rsid w:val="00D54C86"/>
    <w:rsid w:val="00D54C8E"/>
    <w:rsid w:val="00D5587A"/>
    <w:rsid w:val="00D55907"/>
    <w:rsid w:val="00D55AE4"/>
    <w:rsid w:val="00D55B23"/>
    <w:rsid w:val="00D568C3"/>
    <w:rsid w:val="00D56A95"/>
    <w:rsid w:val="00D57439"/>
    <w:rsid w:val="00D600F1"/>
    <w:rsid w:val="00D60E15"/>
    <w:rsid w:val="00D616BB"/>
    <w:rsid w:val="00D62F3A"/>
    <w:rsid w:val="00D63DDE"/>
    <w:rsid w:val="00D658DC"/>
    <w:rsid w:val="00D65CEC"/>
    <w:rsid w:val="00D65D76"/>
    <w:rsid w:val="00D66279"/>
    <w:rsid w:val="00D664C5"/>
    <w:rsid w:val="00D66DCE"/>
    <w:rsid w:val="00D671E4"/>
    <w:rsid w:val="00D67F1D"/>
    <w:rsid w:val="00D70963"/>
    <w:rsid w:val="00D70F16"/>
    <w:rsid w:val="00D7147D"/>
    <w:rsid w:val="00D716B3"/>
    <w:rsid w:val="00D72055"/>
    <w:rsid w:val="00D72AAD"/>
    <w:rsid w:val="00D72F57"/>
    <w:rsid w:val="00D748B3"/>
    <w:rsid w:val="00D75115"/>
    <w:rsid w:val="00D76A44"/>
    <w:rsid w:val="00D76EC5"/>
    <w:rsid w:val="00D76F84"/>
    <w:rsid w:val="00D77D3D"/>
    <w:rsid w:val="00D811E4"/>
    <w:rsid w:val="00D815EF"/>
    <w:rsid w:val="00D81648"/>
    <w:rsid w:val="00D81F26"/>
    <w:rsid w:val="00D82755"/>
    <w:rsid w:val="00D82D8D"/>
    <w:rsid w:val="00D82F59"/>
    <w:rsid w:val="00D83373"/>
    <w:rsid w:val="00D8438D"/>
    <w:rsid w:val="00D84AD9"/>
    <w:rsid w:val="00D85896"/>
    <w:rsid w:val="00D86231"/>
    <w:rsid w:val="00D86D8B"/>
    <w:rsid w:val="00D86DBF"/>
    <w:rsid w:val="00D87246"/>
    <w:rsid w:val="00D87397"/>
    <w:rsid w:val="00D874D9"/>
    <w:rsid w:val="00D87576"/>
    <w:rsid w:val="00D87B51"/>
    <w:rsid w:val="00D87ED5"/>
    <w:rsid w:val="00D90C3F"/>
    <w:rsid w:val="00D916A5"/>
    <w:rsid w:val="00D91766"/>
    <w:rsid w:val="00D91923"/>
    <w:rsid w:val="00D92417"/>
    <w:rsid w:val="00D9337F"/>
    <w:rsid w:val="00D93753"/>
    <w:rsid w:val="00D93AED"/>
    <w:rsid w:val="00D93E02"/>
    <w:rsid w:val="00D94865"/>
    <w:rsid w:val="00D95145"/>
    <w:rsid w:val="00D951E5"/>
    <w:rsid w:val="00D97B90"/>
    <w:rsid w:val="00DA0336"/>
    <w:rsid w:val="00DA0CEC"/>
    <w:rsid w:val="00DA0DCD"/>
    <w:rsid w:val="00DA18B6"/>
    <w:rsid w:val="00DA2353"/>
    <w:rsid w:val="00DA3167"/>
    <w:rsid w:val="00DA337F"/>
    <w:rsid w:val="00DA4921"/>
    <w:rsid w:val="00DA4DC3"/>
    <w:rsid w:val="00DA5592"/>
    <w:rsid w:val="00DA56BF"/>
    <w:rsid w:val="00DA5B68"/>
    <w:rsid w:val="00DA7674"/>
    <w:rsid w:val="00DA768B"/>
    <w:rsid w:val="00DA76AD"/>
    <w:rsid w:val="00DA77A5"/>
    <w:rsid w:val="00DB0193"/>
    <w:rsid w:val="00DB0716"/>
    <w:rsid w:val="00DB08FF"/>
    <w:rsid w:val="00DB0E47"/>
    <w:rsid w:val="00DB136A"/>
    <w:rsid w:val="00DB19F9"/>
    <w:rsid w:val="00DB38CF"/>
    <w:rsid w:val="00DB3DBF"/>
    <w:rsid w:val="00DB4551"/>
    <w:rsid w:val="00DB484F"/>
    <w:rsid w:val="00DB497D"/>
    <w:rsid w:val="00DB4A4B"/>
    <w:rsid w:val="00DB5472"/>
    <w:rsid w:val="00DB63D6"/>
    <w:rsid w:val="00DB7F53"/>
    <w:rsid w:val="00DC04F6"/>
    <w:rsid w:val="00DC0690"/>
    <w:rsid w:val="00DC1D65"/>
    <w:rsid w:val="00DC1E81"/>
    <w:rsid w:val="00DC333F"/>
    <w:rsid w:val="00DC37A4"/>
    <w:rsid w:val="00DC3C57"/>
    <w:rsid w:val="00DC4A51"/>
    <w:rsid w:val="00DC5501"/>
    <w:rsid w:val="00DC5F62"/>
    <w:rsid w:val="00DC7154"/>
    <w:rsid w:val="00DC79CE"/>
    <w:rsid w:val="00DC7E8A"/>
    <w:rsid w:val="00DD0450"/>
    <w:rsid w:val="00DD0F78"/>
    <w:rsid w:val="00DD1999"/>
    <w:rsid w:val="00DD1CE1"/>
    <w:rsid w:val="00DD273C"/>
    <w:rsid w:val="00DD33B9"/>
    <w:rsid w:val="00DD3F28"/>
    <w:rsid w:val="00DD4537"/>
    <w:rsid w:val="00DD4E15"/>
    <w:rsid w:val="00DD562A"/>
    <w:rsid w:val="00DD6191"/>
    <w:rsid w:val="00DD6D87"/>
    <w:rsid w:val="00DD6E02"/>
    <w:rsid w:val="00DE026D"/>
    <w:rsid w:val="00DE06B5"/>
    <w:rsid w:val="00DE0EBF"/>
    <w:rsid w:val="00DE2304"/>
    <w:rsid w:val="00DE2E46"/>
    <w:rsid w:val="00DE3138"/>
    <w:rsid w:val="00DE37F8"/>
    <w:rsid w:val="00DE4A72"/>
    <w:rsid w:val="00DE4FCB"/>
    <w:rsid w:val="00DE51FE"/>
    <w:rsid w:val="00DE57F5"/>
    <w:rsid w:val="00DE59B2"/>
    <w:rsid w:val="00DE5C7D"/>
    <w:rsid w:val="00DE5D07"/>
    <w:rsid w:val="00DE6BE1"/>
    <w:rsid w:val="00DE6D29"/>
    <w:rsid w:val="00DE72A7"/>
    <w:rsid w:val="00DE7832"/>
    <w:rsid w:val="00DF03E7"/>
    <w:rsid w:val="00DF0604"/>
    <w:rsid w:val="00DF14DB"/>
    <w:rsid w:val="00DF18FC"/>
    <w:rsid w:val="00DF1AE1"/>
    <w:rsid w:val="00DF2308"/>
    <w:rsid w:val="00DF4D68"/>
    <w:rsid w:val="00DF4E54"/>
    <w:rsid w:val="00DF4EE4"/>
    <w:rsid w:val="00DF5D2B"/>
    <w:rsid w:val="00DF62EF"/>
    <w:rsid w:val="00E008AF"/>
    <w:rsid w:val="00E00E8E"/>
    <w:rsid w:val="00E01244"/>
    <w:rsid w:val="00E0249B"/>
    <w:rsid w:val="00E02D6F"/>
    <w:rsid w:val="00E03D6A"/>
    <w:rsid w:val="00E03F14"/>
    <w:rsid w:val="00E045E4"/>
    <w:rsid w:val="00E05630"/>
    <w:rsid w:val="00E06DBB"/>
    <w:rsid w:val="00E078A9"/>
    <w:rsid w:val="00E07EFD"/>
    <w:rsid w:val="00E10095"/>
    <w:rsid w:val="00E10149"/>
    <w:rsid w:val="00E10207"/>
    <w:rsid w:val="00E1082D"/>
    <w:rsid w:val="00E11340"/>
    <w:rsid w:val="00E113D4"/>
    <w:rsid w:val="00E1165E"/>
    <w:rsid w:val="00E11E9C"/>
    <w:rsid w:val="00E122A1"/>
    <w:rsid w:val="00E12738"/>
    <w:rsid w:val="00E12830"/>
    <w:rsid w:val="00E13A1B"/>
    <w:rsid w:val="00E14444"/>
    <w:rsid w:val="00E16372"/>
    <w:rsid w:val="00E17CFC"/>
    <w:rsid w:val="00E2075F"/>
    <w:rsid w:val="00E20E4D"/>
    <w:rsid w:val="00E20ED6"/>
    <w:rsid w:val="00E210A3"/>
    <w:rsid w:val="00E21358"/>
    <w:rsid w:val="00E21F85"/>
    <w:rsid w:val="00E220F8"/>
    <w:rsid w:val="00E2249B"/>
    <w:rsid w:val="00E224EA"/>
    <w:rsid w:val="00E22A0D"/>
    <w:rsid w:val="00E23100"/>
    <w:rsid w:val="00E23DA6"/>
    <w:rsid w:val="00E244F6"/>
    <w:rsid w:val="00E246B7"/>
    <w:rsid w:val="00E24A70"/>
    <w:rsid w:val="00E24C75"/>
    <w:rsid w:val="00E24FDD"/>
    <w:rsid w:val="00E264B4"/>
    <w:rsid w:val="00E265E7"/>
    <w:rsid w:val="00E2771E"/>
    <w:rsid w:val="00E311EF"/>
    <w:rsid w:val="00E32180"/>
    <w:rsid w:val="00E324EE"/>
    <w:rsid w:val="00E336D9"/>
    <w:rsid w:val="00E33B16"/>
    <w:rsid w:val="00E33D53"/>
    <w:rsid w:val="00E34833"/>
    <w:rsid w:val="00E34948"/>
    <w:rsid w:val="00E349B9"/>
    <w:rsid w:val="00E36109"/>
    <w:rsid w:val="00E362F4"/>
    <w:rsid w:val="00E372A9"/>
    <w:rsid w:val="00E37569"/>
    <w:rsid w:val="00E37587"/>
    <w:rsid w:val="00E40156"/>
    <w:rsid w:val="00E401B2"/>
    <w:rsid w:val="00E4038E"/>
    <w:rsid w:val="00E41AF2"/>
    <w:rsid w:val="00E41E30"/>
    <w:rsid w:val="00E42F73"/>
    <w:rsid w:val="00E43D70"/>
    <w:rsid w:val="00E44B0D"/>
    <w:rsid w:val="00E44C92"/>
    <w:rsid w:val="00E45CB6"/>
    <w:rsid w:val="00E45F5C"/>
    <w:rsid w:val="00E4610F"/>
    <w:rsid w:val="00E46417"/>
    <w:rsid w:val="00E466F3"/>
    <w:rsid w:val="00E46D15"/>
    <w:rsid w:val="00E47032"/>
    <w:rsid w:val="00E474DF"/>
    <w:rsid w:val="00E47A92"/>
    <w:rsid w:val="00E47B2C"/>
    <w:rsid w:val="00E47E35"/>
    <w:rsid w:val="00E51560"/>
    <w:rsid w:val="00E516E3"/>
    <w:rsid w:val="00E51A85"/>
    <w:rsid w:val="00E51F3F"/>
    <w:rsid w:val="00E524B6"/>
    <w:rsid w:val="00E52B28"/>
    <w:rsid w:val="00E52CD5"/>
    <w:rsid w:val="00E53917"/>
    <w:rsid w:val="00E53BD6"/>
    <w:rsid w:val="00E53FC8"/>
    <w:rsid w:val="00E54347"/>
    <w:rsid w:val="00E54DF9"/>
    <w:rsid w:val="00E552D7"/>
    <w:rsid w:val="00E55424"/>
    <w:rsid w:val="00E55915"/>
    <w:rsid w:val="00E55BB5"/>
    <w:rsid w:val="00E568C7"/>
    <w:rsid w:val="00E56C02"/>
    <w:rsid w:val="00E571C9"/>
    <w:rsid w:val="00E5753D"/>
    <w:rsid w:val="00E57A1E"/>
    <w:rsid w:val="00E57AF6"/>
    <w:rsid w:val="00E6034C"/>
    <w:rsid w:val="00E60E75"/>
    <w:rsid w:val="00E62B66"/>
    <w:rsid w:val="00E637AF"/>
    <w:rsid w:val="00E637B6"/>
    <w:rsid w:val="00E63934"/>
    <w:rsid w:val="00E6547A"/>
    <w:rsid w:val="00E656E8"/>
    <w:rsid w:val="00E65D59"/>
    <w:rsid w:val="00E65E79"/>
    <w:rsid w:val="00E66308"/>
    <w:rsid w:val="00E66BA2"/>
    <w:rsid w:val="00E67416"/>
    <w:rsid w:val="00E67446"/>
    <w:rsid w:val="00E677AD"/>
    <w:rsid w:val="00E70460"/>
    <w:rsid w:val="00E718B6"/>
    <w:rsid w:val="00E723BA"/>
    <w:rsid w:val="00E727D6"/>
    <w:rsid w:val="00E73154"/>
    <w:rsid w:val="00E73581"/>
    <w:rsid w:val="00E75060"/>
    <w:rsid w:val="00E751E7"/>
    <w:rsid w:val="00E75CE1"/>
    <w:rsid w:val="00E77006"/>
    <w:rsid w:val="00E806F3"/>
    <w:rsid w:val="00E80E8F"/>
    <w:rsid w:val="00E82064"/>
    <w:rsid w:val="00E8217C"/>
    <w:rsid w:val="00E821E7"/>
    <w:rsid w:val="00E828E9"/>
    <w:rsid w:val="00E833F1"/>
    <w:rsid w:val="00E833F7"/>
    <w:rsid w:val="00E8380B"/>
    <w:rsid w:val="00E83866"/>
    <w:rsid w:val="00E83BDF"/>
    <w:rsid w:val="00E85EEF"/>
    <w:rsid w:val="00E86FC9"/>
    <w:rsid w:val="00E87A1D"/>
    <w:rsid w:val="00E87D8E"/>
    <w:rsid w:val="00E90090"/>
    <w:rsid w:val="00E9023D"/>
    <w:rsid w:val="00E9029A"/>
    <w:rsid w:val="00E9094A"/>
    <w:rsid w:val="00E90CDC"/>
    <w:rsid w:val="00E91D35"/>
    <w:rsid w:val="00E9260C"/>
    <w:rsid w:val="00E92689"/>
    <w:rsid w:val="00E926A5"/>
    <w:rsid w:val="00E92B1D"/>
    <w:rsid w:val="00E92F47"/>
    <w:rsid w:val="00E94326"/>
    <w:rsid w:val="00E95460"/>
    <w:rsid w:val="00E96A16"/>
    <w:rsid w:val="00E96CED"/>
    <w:rsid w:val="00EA08A6"/>
    <w:rsid w:val="00EA17C3"/>
    <w:rsid w:val="00EA2CAA"/>
    <w:rsid w:val="00EA3864"/>
    <w:rsid w:val="00EA3F74"/>
    <w:rsid w:val="00EA4742"/>
    <w:rsid w:val="00EA5230"/>
    <w:rsid w:val="00EA6F3D"/>
    <w:rsid w:val="00EA72F2"/>
    <w:rsid w:val="00EA7F1C"/>
    <w:rsid w:val="00EB0D41"/>
    <w:rsid w:val="00EB15B6"/>
    <w:rsid w:val="00EB24E2"/>
    <w:rsid w:val="00EB263B"/>
    <w:rsid w:val="00EB31FB"/>
    <w:rsid w:val="00EB382B"/>
    <w:rsid w:val="00EB3D06"/>
    <w:rsid w:val="00EB4916"/>
    <w:rsid w:val="00EB494B"/>
    <w:rsid w:val="00EB4D38"/>
    <w:rsid w:val="00EB52B7"/>
    <w:rsid w:val="00EB585D"/>
    <w:rsid w:val="00EB5B4E"/>
    <w:rsid w:val="00EB5BFD"/>
    <w:rsid w:val="00EB6077"/>
    <w:rsid w:val="00EB6AE5"/>
    <w:rsid w:val="00EB7DE9"/>
    <w:rsid w:val="00EC00C9"/>
    <w:rsid w:val="00EC0DD9"/>
    <w:rsid w:val="00EC17CF"/>
    <w:rsid w:val="00EC2649"/>
    <w:rsid w:val="00EC315F"/>
    <w:rsid w:val="00EC31ED"/>
    <w:rsid w:val="00EC340D"/>
    <w:rsid w:val="00EC36C9"/>
    <w:rsid w:val="00EC3F34"/>
    <w:rsid w:val="00EC43FB"/>
    <w:rsid w:val="00EC4C0D"/>
    <w:rsid w:val="00EC4E5B"/>
    <w:rsid w:val="00EC5836"/>
    <w:rsid w:val="00EC6885"/>
    <w:rsid w:val="00EC688C"/>
    <w:rsid w:val="00EC689B"/>
    <w:rsid w:val="00EC6ABC"/>
    <w:rsid w:val="00EC7524"/>
    <w:rsid w:val="00EC7C2B"/>
    <w:rsid w:val="00EC7F88"/>
    <w:rsid w:val="00ED04F8"/>
    <w:rsid w:val="00ED0B49"/>
    <w:rsid w:val="00ED1475"/>
    <w:rsid w:val="00ED21CC"/>
    <w:rsid w:val="00ED2B87"/>
    <w:rsid w:val="00ED2E06"/>
    <w:rsid w:val="00ED3553"/>
    <w:rsid w:val="00ED3885"/>
    <w:rsid w:val="00ED3B1D"/>
    <w:rsid w:val="00ED4DC9"/>
    <w:rsid w:val="00ED52C7"/>
    <w:rsid w:val="00ED5315"/>
    <w:rsid w:val="00ED57EA"/>
    <w:rsid w:val="00ED5BD4"/>
    <w:rsid w:val="00ED71C0"/>
    <w:rsid w:val="00ED73A5"/>
    <w:rsid w:val="00ED7CC3"/>
    <w:rsid w:val="00ED7D58"/>
    <w:rsid w:val="00EE07D3"/>
    <w:rsid w:val="00EE146F"/>
    <w:rsid w:val="00EE1996"/>
    <w:rsid w:val="00EE1A81"/>
    <w:rsid w:val="00EE1B35"/>
    <w:rsid w:val="00EE1C01"/>
    <w:rsid w:val="00EE22AF"/>
    <w:rsid w:val="00EE424C"/>
    <w:rsid w:val="00EE6B22"/>
    <w:rsid w:val="00EE6F8D"/>
    <w:rsid w:val="00EF00ED"/>
    <w:rsid w:val="00EF0171"/>
    <w:rsid w:val="00EF0930"/>
    <w:rsid w:val="00EF1B25"/>
    <w:rsid w:val="00EF1DA0"/>
    <w:rsid w:val="00EF4747"/>
    <w:rsid w:val="00EF4BF8"/>
    <w:rsid w:val="00EF68E4"/>
    <w:rsid w:val="00EF76F7"/>
    <w:rsid w:val="00EF7DC0"/>
    <w:rsid w:val="00EF7E53"/>
    <w:rsid w:val="00F01FD3"/>
    <w:rsid w:val="00F0210E"/>
    <w:rsid w:val="00F02253"/>
    <w:rsid w:val="00F02681"/>
    <w:rsid w:val="00F02C52"/>
    <w:rsid w:val="00F033CA"/>
    <w:rsid w:val="00F03C2E"/>
    <w:rsid w:val="00F04A66"/>
    <w:rsid w:val="00F04B4B"/>
    <w:rsid w:val="00F0516C"/>
    <w:rsid w:val="00F05854"/>
    <w:rsid w:val="00F05A8A"/>
    <w:rsid w:val="00F05DAD"/>
    <w:rsid w:val="00F067A2"/>
    <w:rsid w:val="00F07B9E"/>
    <w:rsid w:val="00F1063F"/>
    <w:rsid w:val="00F1116F"/>
    <w:rsid w:val="00F117C9"/>
    <w:rsid w:val="00F11EC2"/>
    <w:rsid w:val="00F1263A"/>
    <w:rsid w:val="00F13772"/>
    <w:rsid w:val="00F13FF5"/>
    <w:rsid w:val="00F1417C"/>
    <w:rsid w:val="00F15906"/>
    <w:rsid w:val="00F15B77"/>
    <w:rsid w:val="00F15BE0"/>
    <w:rsid w:val="00F15C72"/>
    <w:rsid w:val="00F16377"/>
    <w:rsid w:val="00F16A8E"/>
    <w:rsid w:val="00F17A15"/>
    <w:rsid w:val="00F17DCE"/>
    <w:rsid w:val="00F17F72"/>
    <w:rsid w:val="00F20447"/>
    <w:rsid w:val="00F209B2"/>
    <w:rsid w:val="00F21081"/>
    <w:rsid w:val="00F212C9"/>
    <w:rsid w:val="00F218C6"/>
    <w:rsid w:val="00F21A36"/>
    <w:rsid w:val="00F222B5"/>
    <w:rsid w:val="00F22F90"/>
    <w:rsid w:val="00F24837"/>
    <w:rsid w:val="00F251EC"/>
    <w:rsid w:val="00F2575F"/>
    <w:rsid w:val="00F269E9"/>
    <w:rsid w:val="00F27565"/>
    <w:rsid w:val="00F301F1"/>
    <w:rsid w:val="00F310D4"/>
    <w:rsid w:val="00F31D5A"/>
    <w:rsid w:val="00F32685"/>
    <w:rsid w:val="00F33975"/>
    <w:rsid w:val="00F339FE"/>
    <w:rsid w:val="00F33DE9"/>
    <w:rsid w:val="00F344FA"/>
    <w:rsid w:val="00F34F55"/>
    <w:rsid w:val="00F35418"/>
    <w:rsid w:val="00F354E5"/>
    <w:rsid w:val="00F35529"/>
    <w:rsid w:val="00F35E6D"/>
    <w:rsid w:val="00F3619A"/>
    <w:rsid w:val="00F37420"/>
    <w:rsid w:val="00F3784F"/>
    <w:rsid w:val="00F37F57"/>
    <w:rsid w:val="00F4015B"/>
    <w:rsid w:val="00F40AAA"/>
    <w:rsid w:val="00F40ACC"/>
    <w:rsid w:val="00F40B8E"/>
    <w:rsid w:val="00F40BA7"/>
    <w:rsid w:val="00F40F9D"/>
    <w:rsid w:val="00F4128A"/>
    <w:rsid w:val="00F4161D"/>
    <w:rsid w:val="00F41ACD"/>
    <w:rsid w:val="00F4239A"/>
    <w:rsid w:val="00F4241B"/>
    <w:rsid w:val="00F43719"/>
    <w:rsid w:val="00F43DBD"/>
    <w:rsid w:val="00F451B0"/>
    <w:rsid w:val="00F46108"/>
    <w:rsid w:val="00F46CB6"/>
    <w:rsid w:val="00F4756D"/>
    <w:rsid w:val="00F47DE8"/>
    <w:rsid w:val="00F47EAA"/>
    <w:rsid w:val="00F51D83"/>
    <w:rsid w:val="00F51FCB"/>
    <w:rsid w:val="00F5200E"/>
    <w:rsid w:val="00F5314A"/>
    <w:rsid w:val="00F5372A"/>
    <w:rsid w:val="00F54091"/>
    <w:rsid w:val="00F54232"/>
    <w:rsid w:val="00F542C1"/>
    <w:rsid w:val="00F551B1"/>
    <w:rsid w:val="00F55B5C"/>
    <w:rsid w:val="00F55BA2"/>
    <w:rsid w:val="00F55CBB"/>
    <w:rsid w:val="00F55E73"/>
    <w:rsid w:val="00F55EDA"/>
    <w:rsid w:val="00F560A1"/>
    <w:rsid w:val="00F561E7"/>
    <w:rsid w:val="00F56698"/>
    <w:rsid w:val="00F5680A"/>
    <w:rsid w:val="00F568F3"/>
    <w:rsid w:val="00F56C80"/>
    <w:rsid w:val="00F57D49"/>
    <w:rsid w:val="00F60092"/>
    <w:rsid w:val="00F60F30"/>
    <w:rsid w:val="00F61BCE"/>
    <w:rsid w:val="00F61C18"/>
    <w:rsid w:val="00F62E96"/>
    <w:rsid w:val="00F63FB2"/>
    <w:rsid w:val="00F651BA"/>
    <w:rsid w:val="00F65F4B"/>
    <w:rsid w:val="00F66395"/>
    <w:rsid w:val="00F66C23"/>
    <w:rsid w:val="00F67A69"/>
    <w:rsid w:val="00F703BE"/>
    <w:rsid w:val="00F705E6"/>
    <w:rsid w:val="00F7099F"/>
    <w:rsid w:val="00F70BFF"/>
    <w:rsid w:val="00F70C9D"/>
    <w:rsid w:val="00F71B7D"/>
    <w:rsid w:val="00F720CF"/>
    <w:rsid w:val="00F7236B"/>
    <w:rsid w:val="00F73041"/>
    <w:rsid w:val="00F73948"/>
    <w:rsid w:val="00F74CD9"/>
    <w:rsid w:val="00F74E9F"/>
    <w:rsid w:val="00F75EA4"/>
    <w:rsid w:val="00F76137"/>
    <w:rsid w:val="00F763A1"/>
    <w:rsid w:val="00F80A7B"/>
    <w:rsid w:val="00F80E5D"/>
    <w:rsid w:val="00F81E78"/>
    <w:rsid w:val="00F831EA"/>
    <w:rsid w:val="00F83BD7"/>
    <w:rsid w:val="00F84155"/>
    <w:rsid w:val="00F84C93"/>
    <w:rsid w:val="00F851CE"/>
    <w:rsid w:val="00F85298"/>
    <w:rsid w:val="00F85498"/>
    <w:rsid w:val="00F90603"/>
    <w:rsid w:val="00F91219"/>
    <w:rsid w:val="00F92444"/>
    <w:rsid w:val="00F92A25"/>
    <w:rsid w:val="00F932D3"/>
    <w:rsid w:val="00F9393E"/>
    <w:rsid w:val="00F94B33"/>
    <w:rsid w:val="00F950C7"/>
    <w:rsid w:val="00F968EF"/>
    <w:rsid w:val="00F96AA1"/>
    <w:rsid w:val="00F96FD0"/>
    <w:rsid w:val="00F97062"/>
    <w:rsid w:val="00F97A78"/>
    <w:rsid w:val="00FA0711"/>
    <w:rsid w:val="00FA0B20"/>
    <w:rsid w:val="00FA0B7D"/>
    <w:rsid w:val="00FA1733"/>
    <w:rsid w:val="00FA2409"/>
    <w:rsid w:val="00FA24E7"/>
    <w:rsid w:val="00FA3673"/>
    <w:rsid w:val="00FA3A69"/>
    <w:rsid w:val="00FA4D2C"/>
    <w:rsid w:val="00FA52E0"/>
    <w:rsid w:val="00FA5EE6"/>
    <w:rsid w:val="00FA7534"/>
    <w:rsid w:val="00FA7956"/>
    <w:rsid w:val="00FA7B94"/>
    <w:rsid w:val="00FB0059"/>
    <w:rsid w:val="00FB076F"/>
    <w:rsid w:val="00FB0CD8"/>
    <w:rsid w:val="00FB1D53"/>
    <w:rsid w:val="00FB1F4E"/>
    <w:rsid w:val="00FB25B3"/>
    <w:rsid w:val="00FB2FCB"/>
    <w:rsid w:val="00FB3105"/>
    <w:rsid w:val="00FB3A3D"/>
    <w:rsid w:val="00FB4BF2"/>
    <w:rsid w:val="00FB4DAB"/>
    <w:rsid w:val="00FB599A"/>
    <w:rsid w:val="00FB613C"/>
    <w:rsid w:val="00FB6D43"/>
    <w:rsid w:val="00FB6FBC"/>
    <w:rsid w:val="00FB7629"/>
    <w:rsid w:val="00FB783A"/>
    <w:rsid w:val="00FB787B"/>
    <w:rsid w:val="00FB78FD"/>
    <w:rsid w:val="00FB7C55"/>
    <w:rsid w:val="00FC00CE"/>
    <w:rsid w:val="00FC0E14"/>
    <w:rsid w:val="00FC1074"/>
    <w:rsid w:val="00FC117D"/>
    <w:rsid w:val="00FC1884"/>
    <w:rsid w:val="00FC22B4"/>
    <w:rsid w:val="00FC248A"/>
    <w:rsid w:val="00FC371D"/>
    <w:rsid w:val="00FC3E25"/>
    <w:rsid w:val="00FC3EB8"/>
    <w:rsid w:val="00FC48E5"/>
    <w:rsid w:val="00FC5445"/>
    <w:rsid w:val="00FC5F0B"/>
    <w:rsid w:val="00FD05E1"/>
    <w:rsid w:val="00FD13F1"/>
    <w:rsid w:val="00FD2100"/>
    <w:rsid w:val="00FD32FF"/>
    <w:rsid w:val="00FD3623"/>
    <w:rsid w:val="00FD436C"/>
    <w:rsid w:val="00FD446D"/>
    <w:rsid w:val="00FD4A03"/>
    <w:rsid w:val="00FD4F2C"/>
    <w:rsid w:val="00FD5358"/>
    <w:rsid w:val="00FD5D2B"/>
    <w:rsid w:val="00FD62A0"/>
    <w:rsid w:val="00FD6394"/>
    <w:rsid w:val="00FD7459"/>
    <w:rsid w:val="00FD7F17"/>
    <w:rsid w:val="00FE0216"/>
    <w:rsid w:val="00FE0E6C"/>
    <w:rsid w:val="00FE118A"/>
    <w:rsid w:val="00FE1CDC"/>
    <w:rsid w:val="00FE25AC"/>
    <w:rsid w:val="00FE304E"/>
    <w:rsid w:val="00FE3E81"/>
    <w:rsid w:val="00FE3F77"/>
    <w:rsid w:val="00FE42C9"/>
    <w:rsid w:val="00FE4B87"/>
    <w:rsid w:val="00FE4D84"/>
    <w:rsid w:val="00FE5874"/>
    <w:rsid w:val="00FE6481"/>
    <w:rsid w:val="00FE70C3"/>
    <w:rsid w:val="00FE70E5"/>
    <w:rsid w:val="00FF01F2"/>
    <w:rsid w:val="00FF0365"/>
    <w:rsid w:val="00FF10E5"/>
    <w:rsid w:val="00FF1B02"/>
    <w:rsid w:val="00FF2AD9"/>
    <w:rsid w:val="00FF359F"/>
    <w:rsid w:val="00FF35C0"/>
    <w:rsid w:val="00FF3DCF"/>
    <w:rsid w:val="00FF492C"/>
    <w:rsid w:val="00FF4A21"/>
    <w:rsid w:val="00FF519B"/>
    <w:rsid w:val="00FF5742"/>
    <w:rsid w:val="00FF58B7"/>
    <w:rsid w:val="00FF58DF"/>
    <w:rsid w:val="00FF5AA3"/>
    <w:rsid w:val="00FF5AD8"/>
    <w:rsid w:val="00FF5ECE"/>
    <w:rsid w:val="00FF5FAF"/>
    <w:rsid w:val="00FF6018"/>
    <w:rsid w:val="00FF650B"/>
    <w:rsid w:val="00FF6A8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FBD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1,ES Paragraph,PBAC ES Paragraph,PBAC normal points,Bullet List"/>
    <w:next w:val="ListBullet"/>
    <w:link w:val="ListParagraphChar"/>
    <w:uiPriority w:val="72"/>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Instructions">
    <w:name w:val="V5.0 Instructions"/>
    <w:basedOn w:val="Normal"/>
    <w:link w:val="V50InstructionsChar"/>
    <w:qFormat/>
    <w:rsid w:val="00604F11"/>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604F11"/>
    <w:rPr>
      <w:rFonts w:asciiTheme="minorHAnsi" w:eastAsiaTheme="minorHAnsi" w:hAnsiTheme="minorHAnsi" w:cstheme="minorBidi"/>
      <w:color w:val="4BACC6" w:themeColor="accent5"/>
      <w:sz w:val="24"/>
      <w:szCs w:val="22"/>
      <w:lang w:eastAsia="en-US"/>
    </w:rPr>
  </w:style>
  <w:style w:type="numbering" w:customStyle="1" w:styleId="Lists">
    <w:name w:val="Lists"/>
    <w:uiPriority w:val="99"/>
    <w:rsid w:val="000B2052"/>
    <w:pPr>
      <w:numPr>
        <w:numId w:val="9"/>
      </w:numPr>
    </w:pPr>
  </w:style>
  <w:style w:type="table" w:customStyle="1" w:styleId="Summarybox6">
    <w:name w:val="Summary box6"/>
    <w:basedOn w:val="TableNormal"/>
    <w:next w:val="TableGrid"/>
    <w:uiPriority w:val="59"/>
    <w:rsid w:val="00B323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xecSummTable">
    <w:name w:val="Exec Summ Table"/>
    <w:basedOn w:val="TableNormal"/>
    <w:uiPriority w:val="99"/>
    <w:rsid w:val="00FF01F2"/>
    <w:pPr>
      <w:ind w:left="57" w:right="57"/>
    </w:pPr>
    <w:rPr>
      <w:rFonts w:ascii="Arial" w:eastAsiaTheme="minorHAnsi" w:hAnsi="Arial" w:cstheme="minorBidi"/>
      <w:sz w:val="18"/>
      <w:lang w:bidi="th-TH"/>
    </w:rPr>
    <w:tblPr>
      <w:tblBorders>
        <w:top w:val="single" w:sz="12" w:space="0" w:color="4BACC6" w:themeColor="accent5"/>
        <w:bottom w:val="single" w:sz="12" w:space="0" w:color="4BACC6" w:themeColor="accent5"/>
        <w:insideH w:val="single" w:sz="4" w:space="0" w:color="4BACC6" w:themeColor="accent5"/>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numbering" w:customStyle="1" w:styleId="Lists1">
    <w:name w:val="Lists1"/>
    <w:uiPriority w:val="99"/>
    <w:rsid w:val="00DE026D"/>
  </w:style>
  <w:style w:type="paragraph" w:styleId="FootnoteText">
    <w:name w:val="footnote text"/>
    <w:basedOn w:val="Normal"/>
    <w:link w:val="FootnoteTextChar"/>
    <w:uiPriority w:val="99"/>
    <w:unhideWhenUsed/>
    <w:rsid w:val="00416632"/>
    <w:pPr>
      <w:widowControl w:val="0"/>
    </w:pPr>
    <w:rPr>
      <w:snapToGrid w:val="0"/>
      <w:sz w:val="20"/>
      <w:szCs w:val="20"/>
      <w:lang w:eastAsia="en-US"/>
    </w:rPr>
  </w:style>
  <w:style w:type="character" w:customStyle="1" w:styleId="FootnoteTextChar">
    <w:name w:val="Footnote Text Char"/>
    <w:basedOn w:val="DefaultParagraphFont"/>
    <w:link w:val="FootnoteText"/>
    <w:uiPriority w:val="99"/>
    <w:rsid w:val="00416632"/>
    <w:rPr>
      <w:rFonts w:ascii="Calibri" w:hAnsi="Calibri" w:cs="Arial"/>
      <w:snapToGrid w:val="0"/>
      <w:lang w:eastAsia="en-US"/>
    </w:rPr>
  </w:style>
  <w:style w:type="character" w:styleId="FootnoteReference">
    <w:name w:val="footnote reference"/>
    <w:basedOn w:val="DefaultParagraphFont"/>
    <w:uiPriority w:val="99"/>
    <w:unhideWhenUsed/>
    <w:rsid w:val="00416632"/>
    <w:rPr>
      <w:vertAlign w:val="superscript"/>
    </w:rPr>
  </w:style>
  <w:style w:type="numbering" w:customStyle="1" w:styleId="Lists2">
    <w:name w:val="Lists2"/>
    <w:uiPriority w:val="99"/>
    <w:rsid w:val="004D4313"/>
  </w:style>
  <w:style w:type="numbering" w:customStyle="1" w:styleId="Lists3">
    <w:name w:val="Lists3"/>
    <w:uiPriority w:val="99"/>
    <w:rsid w:val="00F17F72"/>
  </w:style>
  <w:style w:type="character" w:customStyle="1" w:styleId="NoSpacingChar">
    <w:name w:val="No Spacing Char"/>
    <w:basedOn w:val="DefaultParagraphFont"/>
    <w:link w:val="NoSpacing"/>
    <w:uiPriority w:val="1"/>
    <w:rsid w:val="00CB5638"/>
    <w:rPr>
      <w:rFonts w:ascii="Arial" w:hAnsi="Arial" w:cs="Arial"/>
      <w:snapToGrid w:val="0"/>
      <w:sz w:val="22"/>
      <w:lang w:eastAsia="en-US"/>
    </w:rPr>
  </w:style>
  <w:style w:type="paragraph" w:styleId="ListNumber">
    <w:name w:val="List Number"/>
    <w:basedOn w:val="Normal"/>
    <w:uiPriority w:val="16"/>
    <w:qFormat/>
    <w:rsid w:val="00516249"/>
    <w:pPr>
      <w:tabs>
        <w:tab w:val="num" w:pos="357"/>
      </w:tabs>
      <w:spacing w:after="240" w:line="360" w:lineRule="auto"/>
      <w:ind w:left="357" w:hanging="357"/>
      <w:jc w:val="left"/>
    </w:pPr>
    <w:rPr>
      <w:rFonts w:ascii="Arial" w:eastAsiaTheme="minorHAnsi" w:hAnsi="Arial" w:cstheme="minorBidi"/>
      <w:sz w:val="20"/>
      <w:szCs w:val="20"/>
      <w:lang w:eastAsia="en-US"/>
    </w:rPr>
  </w:style>
  <w:style w:type="paragraph" w:styleId="ListNumber2">
    <w:name w:val="List Number 2"/>
    <w:basedOn w:val="Normal"/>
    <w:uiPriority w:val="16"/>
    <w:qFormat/>
    <w:rsid w:val="00516249"/>
    <w:pPr>
      <w:tabs>
        <w:tab w:val="num" w:pos="720"/>
      </w:tabs>
      <w:spacing w:after="240" w:line="360" w:lineRule="auto"/>
      <w:ind w:left="720" w:hanging="363"/>
      <w:jc w:val="left"/>
    </w:pPr>
    <w:rPr>
      <w:rFonts w:ascii="Arial" w:eastAsiaTheme="minorHAnsi" w:hAnsi="Arial" w:cstheme="minorBidi"/>
      <w:sz w:val="20"/>
      <w:szCs w:val="20"/>
      <w:lang w:eastAsia="en-US"/>
    </w:rPr>
  </w:style>
  <w:style w:type="paragraph" w:styleId="ListNumber3">
    <w:name w:val="List Number 3"/>
    <w:basedOn w:val="Normal"/>
    <w:uiPriority w:val="16"/>
    <w:qFormat/>
    <w:rsid w:val="00516249"/>
    <w:pPr>
      <w:tabs>
        <w:tab w:val="num" w:pos="1077"/>
      </w:tabs>
      <w:spacing w:after="240" w:line="360" w:lineRule="auto"/>
      <w:ind w:left="1077" w:hanging="357"/>
      <w:jc w:val="left"/>
    </w:pPr>
    <w:rPr>
      <w:rFonts w:ascii="Arial" w:eastAsiaTheme="minorHAnsi" w:hAnsi="Arial" w:cstheme="minorBidi"/>
      <w:sz w:val="20"/>
      <w:szCs w:val="20"/>
      <w:lang w:eastAsia="en-US"/>
    </w:rPr>
  </w:style>
  <w:style w:type="paragraph" w:styleId="ListNumber4">
    <w:name w:val="List Number 4"/>
    <w:basedOn w:val="Normal"/>
    <w:uiPriority w:val="16"/>
    <w:qFormat/>
    <w:rsid w:val="00516249"/>
    <w:pPr>
      <w:tabs>
        <w:tab w:val="num" w:pos="1435"/>
      </w:tabs>
      <w:spacing w:after="240" w:line="360" w:lineRule="auto"/>
      <w:ind w:left="1435" w:hanging="358"/>
      <w:contextualSpacing/>
      <w:jc w:val="left"/>
    </w:pPr>
    <w:rPr>
      <w:rFonts w:ascii="Arial" w:eastAsiaTheme="minorHAnsi" w:hAnsi="Arial" w:cstheme="minorBidi"/>
      <w:sz w:val="20"/>
      <w:szCs w:val="20"/>
      <w:lang w:eastAsia="en-US"/>
    </w:rPr>
  </w:style>
  <w:style w:type="paragraph" w:customStyle="1" w:styleId="ExecSumBodyText">
    <w:name w:val="Exec Sum Body Text"/>
    <w:basedOn w:val="Normal"/>
    <w:qFormat/>
    <w:rsid w:val="009321BA"/>
    <w:pPr>
      <w:spacing w:after="120"/>
      <w:ind w:left="720" w:hanging="720"/>
    </w:pPr>
    <w:rPr>
      <w:rFonts w:asciiTheme="minorHAnsi" w:hAnsiTheme="minorHAns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70174130">
      <w:bodyDiv w:val="1"/>
      <w:marLeft w:val="0"/>
      <w:marRight w:val="0"/>
      <w:marTop w:val="0"/>
      <w:marBottom w:val="0"/>
      <w:divBdr>
        <w:top w:val="none" w:sz="0" w:space="0" w:color="auto"/>
        <w:left w:val="none" w:sz="0" w:space="0" w:color="auto"/>
        <w:bottom w:val="none" w:sz="0" w:space="0" w:color="auto"/>
        <w:right w:val="none" w:sz="0" w:space="0" w:color="auto"/>
      </w:divBdr>
    </w:div>
    <w:div w:id="790829806">
      <w:bodyDiv w:val="1"/>
      <w:marLeft w:val="0"/>
      <w:marRight w:val="0"/>
      <w:marTop w:val="0"/>
      <w:marBottom w:val="0"/>
      <w:divBdr>
        <w:top w:val="none" w:sz="0" w:space="0" w:color="auto"/>
        <w:left w:val="none" w:sz="0" w:space="0" w:color="auto"/>
        <w:bottom w:val="none" w:sz="0" w:space="0" w:color="auto"/>
        <w:right w:val="none" w:sz="0" w:space="0" w:color="auto"/>
      </w:divBdr>
    </w:div>
    <w:div w:id="902955846">
      <w:bodyDiv w:val="1"/>
      <w:marLeft w:val="0"/>
      <w:marRight w:val="0"/>
      <w:marTop w:val="0"/>
      <w:marBottom w:val="0"/>
      <w:divBdr>
        <w:top w:val="none" w:sz="0" w:space="0" w:color="auto"/>
        <w:left w:val="none" w:sz="0" w:space="0" w:color="auto"/>
        <w:bottom w:val="none" w:sz="0" w:space="0" w:color="auto"/>
        <w:right w:val="none" w:sz="0" w:space="0" w:color="auto"/>
      </w:divBdr>
    </w:div>
    <w:div w:id="107801792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3960">
      <w:bodyDiv w:val="1"/>
      <w:marLeft w:val="0"/>
      <w:marRight w:val="0"/>
      <w:marTop w:val="0"/>
      <w:marBottom w:val="0"/>
      <w:divBdr>
        <w:top w:val="none" w:sz="0" w:space="0" w:color="auto"/>
        <w:left w:val="none" w:sz="0" w:space="0" w:color="auto"/>
        <w:bottom w:val="none" w:sz="0" w:space="0" w:color="auto"/>
        <w:right w:val="none" w:sz="0" w:space="0" w:color="auto"/>
      </w:divBdr>
    </w:div>
    <w:div w:id="1502086475">
      <w:bodyDiv w:val="1"/>
      <w:marLeft w:val="0"/>
      <w:marRight w:val="0"/>
      <w:marTop w:val="0"/>
      <w:marBottom w:val="0"/>
      <w:divBdr>
        <w:top w:val="none" w:sz="0" w:space="0" w:color="auto"/>
        <w:left w:val="none" w:sz="0" w:space="0" w:color="auto"/>
        <w:bottom w:val="none" w:sz="0" w:space="0" w:color="auto"/>
        <w:right w:val="none" w:sz="0" w:space="0" w:color="auto"/>
      </w:divBdr>
    </w:div>
    <w:div w:id="192911837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8144552">
      <w:bodyDiv w:val="1"/>
      <w:marLeft w:val="0"/>
      <w:marRight w:val="0"/>
      <w:marTop w:val="0"/>
      <w:marBottom w:val="0"/>
      <w:divBdr>
        <w:top w:val="none" w:sz="0" w:space="0" w:color="auto"/>
        <w:left w:val="none" w:sz="0" w:space="0" w:color="auto"/>
        <w:bottom w:val="none" w:sz="0" w:space="0" w:color="auto"/>
        <w:right w:val="none" w:sz="0" w:space="0" w:color="auto"/>
      </w:divBdr>
    </w:div>
    <w:div w:id="20077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0D438-AD3C-4FE4-B371-0B2EA857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12614</Words>
  <Characters>70805</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2020-06-15T12:23:00Z</dcterms:created>
  <dcterms:modified xsi:type="dcterms:W3CDTF">2020-07-03T02:16:00Z</dcterms:modified>
</cp:coreProperties>
</file>