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9531" w14:textId="261DD237" w:rsidR="00E24720" w:rsidRPr="00A1207D" w:rsidRDefault="00E24720" w:rsidP="00E24720">
      <w:pPr>
        <w:pStyle w:val="1-MainHeading"/>
      </w:pPr>
      <w:bookmarkStart w:id="0" w:name="_Toc30588510"/>
      <w:r w:rsidRPr="00A1207D">
        <w:t>5.08</w:t>
      </w:r>
      <w:r w:rsidRPr="00A1207D">
        <w:tab/>
        <w:t>BENRALIZUMAB,</w:t>
      </w:r>
      <w:r w:rsidRPr="00A1207D">
        <w:br/>
        <w:t>Injection 30 mg in 1 mL pre-filled pen,</w:t>
      </w:r>
      <w:r w:rsidRPr="00A1207D">
        <w:br/>
        <w:t>Fasenra Pen</w:t>
      </w:r>
      <w:r w:rsidRPr="00A1207D">
        <w:rPr>
          <w:rFonts w:cstheme="minorHAnsi"/>
        </w:rPr>
        <w:t>™</w:t>
      </w:r>
      <w:r w:rsidRPr="00A1207D">
        <w:t>,</w:t>
      </w:r>
      <w:r w:rsidRPr="00A1207D">
        <w:br/>
        <w:t>AstraZeneca Pty Ltd.</w:t>
      </w:r>
      <w:bookmarkEnd w:id="0"/>
    </w:p>
    <w:p w14:paraId="0596616F" w14:textId="7AABB984" w:rsidR="008A50F1" w:rsidRPr="00A1207D" w:rsidRDefault="00CE10C4" w:rsidP="00E24720">
      <w:pPr>
        <w:pStyle w:val="2Sections"/>
      </w:pPr>
      <w:r w:rsidRPr="00A1207D">
        <w:t xml:space="preserve">Purpose of </w:t>
      </w:r>
      <w:r w:rsidR="0004240E" w:rsidRPr="00A1207D">
        <w:t>Application</w:t>
      </w:r>
    </w:p>
    <w:p w14:paraId="00EA5C1D" w14:textId="2B0E6551" w:rsidR="006A12A5" w:rsidRPr="00A1207D" w:rsidRDefault="00EF44A0" w:rsidP="002712A9">
      <w:pPr>
        <w:pStyle w:val="3Bodytext"/>
      </w:pPr>
      <w:r w:rsidRPr="00A1207D">
        <w:t>The mi</w:t>
      </w:r>
      <w:r w:rsidR="00FF2801" w:rsidRPr="00A1207D">
        <w:t xml:space="preserve">nor submission </w:t>
      </w:r>
      <w:r w:rsidR="004D0E5B" w:rsidRPr="00A1207D">
        <w:t>sought a Sectio</w:t>
      </w:r>
      <w:r w:rsidR="003C7C30" w:rsidRPr="00A1207D">
        <w:t xml:space="preserve">n 100 </w:t>
      </w:r>
      <w:r w:rsidR="006E1CED" w:rsidRPr="00A1207D">
        <w:t>(</w:t>
      </w:r>
      <w:r w:rsidR="003C7C30" w:rsidRPr="00A1207D">
        <w:t>Highly Specialised Drugs P</w:t>
      </w:r>
      <w:r w:rsidR="004D0E5B" w:rsidRPr="00A1207D">
        <w:t>rogram</w:t>
      </w:r>
      <w:r w:rsidR="006E1CED" w:rsidRPr="00A1207D">
        <w:t>)</w:t>
      </w:r>
      <w:r w:rsidR="004D0E5B" w:rsidRPr="00A1207D">
        <w:t xml:space="preserve"> listing for a new </w:t>
      </w:r>
      <w:r w:rsidR="0056419C" w:rsidRPr="00A1207D">
        <w:t>presentation</w:t>
      </w:r>
      <w:r w:rsidR="004D0E5B" w:rsidRPr="00A1207D">
        <w:t xml:space="preserve"> of benralizumab</w:t>
      </w:r>
      <w:r w:rsidR="0056419C" w:rsidRPr="00A1207D">
        <w:t xml:space="preserve"> (</w:t>
      </w:r>
      <w:r w:rsidR="003F7764" w:rsidRPr="00A1207D">
        <w:rPr>
          <w:rFonts w:cstheme="minorHAnsi"/>
        </w:rPr>
        <w:t>pre-filled pen/auto-injector form;</w:t>
      </w:r>
      <w:r w:rsidR="003F7764" w:rsidRPr="00A1207D">
        <w:t xml:space="preserve"> </w:t>
      </w:r>
      <w:r w:rsidR="00FD5C29" w:rsidRPr="00A1207D">
        <w:t>Fasenra P</w:t>
      </w:r>
      <w:r w:rsidR="0056419C" w:rsidRPr="00A1207D">
        <w:t>en</w:t>
      </w:r>
      <w:r w:rsidR="00C325A2" w:rsidRPr="00A1207D">
        <w:t xml:space="preserve"> </w:t>
      </w:r>
      <w:r w:rsidR="00C325A2" w:rsidRPr="00A1207D">
        <w:rPr>
          <w:rFonts w:cstheme="minorHAnsi"/>
        </w:rPr>
        <w:t>from herein</w:t>
      </w:r>
      <w:r w:rsidR="0056419C" w:rsidRPr="00A1207D">
        <w:t>)</w:t>
      </w:r>
      <w:r w:rsidR="004D0E5B" w:rsidRPr="00A1207D">
        <w:t xml:space="preserve"> for the treatment of uncontrolled</w:t>
      </w:r>
      <w:r w:rsidR="00C13C4B" w:rsidRPr="00A1207D">
        <w:t xml:space="preserve"> severe</w:t>
      </w:r>
      <w:r w:rsidR="0004233A">
        <w:t xml:space="preserve"> eosinophilic asthma.</w:t>
      </w:r>
    </w:p>
    <w:p w14:paraId="634FF3BC" w14:textId="088262FC" w:rsidR="008F6F58" w:rsidRPr="00A1207D" w:rsidRDefault="0004233A" w:rsidP="008F6F58">
      <w:pPr>
        <w:pStyle w:val="2Sections"/>
      </w:pPr>
      <w:r>
        <w:t>Background</w:t>
      </w:r>
    </w:p>
    <w:p w14:paraId="0D465A7B" w14:textId="77777777" w:rsidR="008F6F58" w:rsidRPr="00A1207D" w:rsidRDefault="008F6F58" w:rsidP="008F6F58">
      <w:pPr>
        <w:pStyle w:val="subsubheading"/>
        <w:rPr>
          <w:sz w:val="28"/>
        </w:rPr>
      </w:pPr>
      <w:r w:rsidRPr="00A1207D">
        <w:rPr>
          <w:sz w:val="28"/>
        </w:rPr>
        <w:t xml:space="preserve">Previous PBAC consideration </w:t>
      </w:r>
    </w:p>
    <w:p w14:paraId="157F0D31" w14:textId="476484E7" w:rsidR="008F6F58" w:rsidRPr="00A1207D" w:rsidRDefault="008F6F58" w:rsidP="00736C64">
      <w:pPr>
        <w:pStyle w:val="3Bodytext"/>
      </w:pPr>
      <w:r w:rsidRPr="00A1207D">
        <w:t xml:space="preserve">Benralizumab </w:t>
      </w:r>
      <w:r w:rsidR="00A47515" w:rsidRPr="00A1207D">
        <w:t xml:space="preserve">(pre-filled syringe; Fasenra PFS from herein) </w:t>
      </w:r>
      <w:r w:rsidRPr="00A1207D">
        <w:t>was first considered by the PBAC at its March 2018 meeting</w:t>
      </w:r>
      <w:r w:rsidR="00A47515" w:rsidRPr="00A1207D">
        <w:t xml:space="preserve"> and </w:t>
      </w:r>
      <w:r w:rsidRPr="00A1207D">
        <w:t>was recommended by the PBAC on a cost-minimisation basis to mepolizumab. Fasenra PFS was PBS-listed in December 2018</w:t>
      </w:r>
      <w:r w:rsidR="00736C64" w:rsidRPr="00A1207D">
        <w:rPr>
          <w:color w:val="000000" w:themeColor="text1"/>
        </w:rPr>
        <w:t>.</w:t>
      </w:r>
    </w:p>
    <w:p w14:paraId="749BD86E" w14:textId="77777777" w:rsidR="008F6F58" w:rsidRPr="00A1207D" w:rsidRDefault="008F6F58" w:rsidP="008F6F58">
      <w:pPr>
        <w:pStyle w:val="subsubheading"/>
        <w:rPr>
          <w:sz w:val="28"/>
        </w:rPr>
      </w:pPr>
      <w:r w:rsidRPr="00A1207D">
        <w:rPr>
          <w:sz w:val="28"/>
        </w:rPr>
        <w:t>Registration status</w:t>
      </w:r>
    </w:p>
    <w:p w14:paraId="0062C809" w14:textId="083ABF23" w:rsidR="00A47515" w:rsidRPr="00A1207D" w:rsidRDefault="008F6F58" w:rsidP="008F6F58">
      <w:pPr>
        <w:pStyle w:val="3Bodytext"/>
      </w:pPr>
      <w:r w:rsidRPr="00A1207D">
        <w:t xml:space="preserve">Fasenra Pen was TGA registered on 10 December 2019 with the </w:t>
      </w:r>
      <w:r w:rsidR="0004233A">
        <w:t>same indication as Fasenra PFS.</w:t>
      </w:r>
    </w:p>
    <w:p w14:paraId="7E794BFC" w14:textId="64AE5561" w:rsidR="002F2CBD" w:rsidRPr="00A1207D" w:rsidRDefault="0014476E" w:rsidP="002F2CBD">
      <w:pPr>
        <w:pStyle w:val="3Bodytext"/>
      </w:pPr>
      <w:r w:rsidRPr="00A1207D">
        <w:t xml:space="preserve">The TGA delegate considered that exposure to both Fasenra Pen and Fasenra PFS to be the same. </w:t>
      </w:r>
      <w:r w:rsidR="008F6F58" w:rsidRPr="00A1207D">
        <w:t>The TGA Delegate noted that Fasenra PFS and pen used in the clinical studies were not identical to the products proposed for marketing in Australia, however these changes were not considered to be important in the usability or functionality of the device</w:t>
      </w:r>
      <w:r w:rsidR="00736C64" w:rsidRPr="00A1207D">
        <w:t>.</w:t>
      </w:r>
    </w:p>
    <w:p w14:paraId="3ED95143" w14:textId="77777777" w:rsidR="00736C64" w:rsidRPr="00A1207D" w:rsidRDefault="00736C64">
      <w:pPr>
        <w:rPr>
          <w:rFonts w:asciiTheme="minorHAnsi" w:hAnsiTheme="minorHAnsi" w:cs="Arial"/>
          <w:b/>
          <w:snapToGrid w:val="0"/>
          <w:sz w:val="32"/>
          <w:szCs w:val="32"/>
          <w:lang w:eastAsia="en-US"/>
        </w:rPr>
      </w:pPr>
      <w:r w:rsidRPr="00A1207D">
        <w:br w:type="page"/>
      </w:r>
    </w:p>
    <w:p w14:paraId="40525652" w14:textId="7BFD48A8" w:rsidR="006A12A5" w:rsidRPr="00A1207D" w:rsidRDefault="006A12A5" w:rsidP="0033263D">
      <w:pPr>
        <w:pStyle w:val="2Sections"/>
      </w:pPr>
      <w:r w:rsidRPr="00A1207D">
        <w:lastRenderedPageBreak/>
        <w:t>Requested listing</w:t>
      </w:r>
    </w:p>
    <w:p w14:paraId="69F049E1" w14:textId="4C378D2E" w:rsidR="004F572C" w:rsidRPr="00A1207D" w:rsidRDefault="00EF44A0" w:rsidP="00533719">
      <w:pPr>
        <w:pStyle w:val="3Bodytext"/>
      </w:pPr>
      <w:r w:rsidRPr="00A1207D">
        <w:t>The submission</w:t>
      </w:r>
      <w:r w:rsidR="0050500C" w:rsidRPr="00A1207D">
        <w:t xml:space="preserve"> requested the listing of </w:t>
      </w:r>
      <w:r w:rsidR="00FD5C29" w:rsidRPr="00A1207D">
        <w:t>Fasenra Pen</w:t>
      </w:r>
      <w:r w:rsidR="003F7764" w:rsidRPr="00A1207D">
        <w:t xml:space="preserve"> </w:t>
      </w:r>
      <w:r w:rsidR="0050500C" w:rsidRPr="00A1207D">
        <w:t>under the same conditions as the current</w:t>
      </w:r>
      <w:r w:rsidR="00EF0232" w:rsidRPr="00A1207D">
        <w:t>ly</w:t>
      </w:r>
      <w:r w:rsidR="0050500C" w:rsidRPr="00A1207D">
        <w:t xml:space="preserve"> PBS-listed</w:t>
      </w:r>
      <w:r w:rsidR="00EF0232" w:rsidRPr="00A1207D">
        <w:t xml:space="preserve"> </w:t>
      </w:r>
      <w:r w:rsidR="00FD5C29" w:rsidRPr="00A1207D">
        <w:t xml:space="preserve">Fasenra </w:t>
      </w:r>
      <w:r w:rsidR="00E37884" w:rsidRPr="00A1207D">
        <w:t>PFS</w:t>
      </w:r>
      <w:r w:rsidR="0004233A">
        <w:t>.</w:t>
      </w:r>
    </w:p>
    <w:p w14:paraId="6F355440" w14:textId="4506CF94" w:rsidR="001643F5" w:rsidRPr="00A1207D" w:rsidRDefault="001643F5" w:rsidP="00723314">
      <w:pPr>
        <w:pStyle w:val="Bodytextitalics"/>
        <w:rPr>
          <w:i w:val="0"/>
        </w:rPr>
      </w:pPr>
      <w:r w:rsidRPr="00A1207D">
        <w:rPr>
          <w:i w:val="0"/>
        </w:rPr>
        <w:t xml:space="preserve">The pre-PBAC </w:t>
      </w:r>
      <w:r w:rsidR="00AA75FD" w:rsidRPr="00A1207D">
        <w:rPr>
          <w:i w:val="0"/>
        </w:rPr>
        <w:t>response noted</w:t>
      </w:r>
      <w:r w:rsidR="00723314" w:rsidRPr="00A1207D">
        <w:rPr>
          <w:i w:val="0"/>
        </w:rPr>
        <w:t xml:space="preserve"> the</w:t>
      </w:r>
      <w:r w:rsidRPr="00A1207D">
        <w:rPr>
          <w:i w:val="0"/>
        </w:rPr>
        <w:t xml:space="preserve"> </w:t>
      </w:r>
      <w:r w:rsidR="00723314" w:rsidRPr="00A1207D">
        <w:rPr>
          <w:i w:val="0"/>
        </w:rPr>
        <w:t>PBAC’s long-standing position to not recommend pharmacy-level substitution</w:t>
      </w:r>
      <w:r w:rsidR="00736C64" w:rsidRPr="00A1207D">
        <w:rPr>
          <w:i w:val="0"/>
        </w:rPr>
        <w:t xml:space="preserve"> (‘a’-flagging)</w:t>
      </w:r>
      <w:r w:rsidR="00723314" w:rsidRPr="00A1207D">
        <w:rPr>
          <w:i w:val="0"/>
        </w:rPr>
        <w:t xml:space="preserve"> for devices with different injecting techniques</w:t>
      </w:r>
      <w:r w:rsidR="00736C64" w:rsidRPr="00A1207D">
        <w:rPr>
          <w:i w:val="0"/>
        </w:rPr>
        <w:t>.</w:t>
      </w:r>
      <w:r w:rsidR="00723314" w:rsidRPr="00A1207D">
        <w:rPr>
          <w:i w:val="0"/>
        </w:rPr>
        <w:t xml:space="preserve"> </w:t>
      </w:r>
      <w:r w:rsidR="003C540A" w:rsidRPr="00A1207D">
        <w:rPr>
          <w:i w:val="0"/>
        </w:rPr>
        <w:t>However, t</w:t>
      </w:r>
      <w:r w:rsidRPr="00A1207D">
        <w:rPr>
          <w:i w:val="0"/>
        </w:rPr>
        <w:t xml:space="preserve">he </w:t>
      </w:r>
      <w:r w:rsidR="003C540A" w:rsidRPr="00A1207D">
        <w:rPr>
          <w:i w:val="0"/>
        </w:rPr>
        <w:t xml:space="preserve">pre-PBAC response noted that the sponsor </w:t>
      </w:r>
      <w:r w:rsidRPr="00A1207D">
        <w:rPr>
          <w:i w:val="0"/>
        </w:rPr>
        <w:t>was developing processes to manage concerns about patient education on the correct use of the two different devices to help patients move from Fasenra PFS to Fasenra Pen</w:t>
      </w:r>
      <w:r w:rsidR="003C540A" w:rsidRPr="00A1207D">
        <w:rPr>
          <w:i w:val="0"/>
        </w:rPr>
        <w:t xml:space="preserve"> if pharmacy-level substitution was recommended</w:t>
      </w:r>
      <w:r w:rsidRPr="00A1207D">
        <w:rPr>
          <w:i w:val="0"/>
        </w:rPr>
        <w:t>.</w:t>
      </w:r>
    </w:p>
    <w:p w14:paraId="6B79AE55" w14:textId="3AD3EC03" w:rsidR="00E25F7B" w:rsidRPr="00A1207D" w:rsidRDefault="00E25F7B" w:rsidP="00E25F7B">
      <w:pPr>
        <w:pStyle w:val="Bodytextitalics"/>
        <w:numPr>
          <w:ilvl w:val="0"/>
          <w:numId w:val="0"/>
        </w:numPr>
        <w:ind w:left="720"/>
        <w:rPr>
          <w:rFonts w:cs="Arial"/>
          <w:b/>
          <w:i w:val="0"/>
          <w:snapToGrid w:val="0"/>
          <w:sz w:val="32"/>
          <w:szCs w:val="32"/>
          <w:lang w:eastAsia="en-US"/>
        </w:rPr>
      </w:pPr>
      <w:r w:rsidRPr="00A1207D">
        <w:t xml:space="preserve">For more detail on PBAC’s view, see section </w:t>
      </w:r>
      <w:r w:rsidR="00736C64" w:rsidRPr="00A1207D">
        <w:t>5</w:t>
      </w:r>
      <w:r w:rsidRPr="00A1207D">
        <w:t xml:space="preserve"> PBAC outcome.</w:t>
      </w:r>
    </w:p>
    <w:p w14:paraId="186D2001" w14:textId="3B38C31B" w:rsidR="000B558D" w:rsidRPr="00A1207D" w:rsidRDefault="008D7A41" w:rsidP="00656C5E">
      <w:pPr>
        <w:pStyle w:val="Heading1"/>
        <w:keepNext/>
        <w:keepLines/>
        <w:widowControl/>
        <w:numPr>
          <w:ilvl w:val="0"/>
          <w:numId w:val="2"/>
        </w:numPr>
        <w:spacing w:before="240" w:after="120"/>
        <w:ind w:left="709" w:hanging="709"/>
        <w:contextualSpacing w:val="0"/>
        <w:jc w:val="left"/>
        <w:rPr>
          <w:rFonts w:asciiTheme="minorHAnsi" w:hAnsiTheme="minorHAnsi"/>
          <w:sz w:val="32"/>
          <w:szCs w:val="32"/>
        </w:rPr>
      </w:pPr>
      <w:r w:rsidRPr="00A1207D">
        <w:rPr>
          <w:rFonts w:asciiTheme="minorHAnsi" w:hAnsiTheme="minorHAnsi"/>
          <w:sz w:val="32"/>
          <w:szCs w:val="32"/>
        </w:rPr>
        <w:t>C</w:t>
      </w:r>
      <w:r w:rsidR="00D84934" w:rsidRPr="00A1207D">
        <w:rPr>
          <w:rFonts w:asciiTheme="minorHAnsi" w:hAnsiTheme="minorHAnsi"/>
          <w:sz w:val="32"/>
          <w:szCs w:val="32"/>
        </w:rPr>
        <w:t>onsideration of the evidence</w:t>
      </w:r>
    </w:p>
    <w:p w14:paraId="07A7A13C" w14:textId="77777777" w:rsidR="00E25F7B" w:rsidRPr="00A1207D" w:rsidRDefault="00E25F7B" w:rsidP="00E25F7B">
      <w:pPr>
        <w:pStyle w:val="Heading2"/>
        <w:rPr>
          <w:snapToGrid w:val="0"/>
        </w:rPr>
      </w:pPr>
      <w:r w:rsidRPr="00A1207D">
        <w:rPr>
          <w:snapToGrid w:val="0"/>
        </w:rPr>
        <w:t>Sponsor hearing</w:t>
      </w:r>
    </w:p>
    <w:p w14:paraId="36EF2E08" w14:textId="5399BB5A" w:rsidR="00E25F7B" w:rsidRPr="00A1207D" w:rsidRDefault="00E25F7B" w:rsidP="00E25F7B">
      <w:pPr>
        <w:pStyle w:val="3Bodytext"/>
        <w:rPr>
          <w:snapToGrid w:val="0"/>
        </w:rPr>
      </w:pPr>
      <w:r w:rsidRPr="00A1207D">
        <w:rPr>
          <w:snapToGrid w:val="0"/>
        </w:rPr>
        <w:t>There was no hearing for this item as it was a minor submission.</w:t>
      </w:r>
    </w:p>
    <w:p w14:paraId="10C5C2D3" w14:textId="77777777" w:rsidR="00E25F7B" w:rsidRPr="00A1207D" w:rsidRDefault="00E25F7B" w:rsidP="00E25F7B">
      <w:pPr>
        <w:pStyle w:val="Heading2"/>
        <w:rPr>
          <w:snapToGrid w:val="0"/>
        </w:rPr>
      </w:pPr>
      <w:r w:rsidRPr="00A1207D">
        <w:rPr>
          <w:snapToGrid w:val="0"/>
        </w:rPr>
        <w:t>Consumer comments</w:t>
      </w:r>
    </w:p>
    <w:p w14:paraId="0DCFCAEF" w14:textId="53B4DE4C" w:rsidR="00E25F7B" w:rsidRPr="00A1207D" w:rsidRDefault="00E25F7B" w:rsidP="00E25F7B">
      <w:pPr>
        <w:pStyle w:val="3Bodytext"/>
        <w:rPr>
          <w:snapToGrid w:val="0"/>
        </w:rPr>
      </w:pPr>
      <w:r w:rsidRPr="00A1207D">
        <w:rPr>
          <w:snapToGrid w:val="0"/>
        </w:rPr>
        <w:t xml:space="preserve">The PBAC noted and welcomed the input from </w:t>
      </w:r>
      <w:r w:rsidR="00B62ACD" w:rsidRPr="00A1207D">
        <w:rPr>
          <w:snapToGrid w:val="0"/>
        </w:rPr>
        <w:t>1 organisation</w:t>
      </w:r>
      <w:r w:rsidRPr="00A1207D">
        <w:rPr>
          <w:snapToGrid w:val="0"/>
        </w:rPr>
        <w:t xml:space="preserve"> via the Consumer Comments facility on the PBS website. </w:t>
      </w:r>
      <w:r w:rsidR="00504553" w:rsidRPr="00A1207D">
        <w:rPr>
          <w:snapToGrid w:val="0"/>
        </w:rPr>
        <w:t xml:space="preserve">Asthma Australia provided </w:t>
      </w:r>
      <w:r w:rsidR="007319AD" w:rsidRPr="00A1207D">
        <w:rPr>
          <w:snapToGrid w:val="0"/>
        </w:rPr>
        <w:t>comments, which described a range</w:t>
      </w:r>
      <w:r w:rsidR="00B07FFB" w:rsidRPr="00A1207D">
        <w:rPr>
          <w:snapToGrid w:val="0"/>
        </w:rPr>
        <w:t xml:space="preserve"> of benefits of having the new p</w:t>
      </w:r>
      <w:r w:rsidR="007319AD" w:rsidRPr="00A1207D">
        <w:rPr>
          <w:snapToGrid w:val="0"/>
        </w:rPr>
        <w:t xml:space="preserve">en form available including </w:t>
      </w:r>
      <w:r w:rsidR="00736C64" w:rsidRPr="00A1207D">
        <w:rPr>
          <w:snapToGrid w:val="0"/>
        </w:rPr>
        <w:t>increasing</w:t>
      </w:r>
      <w:r w:rsidR="00444709" w:rsidRPr="00A1207D">
        <w:rPr>
          <w:snapToGrid w:val="0"/>
        </w:rPr>
        <w:t xml:space="preserve"> </w:t>
      </w:r>
      <w:r w:rsidR="00736C64" w:rsidRPr="00A1207D">
        <w:rPr>
          <w:snapToGrid w:val="0"/>
        </w:rPr>
        <w:t>patient choice</w:t>
      </w:r>
      <w:r w:rsidR="00444709" w:rsidRPr="00A1207D">
        <w:rPr>
          <w:snapToGrid w:val="0"/>
        </w:rPr>
        <w:t xml:space="preserve"> between delivery device</w:t>
      </w:r>
      <w:r w:rsidR="00736C64" w:rsidRPr="00A1207D">
        <w:rPr>
          <w:snapToGrid w:val="0"/>
        </w:rPr>
        <w:t>,</w:t>
      </w:r>
      <w:r w:rsidR="00444709" w:rsidRPr="00A1207D">
        <w:rPr>
          <w:snapToGrid w:val="0"/>
        </w:rPr>
        <w:t xml:space="preserve"> </w:t>
      </w:r>
      <w:r w:rsidR="00147793" w:rsidRPr="00A1207D">
        <w:rPr>
          <w:snapToGrid w:val="0"/>
        </w:rPr>
        <w:t>and</w:t>
      </w:r>
      <w:r w:rsidR="00736C64" w:rsidRPr="00A1207D">
        <w:rPr>
          <w:snapToGrid w:val="0"/>
        </w:rPr>
        <w:t xml:space="preserve"> the ease of use of an injection pen </w:t>
      </w:r>
      <w:r w:rsidR="00504553" w:rsidRPr="00A1207D">
        <w:rPr>
          <w:snapToGrid w:val="0"/>
        </w:rPr>
        <w:t>compared to the PFS form</w:t>
      </w:r>
      <w:r w:rsidR="0004233A">
        <w:rPr>
          <w:snapToGrid w:val="0"/>
        </w:rPr>
        <w:t>.</w:t>
      </w:r>
    </w:p>
    <w:p w14:paraId="54ABC645" w14:textId="626DCEA3" w:rsidR="00693DFB" w:rsidRPr="00A1207D" w:rsidRDefault="00D84934" w:rsidP="0023528B">
      <w:pPr>
        <w:pStyle w:val="Heading2"/>
      </w:pPr>
      <w:r w:rsidRPr="00A1207D">
        <w:t>Clinical trials</w:t>
      </w:r>
      <w:r w:rsidR="0099465B" w:rsidRPr="00A1207D">
        <w:t xml:space="preserve"> </w:t>
      </w:r>
    </w:p>
    <w:p w14:paraId="0DC48F8F" w14:textId="24FB5078" w:rsidR="0076420C" w:rsidRPr="00A1207D" w:rsidRDefault="00980B0E" w:rsidP="0023528B">
      <w:pPr>
        <w:pStyle w:val="3Bodytext"/>
      </w:pPr>
      <w:r w:rsidRPr="00A1207D">
        <w:t xml:space="preserve">The minor submission </w:t>
      </w:r>
      <w:r w:rsidR="00545D3A" w:rsidRPr="00A1207D">
        <w:t>presented</w:t>
      </w:r>
      <w:r w:rsidRPr="00A1207D">
        <w:t xml:space="preserve"> </w:t>
      </w:r>
      <w:r w:rsidR="00545D3A" w:rsidRPr="00A1207D">
        <w:t>one head-to-head study (AMES</w:t>
      </w:r>
      <w:r w:rsidR="009A06FB" w:rsidRPr="00A1207D">
        <w:t xml:space="preserve"> Clinical Study Report (CSR)</w:t>
      </w:r>
      <w:r w:rsidR="00545D3A" w:rsidRPr="00A1207D">
        <w:t xml:space="preserve">) comparing the delivery of </w:t>
      </w:r>
      <w:r w:rsidR="00A87FEF" w:rsidRPr="00A1207D">
        <w:t>Fasenra Pen</w:t>
      </w:r>
      <w:r w:rsidR="00C30C39" w:rsidRPr="00A1207D">
        <w:t xml:space="preserve"> and PFS</w:t>
      </w:r>
      <w:r w:rsidR="0004233A">
        <w:t>.</w:t>
      </w:r>
    </w:p>
    <w:p w14:paraId="1FF9E103" w14:textId="58BDAEBC" w:rsidR="00B530C9" w:rsidRPr="00A1207D" w:rsidRDefault="00545D3A" w:rsidP="001D11B3">
      <w:pPr>
        <w:pStyle w:val="3Bodytext"/>
      </w:pPr>
      <w:r w:rsidRPr="00A1207D">
        <w:t>AMES was a multicentre, randomised, 8-week</w:t>
      </w:r>
      <w:r w:rsidR="00750D75" w:rsidRPr="00A1207D">
        <w:t>,</w:t>
      </w:r>
      <w:r w:rsidRPr="00A1207D">
        <w:t xml:space="preserve"> open-label, parallel group, Phase 1 study measuring the exposure</w:t>
      </w:r>
      <w:r w:rsidR="00343522" w:rsidRPr="00A1207D">
        <w:t xml:space="preserve"> of </w:t>
      </w:r>
      <w:r w:rsidR="00A87FEF" w:rsidRPr="00A1207D">
        <w:t>Fasenra Pen</w:t>
      </w:r>
      <w:r w:rsidR="00750D75" w:rsidRPr="00A1207D">
        <w:t xml:space="preserve"> and PFS</w:t>
      </w:r>
      <w:r w:rsidR="00343522" w:rsidRPr="00A1207D">
        <w:t xml:space="preserve"> </w:t>
      </w:r>
      <w:r w:rsidRPr="00A1207D">
        <w:t xml:space="preserve">in </w:t>
      </w:r>
      <w:r w:rsidR="00C13C4B" w:rsidRPr="00A1207D">
        <w:t xml:space="preserve">180 </w:t>
      </w:r>
      <w:r w:rsidRPr="00A1207D">
        <w:t xml:space="preserve">healthy patients. </w:t>
      </w:r>
      <w:r w:rsidR="00343522" w:rsidRPr="00A1207D">
        <w:t xml:space="preserve">The </w:t>
      </w:r>
      <w:r w:rsidR="00304077" w:rsidRPr="00A1207D">
        <w:t>study’s</w:t>
      </w:r>
      <w:r w:rsidR="001D11B3" w:rsidRPr="00A1207D">
        <w:t xml:space="preserve"> </w:t>
      </w:r>
      <w:r w:rsidR="00343522" w:rsidRPr="00A1207D">
        <w:t xml:space="preserve">primary objective was to compare the </w:t>
      </w:r>
      <w:r w:rsidR="00750D75" w:rsidRPr="00A1207D">
        <w:t>pharmacokinetic</w:t>
      </w:r>
      <w:r w:rsidR="00343522" w:rsidRPr="00A1207D">
        <w:t xml:space="preserve"> (PK) effects between the </w:t>
      </w:r>
      <w:r w:rsidR="00750D75" w:rsidRPr="00A1207D">
        <w:t>two presentations</w:t>
      </w:r>
      <w:r w:rsidR="00343522" w:rsidRPr="00A1207D">
        <w:t xml:space="preserve">. The secondary objectives </w:t>
      </w:r>
      <w:r w:rsidR="001D11B3" w:rsidRPr="00A1207D">
        <w:t xml:space="preserve">of the study </w:t>
      </w:r>
      <w:r w:rsidR="00B530C9" w:rsidRPr="00A1207D">
        <w:t xml:space="preserve">also </w:t>
      </w:r>
      <w:r w:rsidR="00343522" w:rsidRPr="00A1207D">
        <w:t>included</w:t>
      </w:r>
      <w:r w:rsidR="001D11B3" w:rsidRPr="00A1207D">
        <w:t xml:space="preserve"> measuring the PK effects in different injection sites and in patients with different</w:t>
      </w:r>
      <w:r w:rsidR="003E516D" w:rsidRPr="00A1207D">
        <w:t xml:space="preserve"> body weights;</w:t>
      </w:r>
      <w:r w:rsidR="001D11B3" w:rsidRPr="00A1207D">
        <w:t xml:space="preserve"> and evaluating the safety, tolerability and immunogenicity.</w:t>
      </w:r>
    </w:p>
    <w:p w14:paraId="005376FB" w14:textId="37DA57B7" w:rsidR="00545D3A" w:rsidRPr="00A1207D" w:rsidDel="00AE0372" w:rsidRDefault="001D11B3" w:rsidP="0023528B">
      <w:pPr>
        <w:pStyle w:val="3Bodytext"/>
      </w:pPr>
      <w:r w:rsidRPr="00A1207D" w:rsidDel="00AE0372">
        <w:t>The minor submission presented n</w:t>
      </w:r>
      <w:r w:rsidR="008D3316" w:rsidRPr="00A1207D" w:rsidDel="00AE0372">
        <w:t>o bio</w:t>
      </w:r>
      <w:r w:rsidR="00545D3A" w:rsidRPr="00A1207D" w:rsidDel="00AE0372">
        <w:t xml:space="preserve">equivalence studies </w:t>
      </w:r>
      <w:r w:rsidRPr="00A1207D" w:rsidDel="00AE0372">
        <w:t>comparing</w:t>
      </w:r>
      <w:r w:rsidR="00750D75" w:rsidRPr="00A1207D" w:rsidDel="00AE0372">
        <w:t xml:space="preserve"> </w:t>
      </w:r>
      <w:r w:rsidR="00A87FEF" w:rsidRPr="00A1207D" w:rsidDel="00AE0372">
        <w:t>Fasenra Pen</w:t>
      </w:r>
      <w:r w:rsidR="00750D75" w:rsidRPr="00A1207D" w:rsidDel="00AE0372">
        <w:t xml:space="preserve"> and PFS</w:t>
      </w:r>
      <w:r w:rsidR="007B0794" w:rsidRPr="00A1207D" w:rsidDel="00AE0372">
        <w:t>. The submission noted that</w:t>
      </w:r>
      <w:r w:rsidR="008576EA" w:rsidRPr="00A1207D" w:rsidDel="00AE0372">
        <w:t xml:space="preserve"> although the pen and PFS were different devices, both </w:t>
      </w:r>
      <w:r w:rsidRPr="00A1207D" w:rsidDel="00AE0372">
        <w:t>contain the same biological medicine</w:t>
      </w:r>
      <w:r w:rsidR="00997E51" w:rsidRPr="00A1207D" w:rsidDel="00AE0372">
        <w:t xml:space="preserve"> and therefore</w:t>
      </w:r>
      <w:r w:rsidRPr="00A1207D" w:rsidDel="00AE0372">
        <w:t xml:space="preserve"> a bioequivalence study </w:t>
      </w:r>
      <w:r w:rsidR="00545D3A" w:rsidRPr="00A1207D" w:rsidDel="00AE0372">
        <w:t>was not a re</w:t>
      </w:r>
      <w:r w:rsidR="0004233A">
        <w:t>quirement for TGA registration.</w:t>
      </w:r>
    </w:p>
    <w:p w14:paraId="3970C6FD" w14:textId="55313F1E" w:rsidR="005A3173" w:rsidRPr="00A1207D" w:rsidRDefault="007F0021" w:rsidP="0023528B">
      <w:pPr>
        <w:pStyle w:val="Heading2"/>
      </w:pPr>
      <w:r w:rsidRPr="00A1207D">
        <w:t xml:space="preserve">Comparative </w:t>
      </w:r>
      <w:r w:rsidR="005A3173" w:rsidRPr="00A1207D">
        <w:t>effectiveness</w:t>
      </w:r>
    </w:p>
    <w:p w14:paraId="06DB12ED" w14:textId="6F54F916" w:rsidR="001718AE" w:rsidRPr="00A1207D" w:rsidRDefault="002D2587" w:rsidP="00656C5E">
      <w:pPr>
        <w:pStyle w:val="3Bodytext"/>
      </w:pPr>
      <w:r w:rsidRPr="00A1207D">
        <w:t>The results of the AMES study</w:t>
      </w:r>
      <w:r w:rsidR="005C5490">
        <w:t xml:space="preserve"> </w:t>
      </w:r>
      <w:r w:rsidRPr="00A1207D">
        <w:t xml:space="preserve">demonstrated that the PK measurements </w:t>
      </w:r>
      <w:r w:rsidR="00343522" w:rsidRPr="00A1207D">
        <w:t xml:space="preserve">following injection of either </w:t>
      </w:r>
      <w:r w:rsidR="00A87FEF" w:rsidRPr="00A1207D">
        <w:t>Fasenra Pen</w:t>
      </w:r>
      <w:r w:rsidR="00750D75" w:rsidRPr="00A1207D">
        <w:t xml:space="preserve"> or PFS</w:t>
      </w:r>
      <w:r w:rsidR="00343522" w:rsidRPr="00A1207D">
        <w:t xml:space="preserve">, </w:t>
      </w:r>
      <w:r w:rsidRPr="00A1207D">
        <w:t xml:space="preserve">were within the </w:t>
      </w:r>
      <w:r w:rsidR="00343522" w:rsidRPr="00A1207D">
        <w:t xml:space="preserve">acceptable reference </w:t>
      </w:r>
      <w:r w:rsidRPr="00A1207D">
        <w:t>range</w:t>
      </w:r>
      <w:r w:rsidR="003E4F94" w:rsidRPr="00A1207D">
        <w:t>s</w:t>
      </w:r>
      <w:r w:rsidR="00D2799D" w:rsidRPr="00A1207D">
        <w:t xml:space="preserve">. </w:t>
      </w:r>
      <w:r w:rsidR="00D2799D" w:rsidRPr="00A1207D">
        <w:lastRenderedPageBreak/>
        <w:t xml:space="preserve">Therefore, </w:t>
      </w:r>
      <w:r w:rsidR="00B530C9" w:rsidRPr="00A1207D">
        <w:t>the primary objectives of the study</w:t>
      </w:r>
      <w:r w:rsidR="00DD368B" w:rsidRPr="00A1207D">
        <w:t xml:space="preserve"> </w:t>
      </w:r>
      <w:r w:rsidR="009A06FB" w:rsidRPr="00A1207D">
        <w:t xml:space="preserve">to find comparability between the presentations </w:t>
      </w:r>
      <w:r w:rsidR="00B530C9" w:rsidRPr="00A1207D">
        <w:t>were met</w:t>
      </w:r>
      <w:r w:rsidR="003E4F94" w:rsidRPr="00A1207D">
        <w:t>:</w:t>
      </w:r>
      <w:r w:rsidR="00343522" w:rsidRPr="00A1207D">
        <w:t xml:space="preserve"> </w:t>
      </w:r>
    </w:p>
    <w:p w14:paraId="5E2217B4" w14:textId="0AECBBB2" w:rsidR="003E4F94" w:rsidRPr="00A1207D" w:rsidRDefault="003E4F94" w:rsidP="003E4F94">
      <w:pPr>
        <w:pStyle w:val="Bulletpoints"/>
      </w:pPr>
      <w:r w:rsidRPr="00A1207D">
        <w:rPr>
          <w:rFonts w:cs="Cambria"/>
          <w:lang w:eastAsia="en-US"/>
        </w:rPr>
        <w:t>Geometric mean ratios (pen/PFS) for AUC</w:t>
      </w:r>
      <w:r w:rsidRPr="00A1207D">
        <w:rPr>
          <w:rFonts w:cs="Cambria"/>
          <w:vertAlign w:val="subscript"/>
          <w:lang w:eastAsia="en-US"/>
        </w:rPr>
        <w:t>last</w:t>
      </w:r>
      <w:r w:rsidRPr="00A1207D">
        <w:rPr>
          <w:rFonts w:cs="Cambria"/>
          <w:lang w:eastAsia="en-US"/>
        </w:rPr>
        <w:t>, AUC</w:t>
      </w:r>
      <w:r w:rsidRPr="00A1207D">
        <w:rPr>
          <w:rFonts w:cs="Cambria"/>
          <w:vertAlign w:val="subscript"/>
          <w:lang w:eastAsia="en-US"/>
        </w:rPr>
        <w:t>inf</w:t>
      </w:r>
      <w:r w:rsidRPr="00A1207D">
        <w:rPr>
          <w:rFonts w:cs="Cambria"/>
          <w:lang w:eastAsia="en-US"/>
        </w:rPr>
        <w:t>, and C</w:t>
      </w:r>
      <w:r w:rsidRPr="00A1207D">
        <w:rPr>
          <w:rFonts w:cs="Cambria"/>
          <w:vertAlign w:val="subscript"/>
          <w:lang w:eastAsia="en-US"/>
        </w:rPr>
        <w:t>max</w:t>
      </w:r>
      <w:r w:rsidRPr="00A1207D">
        <w:rPr>
          <w:rFonts w:cs="Cambria"/>
          <w:lang w:eastAsia="en-US"/>
        </w:rPr>
        <w:t xml:space="preserve"> were 92.83%, 94.46%, and 92.34% respectively. </w:t>
      </w:r>
    </w:p>
    <w:p w14:paraId="71149FF6" w14:textId="2A3E3649" w:rsidR="00750D75" w:rsidRPr="00A1207D" w:rsidRDefault="003E4F94" w:rsidP="00750D75">
      <w:pPr>
        <w:pStyle w:val="Bulletpoints"/>
      </w:pPr>
      <w:r w:rsidRPr="00A1207D">
        <w:rPr>
          <w:rFonts w:cs="Cambria"/>
          <w:lang w:eastAsia="en-US"/>
        </w:rPr>
        <w:t xml:space="preserve">The 90% </w:t>
      </w:r>
      <w:r w:rsidR="00736C64" w:rsidRPr="00A1207D">
        <w:rPr>
          <w:rFonts w:cs="Cambria"/>
          <w:lang w:eastAsia="en-US"/>
        </w:rPr>
        <w:t>confidence intervals</w:t>
      </w:r>
      <w:r w:rsidRPr="00A1207D">
        <w:rPr>
          <w:rFonts w:cs="Cambria"/>
          <w:lang w:eastAsia="en-US"/>
        </w:rPr>
        <w:t xml:space="preserve"> for all three parameters were within the 80-125% range</w:t>
      </w:r>
      <w:r w:rsidR="005B4539" w:rsidRPr="00A1207D">
        <w:rPr>
          <w:rFonts w:cs="Cambria"/>
          <w:lang w:eastAsia="en-US"/>
        </w:rPr>
        <w:t xml:space="preserve"> determined for claiming equivalence</w:t>
      </w:r>
      <w:r w:rsidRPr="00A1207D">
        <w:rPr>
          <w:rFonts w:cs="Cambria"/>
          <w:lang w:eastAsia="en-US"/>
        </w:rPr>
        <w:t xml:space="preserve">. </w:t>
      </w:r>
    </w:p>
    <w:p w14:paraId="4F4AD322" w14:textId="6A4DDFBF" w:rsidR="005A3173" w:rsidRPr="00A1207D" w:rsidRDefault="007F0021" w:rsidP="0023528B">
      <w:pPr>
        <w:pStyle w:val="Heading2"/>
      </w:pPr>
      <w:r w:rsidRPr="00A1207D">
        <w:t xml:space="preserve">Comparative </w:t>
      </w:r>
      <w:r w:rsidR="005A3173" w:rsidRPr="00A1207D">
        <w:t>harms</w:t>
      </w:r>
    </w:p>
    <w:p w14:paraId="3B193E0D" w14:textId="345637A2" w:rsidR="00B530C9" w:rsidRPr="00A1207D" w:rsidRDefault="00B530C9" w:rsidP="009E4B6C">
      <w:pPr>
        <w:pStyle w:val="3Bodytext"/>
        <w:rPr>
          <w:lang w:eastAsia="en-US"/>
        </w:rPr>
      </w:pPr>
      <w:r w:rsidRPr="00A1207D">
        <w:rPr>
          <w:lang w:eastAsia="en-US"/>
        </w:rPr>
        <w:t xml:space="preserve">The AMES study recorded that 96 </w:t>
      </w:r>
      <w:r w:rsidR="001718AE" w:rsidRPr="00A1207D">
        <w:rPr>
          <w:lang w:eastAsia="en-US"/>
        </w:rPr>
        <w:t>patients</w:t>
      </w:r>
      <w:r w:rsidRPr="00A1207D">
        <w:rPr>
          <w:lang w:eastAsia="en-US"/>
        </w:rPr>
        <w:t xml:space="preserve"> rep</w:t>
      </w:r>
      <w:r w:rsidR="006447B4" w:rsidRPr="00A1207D">
        <w:rPr>
          <w:lang w:eastAsia="en-US"/>
        </w:rPr>
        <w:t>orted at least 1 adverse event (</w:t>
      </w:r>
      <w:r w:rsidRPr="00A1207D">
        <w:rPr>
          <w:lang w:eastAsia="en-US"/>
        </w:rPr>
        <w:t xml:space="preserve">53.3% of the </w:t>
      </w:r>
      <w:r w:rsidR="001718AE" w:rsidRPr="00A1207D">
        <w:rPr>
          <w:lang w:eastAsia="en-US"/>
        </w:rPr>
        <w:t xml:space="preserve">whole </w:t>
      </w:r>
      <w:r w:rsidRPr="00A1207D">
        <w:rPr>
          <w:lang w:eastAsia="en-US"/>
        </w:rPr>
        <w:t>cohort)</w:t>
      </w:r>
      <w:r w:rsidR="00736C64" w:rsidRPr="00A1207D">
        <w:rPr>
          <w:lang w:eastAsia="en-US"/>
        </w:rPr>
        <w:t>. Th</w:t>
      </w:r>
      <w:r w:rsidR="006447B4" w:rsidRPr="00A1207D">
        <w:rPr>
          <w:lang w:eastAsia="en-US"/>
        </w:rPr>
        <w:t>e most commonly reported</w:t>
      </w:r>
      <w:r w:rsidR="00736C64" w:rsidRPr="00A1207D">
        <w:rPr>
          <w:lang w:eastAsia="en-US"/>
        </w:rPr>
        <w:t xml:space="preserve"> adverse event</w:t>
      </w:r>
      <w:r w:rsidR="006447B4" w:rsidRPr="00A1207D">
        <w:rPr>
          <w:lang w:eastAsia="en-US"/>
        </w:rPr>
        <w:t xml:space="preserve"> included </w:t>
      </w:r>
      <w:r w:rsidR="00853CE5" w:rsidRPr="00A1207D">
        <w:rPr>
          <w:lang w:eastAsia="en-US"/>
        </w:rPr>
        <w:t>nasopharyngitis, headache and oropharyngeal pain</w:t>
      </w:r>
      <w:r w:rsidRPr="00A1207D">
        <w:rPr>
          <w:lang w:eastAsia="en-US"/>
        </w:rPr>
        <w:t xml:space="preserve">. The number of adverse events </w:t>
      </w:r>
      <w:r w:rsidR="00694411" w:rsidRPr="00A1207D">
        <w:rPr>
          <w:lang w:eastAsia="en-US"/>
        </w:rPr>
        <w:t xml:space="preserve">were similar </w:t>
      </w:r>
      <w:r w:rsidRPr="00A1207D">
        <w:rPr>
          <w:lang w:eastAsia="en-US"/>
        </w:rPr>
        <w:t>between the PFS (51.1%) and pen (55.6%).</w:t>
      </w:r>
      <w:r w:rsidR="003E4F94" w:rsidRPr="00A1207D">
        <w:rPr>
          <w:lang w:eastAsia="en-US"/>
        </w:rPr>
        <w:t xml:space="preserve"> There were no deaths, serious adverse events, or new safety findings recorded in the study.</w:t>
      </w:r>
      <w:r w:rsidRPr="00A1207D">
        <w:rPr>
          <w:lang w:eastAsia="en-US"/>
        </w:rPr>
        <w:t xml:space="preserve"> </w:t>
      </w:r>
      <w:r w:rsidR="00C95D3A" w:rsidRPr="00A1207D">
        <w:rPr>
          <w:lang w:eastAsia="en-US"/>
        </w:rPr>
        <w:t>It was noted</w:t>
      </w:r>
      <w:r w:rsidR="00DD5849" w:rsidRPr="00A1207D">
        <w:rPr>
          <w:lang w:eastAsia="en-US"/>
        </w:rPr>
        <w:t xml:space="preserve"> in the CSR</w:t>
      </w:r>
      <w:r w:rsidR="00C95D3A" w:rsidRPr="00A1207D">
        <w:rPr>
          <w:lang w:eastAsia="en-US"/>
        </w:rPr>
        <w:t xml:space="preserve"> that t</w:t>
      </w:r>
      <w:r w:rsidR="005B6108" w:rsidRPr="00A1207D">
        <w:rPr>
          <w:lang w:eastAsia="en-US"/>
        </w:rPr>
        <w:t xml:space="preserve">here was a </w:t>
      </w:r>
      <w:r w:rsidR="00DD5849" w:rsidRPr="00A1207D">
        <w:rPr>
          <w:lang w:eastAsia="en-US"/>
        </w:rPr>
        <w:t xml:space="preserve">higher rate of </w:t>
      </w:r>
      <w:r w:rsidR="0040284C" w:rsidRPr="00A1207D">
        <w:rPr>
          <w:lang w:eastAsia="en-US"/>
        </w:rPr>
        <w:t>headaches when using the pen</w:t>
      </w:r>
      <w:r w:rsidR="00DD5849" w:rsidRPr="00A1207D">
        <w:rPr>
          <w:lang w:eastAsia="en-US"/>
        </w:rPr>
        <w:t xml:space="preserve"> form</w:t>
      </w:r>
      <w:r w:rsidR="0040284C" w:rsidRPr="00A1207D">
        <w:rPr>
          <w:lang w:eastAsia="en-US"/>
        </w:rPr>
        <w:t xml:space="preserve"> (15.6%) </w:t>
      </w:r>
      <w:r w:rsidR="00DD5849" w:rsidRPr="00A1207D">
        <w:rPr>
          <w:lang w:eastAsia="en-US"/>
        </w:rPr>
        <w:t xml:space="preserve">compared </w:t>
      </w:r>
      <w:r w:rsidR="007A4F23" w:rsidRPr="00A1207D">
        <w:rPr>
          <w:lang w:eastAsia="en-US"/>
        </w:rPr>
        <w:t xml:space="preserve">with </w:t>
      </w:r>
      <w:r w:rsidR="0040284C" w:rsidRPr="00A1207D">
        <w:rPr>
          <w:lang w:eastAsia="en-US"/>
        </w:rPr>
        <w:t>the PFS (5.6%)</w:t>
      </w:r>
      <w:r w:rsidR="00DD5849" w:rsidRPr="00A1207D">
        <w:rPr>
          <w:lang w:eastAsia="en-US"/>
        </w:rPr>
        <w:t xml:space="preserve">. </w:t>
      </w:r>
      <w:r w:rsidR="00F65256" w:rsidRPr="00A1207D">
        <w:rPr>
          <w:lang w:eastAsia="en-US"/>
        </w:rPr>
        <w:t xml:space="preserve">The </w:t>
      </w:r>
      <w:r w:rsidR="006447B4" w:rsidRPr="00A1207D">
        <w:rPr>
          <w:lang w:eastAsia="en-US"/>
        </w:rPr>
        <w:t>p</w:t>
      </w:r>
      <w:r w:rsidR="00F65256" w:rsidRPr="00A1207D">
        <w:rPr>
          <w:lang w:eastAsia="en-US"/>
        </w:rPr>
        <w:t xml:space="preserve">re-PBAC </w:t>
      </w:r>
      <w:r w:rsidR="00AA75FD" w:rsidRPr="00A1207D">
        <w:rPr>
          <w:lang w:eastAsia="en-US"/>
        </w:rPr>
        <w:t>response considered</w:t>
      </w:r>
      <w:r w:rsidR="00736C64" w:rsidRPr="00A1207D">
        <w:rPr>
          <w:lang w:eastAsia="en-US"/>
        </w:rPr>
        <w:t xml:space="preserve"> that as </w:t>
      </w:r>
      <w:r w:rsidR="00F65256" w:rsidRPr="00A1207D">
        <w:rPr>
          <w:lang w:eastAsia="en-US"/>
        </w:rPr>
        <w:t xml:space="preserve">three patients in each trial arm experienced headaches that </w:t>
      </w:r>
      <w:proofErr w:type="gramStart"/>
      <w:r w:rsidR="00F65256" w:rsidRPr="00A1207D">
        <w:rPr>
          <w:lang w:eastAsia="en-US"/>
        </w:rPr>
        <w:t>were linked</w:t>
      </w:r>
      <w:proofErr w:type="gramEnd"/>
      <w:r w:rsidR="00F65256" w:rsidRPr="00A1207D">
        <w:rPr>
          <w:lang w:eastAsia="en-US"/>
        </w:rPr>
        <w:t xml:space="preserve"> to </w:t>
      </w:r>
      <w:r w:rsidR="00AA75FD" w:rsidRPr="00A1207D">
        <w:rPr>
          <w:lang w:eastAsia="en-US"/>
        </w:rPr>
        <w:t>treatment;</w:t>
      </w:r>
      <w:r w:rsidR="00F65256" w:rsidRPr="00A1207D">
        <w:rPr>
          <w:lang w:eastAsia="en-US"/>
        </w:rPr>
        <w:t xml:space="preserve"> this indicated there was no difference in the incidence of headaches between Fasenra Pen and PFS.</w:t>
      </w:r>
    </w:p>
    <w:p w14:paraId="56A8C28C" w14:textId="388C3B5D" w:rsidR="00E25F7B" w:rsidRPr="00A1207D" w:rsidRDefault="00E25F7B" w:rsidP="00E25F7B">
      <w:pPr>
        <w:pStyle w:val="3Bodytext"/>
        <w:numPr>
          <w:ilvl w:val="0"/>
          <w:numId w:val="0"/>
        </w:numPr>
        <w:ind w:left="720"/>
        <w:rPr>
          <w:lang w:eastAsia="en-US"/>
        </w:rPr>
      </w:pPr>
      <w:r w:rsidRPr="00A1207D">
        <w:rPr>
          <w:i/>
        </w:rPr>
        <w:t xml:space="preserve">For more detail on PBAC’s view, see section </w:t>
      </w:r>
      <w:r w:rsidR="00736C64" w:rsidRPr="00A1207D">
        <w:rPr>
          <w:i/>
        </w:rPr>
        <w:t>5</w:t>
      </w:r>
      <w:r w:rsidRPr="00A1207D">
        <w:rPr>
          <w:i/>
        </w:rPr>
        <w:t xml:space="preserve"> PBAC outcome.</w:t>
      </w:r>
    </w:p>
    <w:p w14:paraId="787E5C32" w14:textId="77777777" w:rsidR="003C2FB5" w:rsidRPr="00A1207D" w:rsidRDefault="005A3173" w:rsidP="0023528B">
      <w:pPr>
        <w:pStyle w:val="Heading2"/>
      </w:pPr>
      <w:r w:rsidRPr="00A1207D">
        <w:t>Clinical claim</w:t>
      </w:r>
    </w:p>
    <w:p w14:paraId="532EDE48" w14:textId="112691E0" w:rsidR="00E44FEC" w:rsidRPr="00A1207D" w:rsidRDefault="00FF2801" w:rsidP="00E44FEC">
      <w:pPr>
        <w:pStyle w:val="3Bodytext"/>
      </w:pPr>
      <w:r w:rsidRPr="00A1207D">
        <w:t xml:space="preserve">The </w:t>
      </w:r>
      <w:r w:rsidR="00957F83" w:rsidRPr="00A1207D">
        <w:t xml:space="preserve">minor </w:t>
      </w:r>
      <w:r w:rsidRPr="00A1207D">
        <w:t>submission claimed</w:t>
      </w:r>
      <w:r w:rsidR="00957F83" w:rsidRPr="00A1207D">
        <w:t xml:space="preserve"> that </w:t>
      </w:r>
      <w:r w:rsidR="00A87FEF" w:rsidRPr="00A1207D">
        <w:t xml:space="preserve">Fasenra Pen </w:t>
      </w:r>
      <w:r w:rsidR="009A06FB" w:rsidRPr="00A1207D">
        <w:t>and PFS</w:t>
      </w:r>
      <w:r w:rsidR="00957F83" w:rsidRPr="00A1207D">
        <w:t xml:space="preserve"> contain the same formulation and are therefore equivalent</w:t>
      </w:r>
      <w:r w:rsidR="00BE496F" w:rsidRPr="00A1207D">
        <w:t xml:space="preserve">. </w:t>
      </w:r>
    </w:p>
    <w:p w14:paraId="106AFDF2" w14:textId="231E3EAD" w:rsidR="00512EEB" w:rsidRPr="00A1207D" w:rsidRDefault="00512EEB" w:rsidP="00E44FEC">
      <w:pPr>
        <w:pStyle w:val="3Bodytext"/>
      </w:pPr>
      <w:r w:rsidRPr="00A1207D">
        <w:rPr>
          <w:snapToGrid w:val="0"/>
        </w:rPr>
        <w:t xml:space="preserve">The PBAC considered that the claim of </w:t>
      </w:r>
      <w:r w:rsidR="00A71952" w:rsidRPr="00A1207D">
        <w:rPr>
          <w:snapToGrid w:val="0"/>
        </w:rPr>
        <w:t>equivalent</w:t>
      </w:r>
      <w:r w:rsidRPr="00A1207D">
        <w:rPr>
          <w:snapToGrid w:val="0"/>
        </w:rPr>
        <w:t xml:space="preserve"> comparative effectiveness</w:t>
      </w:r>
      <w:r w:rsidR="00ED5BE7" w:rsidRPr="00A1207D">
        <w:rPr>
          <w:snapToGrid w:val="0"/>
        </w:rPr>
        <w:t xml:space="preserve"> and</w:t>
      </w:r>
      <w:r w:rsidRPr="00A1207D">
        <w:rPr>
          <w:snapToGrid w:val="0"/>
        </w:rPr>
        <w:t xml:space="preserve"> </w:t>
      </w:r>
      <w:r w:rsidR="00ED5BE7" w:rsidRPr="00A1207D">
        <w:rPr>
          <w:rFonts w:cs="Arial"/>
          <w:snapToGrid w:val="0"/>
          <w:szCs w:val="20"/>
          <w:lang w:eastAsia="en-US"/>
        </w:rPr>
        <w:t xml:space="preserve">comparative safety </w:t>
      </w:r>
      <w:r w:rsidR="006A1A86" w:rsidRPr="00A1207D">
        <w:rPr>
          <w:snapToGrid w:val="0"/>
        </w:rPr>
        <w:t>w</w:t>
      </w:r>
      <w:r w:rsidR="00A71952" w:rsidRPr="00A1207D">
        <w:rPr>
          <w:snapToGrid w:val="0"/>
        </w:rPr>
        <w:t>as</w:t>
      </w:r>
      <w:r w:rsidR="006A1A86" w:rsidRPr="00A1207D">
        <w:rPr>
          <w:snapToGrid w:val="0"/>
        </w:rPr>
        <w:t xml:space="preserve"> </w:t>
      </w:r>
      <w:r w:rsidRPr="00A1207D">
        <w:rPr>
          <w:snapToGrid w:val="0"/>
        </w:rPr>
        <w:t>reasonable</w:t>
      </w:r>
      <w:r w:rsidR="00A71952" w:rsidRPr="00A1207D">
        <w:rPr>
          <w:snapToGrid w:val="0"/>
        </w:rPr>
        <w:t xml:space="preserve">. </w:t>
      </w:r>
    </w:p>
    <w:p w14:paraId="48D63424" w14:textId="357DD4F7" w:rsidR="00E25F7B" w:rsidRPr="00A1207D" w:rsidRDefault="00E25F7B" w:rsidP="00E25F7B">
      <w:pPr>
        <w:pStyle w:val="3Bodytext"/>
        <w:numPr>
          <w:ilvl w:val="0"/>
          <w:numId w:val="0"/>
        </w:numPr>
        <w:ind w:left="720"/>
      </w:pPr>
      <w:r w:rsidRPr="00A1207D">
        <w:rPr>
          <w:i/>
        </w:rPr>
        <w:t xml:space="preserve">For more detail on PBAC’s view, see section </w:t>
      </w:r>
      <w:r w:rsidR="00A71952" w:rsidRPr="00A1207D">
        <w:rPr>
          <w:i/>
        </w:rPr>
        <w:t>5</w:t>
      </w:r>
      <w:r w:rsidRPr="00A1207D">
        <w:rPr>
          <w:i/>
        </w:rPr>
        <w:t xml:space="preserve"> PBAC outcome.</w:t>
      </w:r>
    </w:p>
    <w:p w14:paraId="5C51A096" w14:textId="5C7E5557" w:rsidR="005A3173" w:rsidRPr="00A1207D" w:rsidRDefault="005A3173" w:rsidP="0023528B">
      <w:pPr>
        <w:pStyle w:val="Heading2"/>
      </w:pPr>
      <w:r w:rsidRPr="00A1207D">
        <w:t>Economic analysis</w:t>
      </w:r>
      <w:r w:rsidR="009803E4" w:rsidRPr="00A1207D">
        <w:t xml:space="preserve"> </w:t>
      </w:r>
    </w:p>
    <w:p w14:paraId="1455A5DD" w14:textId="5366FF45" w:rsidR="005823F7" w:rsidRPr="00A1207D" w:rsidRDefault="009803E4" w:rsidP="005823F7">
      <w:pPr>
        <w:pStyle w:val="Bodytextitalics"/>
        <w:rPr>
          <w:i w:val="0"/>
        </w:rPr>
      </w:pPr>
      <w:r w:rsidRPr="00A1207D">
        <w:rPr>
          <w:i w:val="0"/>
          <w:snapToGrid w:val="0"/>
          <w:lang w:eastAsia="en-US"/>
        </w:rPr>
        <w:t xml:space="preserve">The minor submission presented a cost-minimisation analysis of </w:t>
      </w:r>
      <w:r w:rsidR="00A87FEF" w:rsidRPr="00A1207D">
        <w:rPr>
          <w:i w:val="0"/>
        </w:rPr>
        <w:t xml:space="preserve">Fasenra Pen </w:t>
      </w:r>
      <w:r w:rsidR="008A59D9" w:rsidRPr="00A1207D">
        <w:rPr>
          <w:i w:val="0"/>
          <w:snapToGrid w:val="0"/>
          <w:lang w:eastAsia="en-US"/>
        </w:rPr>
        <w:t xml:space="preserve">compared with </w:t>
      </w:r>
      <w:r w:rsidR="00A87FEF" w:rsidRPr="00A1207D">
        <w:rPr>
          <w:i w:val="0"/>
          <w:snapToGrid w:val="0"/>
          <w:lang w:eastAsia="en-US"/>
        </w:rPr>
        <w:t xml:space="preserve">Fasenra </w:t>
      </w:r>
      <w:r w:rsidR="00D56927" w:rsidRPr="00A1207D">
        <w:rPr>
          <w:i w:val="0"/>
          <w:snapToGrid w:val="0"/>
          <w:lang w:eastAsia="en-US"/>
        </w:rPr>
        <w:t>PFS</w:t>
      </w:r>
      <w:r w:rsidR="008A59D9" w:rsidRPr="00A1207D">
        <w:rPr>
          <w:i w:val="0"/>
          <w:snapToGrid w:val="0"/>
          <w:lang w:eastAsia="en-US"/>
        </w:rPr>
        <w:t xml:space="preserve">. </w:t>
      </w:r>
      <w:r w:rsidR="00CC3B97" w:rsidRPr="00A1207D">
        <w:rPr>
          <w:i w:val="0"/>
          <w:snapToGrid w:val="0"/>
          <w:lang w:eastAsia="en-US"/>
        </w:rPr>
        <w:t xml:space="preserve">The </w:t>
      </w:r>
      <w:r w:rsidR="004E03CB" w:rsidRPr="00A1207D">
        <w:rPr>
          <w:i w:val="0"/>
          <w:snapToGrid w:val="0"/>
          <w:lang w:eastAsia="en-US"/>
        </w:rPr>
        <w:t xml:space="preserve">proposed </w:t>
      </w:r>
      <w:r w:rsidR="00CC3B97" w:rsidRPr="00A1207D">
        <w:rPr>
          <w:i w:val="0"/>
          <w:snapToGrid w:val="0"/>
          <w:lang w:eastAsia="en-US"/>
        </w:rPr>
        <w:t xml:space="preserve">equi-effective doses </w:t>
      </w:r>
      <w:r w:rsidR="008A59D9" w:rsidRPr="00A1207D">
        <w:rPr>
          <w:i w:val="0"/>
          <w:snapToGrid w:val="0"/>
          <w:lang w:eastAsia="en-US"/>
        </w:rPr>
        <w:t>were</w:t>
      </w:r>
      <w:r w:rsidR="00CC3B97" w:rsidRPr="00A1207D">
        <w:rPr>
          <w:i w:val="0"/>
          <w:snapToGrid w:val="0"/>
          <w:lang w:eastAsia="en-US"/>
        </w:rPr>
        <w:t xml:space="preserve"> </w:t>
      </w:r>
      <w:r w:rsidR="00DB64C9" w:rsidRPr="00A1207D">
        <w:rPr>
          <w:i w:val="0"/>
          <w:snapToGrid w:val="0"/>
          <w:lang w:eastAsia="en-US"/>
        </w:rPr>
        <w:t xml:space="preserve">one benralizumab 30 mg in 1 mL </w:t>
      </w:r>
      <w:r w:rsidR="00EC76C7" w:rsidRPr="00A1207D">
        <w:rPr>
          <w:i w:val="0"/>
          <w:snapToGrid w:val="0"/>
          <w:lang w:eastAsia="en-US"/>
        </w:rPr>
        <w:t>p</w:t>
      </w:r>
      <w:r w:rsidR="00D56927" w:rsidRPr="00A1207D">
        <w:rPr>
          <w:i w:val="0"/>
          <w:snapToGrid w:val="0"/>
          <w:lang w:eastAsia="en-US"/>
        </w:rPr>
        <w:t>en</w:t>
      </w:r>
      <w:r w:rsidR="00DB64C9" w:rsidRPr="00A1207D">
        <w:rPr>
          <w:i w:val="0"/>
          <w:snapToGrid w:val="0"/>
          <w:lang w:eastAsia="en-US"/>
        </w:rPr>
        <w:t xml:space="preserve"> </w:t>
      </w:r>
      <w:r w:rsidR="00540EBC" w:rsidRPr="00A1207D">
        <w:rPr>
          <w:i w:val="0"/>
          <w:snapToGrid w:val="0"/>
          <w:lang w:eastAsia="en-US"/>
        </w:rPr>
        <w:t xml:space="preserve">is </w:t>
      </w:r>
      <w:r w:rsidR="004E03CB" w:rsidRPr="00A1207D">
        <w:rPr>
          <w:i w:val="0"/>
          <w:snapToGrid w:val="0"/>
          <w:lang w:eastAsia="en-US"/>
        </w:rPr>
        <w:t xml:space="preserve">equivalent to </w:t>
      </w:r>
      <w:r w:rsidR="00DB64C9" w:rsidRPr="00A1207D">
        <w:rPr>
          <w:i w:val="0"/>
          <w:snapToGrid w:val="0"/>
          <w:lang w:eastAsia="en-US"/>
        </w:rPr>
        <w:t xml:space="preserve">one benralizumab 30 mg in 1 mL PFS. </w:t>
      </w:r>
    </w:p>
    <w:p w14:paraId="30493206" w14:textId="2CEE84C3" w:rsidR="00977BF3" w:rsidRPr="00A1207D" w:rsidRDefault="00A71952" w:rsidP="00E30FC2">
      <w:pPr>
        <w:pStyle w:val="3Bodytext"/>
      </w:pPr>
      <w:r w:rsidRPr="00A1207D">
        <w:rPr>
          <w:snapToGrid w:val="0"/>
          <w:lang w:eastAsia="en-US"/>
        </w:rPr>
        <w:t>The submission proposed that the Special Pricing Arrangement</w:t>
      </w:r>
      <w:r w:rsidR="00D75556" w:rsidRPr="00A1207D">
        <w:rPr>
          <w:snapToGrid w:val="0"/>
          <w:lang w:eastAsia="en-US"/>
        </w:rPr>
        <w:t xml:space="preserve"> for Fasenra PFS should apply for Fasenra Pen.</w:t>
      </w:r>
    </w:p>
    <w:p w14:paraId="451B5C00" w14:textId="55D38884" w:rsidR="00E25F7B" w:rsidRPr="00A1207D" w:rsidRDefault="00E25F7B" w:rsidP="00E25F7B">
      <w:pPr>
        <w:pStyle w:val="3Bodytext"/>
        <w:numPr>
          <w:ilvl w:val="0"/>
          <w:numId w:val="0"/>
        </w:numPr>
        <w:ind w:left="720"/>
      </w:pPr>
      <w:r w:rsidRPr="00A1207D">
        <w:rPr>
          <w:i/>
        </w:rPr>
        <w:t xml:space="preserve">For more detail on PBAC’s view, see section </w:t>
      </w:r>
      <w:r w:rsidR="00A71952" w:rsidRPr="00A1207D">
        <w:rPr>
          <w:i/>
        </w:rPr>
        <w:t>5</w:t>
      </w:r>
      <w:r w:rsidRPr="00A1207D">
        <w:rPr>
          <w:i/>
        </w:rPr>
        <w:t xml:space="preserve"> PBAC outcome.</w:t>
      </w:r>
    </w:p>
    <w:p w14:paraId="5064842A" w14:textId="77777777" w:rsidR="005A3173" w:rsidRPr="00A1207D" w:rsidRDefault="005A3173" w:rsidP="0023528B">
      <w:pPr>
        <w:pStyle w:val="Heading2"/>
      </w:pPr>
      <w:r w:rsidRPr="00A1207D">
        <w:t>Estimated PBS usage &amp; financial implications</w:t>
      </w:r>
    </w:p>
    <w:p w14:paraId="0FF57233" w14:textId="7C689080" w:rsidR="00A71952" w:rsidRPr="00A1207D" w:rsidRDefault="007D3655" w:rsidP="00EB1CC8">
      <w:pPr>
        <w:pStyle w:val="3Bodytext"/>
      </w:pPr>
      <w:r w:rsidRPr="00A1207D">
        <w:t xml:space="preserve">The minor submission did not expect the listing of the pen form to grow the overall </w:t>
      </w:r>
      <w:r w:rsidR="00A71952" w:rsidRPr="00A1207D">
        <w:t>benralizumab market or the broader biologic medicines for severe asthma market</w:t>
      </w:r>
      <w:r w:rsidRPr="00A1207D">
        <w:t>. However, t</w:t>
      </w:r>
      <w:r w:rsidR="00AE42EA" w:rsidRPr="00A1207D">
        <w:t xml:space="preserve">he submission noted that it is expected that most patients on </w:t>
      </w:r>
      <w:r w:rsidR="00A87FEF" w:rsidRPr="00A1207D">
        <w:t>Fasenra</w:t>
      </w:r>
      <w:r w:rsidR="00AE42EA" w:rsidRPr="00A1207D">
        <w:t xml:space="preserve"> would prefer the pen form</w:t>
      </w:r>
      <w:r w:rsidR="000C32F7" w:rsidRPr="00A1207D">
        <w:t xml:space="preserve"> and substitution between the two forms would occur</w:t>
      </w:r>
      <w:r w:rsidR="00AE42EA" w:rsidRPr="00A1207D">
        <w:t xml:space="preserve">. </w:t>
      </w:r>
    </w:p>
    <w:p w14:paraId="74A3D549" w14:textId="77777777" w:rsidR="00A71952" w:rsidRPr="00A1207D" w:rsidRDefault="00AE732E" w:rsidP="00A71952">
      <w:pPr>
        <w:pStyle w:val="3Bodytext"/>
        <w:rPr>
          <w:i/>
        </w:rPr>
      </w:pPr>
      <w:r w:rsidRPr="00A1207D">
        <w:lastRenderedPageBreak/>
        <w:t xml:space="preserve">The minor submission estimated there to be no financial implications to the PBS as a result of listing </w:t>
      </w:r>
      <w:r w:rsidR="00A87FEF" w:rsidRPr="00A1207D">
        <w:t xml:space="preserve">Fasenra </w:t>
      </w:r>
      <w:r w:rsidRPr="00A1207D">
        <w:t>Pen as it is expected the pen will only substitute for the PFS</w:t>
      </w:r>
      <w:r w:rsidRPr="00A1207D">
        <w:rPr>
          <w:color w:val="FF0000"/>
        </w:rPr>
        <w:t xml:space="preserve"> </w:t>
      </w:r>
      <w:r w:rsidRPr="00A1207D">
        <w:t>and both presentations will have the same price.</w:t>
      </w:r>
      <w:r w:rsidR="00D8066F" w:rsidRPr="00A1207D">
        <w:t xml:space="preserve"> </w:t>
      </w:r>
    </w:p>
    <w:p w14:paraId="249BFF47" w14:textId="05E37B98" w:rsidR="00E25F7B" w:rsidRPr="00A1207D" w:rsidRDefault="00E25F7B" w:rsidP="00A71952">
      <w:pPr>
        <w:pStyle w:val="3Bodytext"/>
        <w:numPr>
          <w:ilvl w:val="0"/>
          <w:numId w:val="0"/>
        </w:numPr>
        <w:ind w:left="720"/>
        <w:rPr>
          <w:i/>
        </w:rPr>
      </w:pPr>
      <w:r w:rsidRPr="00A1207D">
        <w:rPr>
          <w:i/>
        </w:rPr>
        <w:t>For more det</w:t>
      </w:r>
      <w:r w:rsidR="00A71952" w:rsidRPr="00A1207D">
        <w:rPr>
          <w:i/>
        </w:rPr>
        <w:t>ail on PBAC’s view, see section 5</w:t>
      </w:r>
      <w:r w:rsidRPr="00A1207D">
        <w:rPr>
          <w:i/>
        </w:rPr>
        <w:t xml:space="preserve"> PBAC outcome.</w:t>
      </w:r>
    </w:p>
    <w:p w14:paraId="657A8487" w14:textId="77777777" w:rsidR="00512EEB" w:rsidRPr="00A1207D" w:rsidRDefault="00512EEB" w:rsidP="00512EEB">
      <w:pPr>
        <w:pStyle w:val="2Sections"/>
      </w:pPr>
      <w:r w:rsidRPr="00A1207D">
        <w:t>PBAC Outcome</w:t>
      </w:r>
    </w:p>
    <w:p w14:paraId="208EE6FD" w14:textId="7DA28018" w:rsidR="00ED5BE7" w:rsidRPr="00A5621A" w:rsidRDefault="00512EEB" w:rsidP="00512EEB">
      <w:pPr>
        <w:pStyle w:val="3Bodytext"/>
        <w:rPr>
          <w:snapToGrid w:val="0"/>
        </w:rPr>
      </w:pPr>
      <w:r w:rsidRPr="00A5621A">
        <w:rPr>
          <w:snapToGrid w:val="0"/>
        </w:rPr>
        <w:t xml:space="preserve">The PBAC recommended the listing of </w:t>
      </w:r>
      <w:r w:rsidR="003F0897" w:rsidRPr="00A5621A">
        <w:rPr>
          <w:snapToGrid w:val="0"/>
        </w:rPr>
        <w:t>a new form of benralizumab (</w:t>
      </w:r>
      <w:r w:rsidR="00ED5BE7" w:rsidRPr="00A1207D">
        <w:rPr>
          <w:rFonts w:cstheme="minorHAnsi"/>
        </w:rPr>
        <w:t>pre-filled pen/auto-injector form</w:t>
      </w:r>
      <w:r w:rsidR="003F0897" w:rsidRPr="00A1207D">
        <w:rPr>
          <w:rFonts w:cstheme="minorHAnsi"/>
        </w:rPr>
        <w:t>; Fasenra Pen</w:t>
      </w:r>
      <w:r w:rsidR="00ED5BE7" w:rsidRPr="00A5621A">
        <w:rPr>
          <w:snapToGrid w:val="0"/>
        </w:rPr>
        <w:t>)</w:t>
      </w:r>
      <w:r w:rsidRPr="00A5621A">
        <w:rPr>
          <w:snapToGrid w:val="0"/>
        </w:rPr>
        <w:t xml:space="preserve">, on the basis that it should be available only under special arrangements under Section 100 </w:t>
      </w:r>
      <w:r w:rsidR="003F0897" w:rsidRPr="00A5621A">
        <w:rPr>
          <w:snapToGrid w:val="0"/>
        </w:rPr>
        <w:t>(</w:t>
      </w:r>
      <w:r w:rsidR="00ED5BE7" w:rsidRPr="00A1207D">
        <w:t xml:space="preserve">Highly Specialised Drugs </w:t>
      </w:r>
      <w:r w:rsidR="003F0897" w:rsidRPr="00A1207D">
        <w:t xml:space="preserve">Program) </w:t>
      </w:r>
      <w:r w:rsidR="00ED5BE7" w:rsidRPr="00A1207D">
        <w:t>for the treatment of uncontrolled severe eosinophilic asthma</w:t>
      </w:r>
      <w:r w:rsidRPr="00A5621A">
        <w:rPr>
          <w:snapToGrid w:val="0"/>
        </w:rPr>
        <w:t xml:space="preserve">. </w:t>
      </w:r>
    </w:p>
    <w:p w14:paraId="745139B0" w14:textId="6B7245AC" w:rsidR="004F3056" w:rsidRPr="00A5621A" w:rsidRDefault="00512EEB" w:rsidP="00512EEB">
      <w:pPr>
        <w:pStyle w:val="3Bodytext"/>
        <w:rPr>
          <w:snapToGrid w:val="0"/>
        </w:rPr>
      </w:pPr>
      <w:r w:rsidRPr="00A5621A">
        <w:rPr>
          <w:snapToGrid w:val="0"/>
        </w:rPr>
        <w:t xml:space="preserve">The PBAC recommended the </w:t>
      </w:r>
      <w:r w:rsidR="00ED5BE7" w:rsidRPr="00A5621A">
        <w:rPr>
          <w:snapToGrid w:val="0"/>
        </w:rPr>
        <w:t xml:space="preserve">listing of Fasenra Pen on a cost-minimisation basis to </w:t>
      </w:r>
      <w:r w:rsidR="00996399" w:rsidRPr="00A5621A">
        <w:rPr>
          <w:snapToGrid w:val="0"/>
        </w:rPr>
        <w:t xml:space="preserve">benralizumab (pre-filled syringe; </w:t>
      </w:r>
      <w:r w:rsidR="00ED5BE7" w:rsidRPr="00A5621A">
        <w:rPr>
          <w:snapToGrid w:val="0"/>
        </w:rPr>
        <w:t>Fasenra PFS</w:t>
      </w:r>
      <w:r w:rsidR="00996399" w:rsidRPr="00A5621A">
        <w:rPr>
          <w:snapToGrid w:val="0"/>
        </w:rPr>
        <w:t>)</w:t>
      </w:r>
      <w:r w:rsidR="00ED5BE7" w:rsidRPr="00A5621A">
        <w:rPr>
          <w:snapToGrid w:val="0"/>
        </w:rPr>
        <w:t xml:space="preserve">, with </w:t>
      </w:r>
      <w:r w:rsidR="00ED5BE7" w:rsidRPr="00A1207D">
        <w:rPr>
          <w:snapToGrid w:val="0"/>
          <w:lang w:eastAsia="en-US"/>
        </w:rPr>
        <w:t>equi-effective doses being one benralizumab 30 mg in 1 mL Pen equivalent to one benralizumab 30 mg in 1 mL PFS</w:t>
      </w:r>
      <w:r w:rsidR="00ED5BE7" w:rsidRPr="00A5621A">
        <w:rPr>
          <w:snapToGrid w:val="0"/>
        </w:rPr>
        <w:t xml:space="preserve">. </w:t>
      </w:r>
    </w:p>
    <w:p w14:paraId="381395DC" w14:textId="77777777" w:rsidR="00256EB1" w:rsidRPr="00A5621A" w:rsidRDefault="00256EB1" w:rsidP="00256EB1">
      <w:pPr>
        <w:pStyle w:val="3Bodytext"/>
        <w:rPr>
          <w:snapToGrid w:val="0"/>
        </w:rPr>
      </w:pPr>
      <w:r w:rsidRPr="00A1207D">
        <w:rPr>
          <w:snapToGrid w:val="0"/>
        </w:rPr>
        <w:t xml:space="preserve">The PBAC recommended the restrictions for Fasenra Pen should be consistent with the current restrictions for Fasenra PFS </w:t>
      </w:r>
      <w:r w:rsidRPr="00A1207D">
        <w:t>for the treatment of uncontrolled severe eosinophilic asthma</w:t>
      </w:r>
      <w:r w:rsidRPr="00A5621A">
        <w:rPr>
          <w:snapToGrid w:val="0"/>
        </w:rPr>
        <w:t>.</w:t>
      </w:r>
    </w:p>
    <w:p w14:paraId="2BEB13D2" w14:textId="6AC9924E" w:rsidR="007C65A6" w:rsidRPr="00A5621A" w:rsidRDefault="00855AED" w:rsidP="00855AED">
      <w:pPr>
        <w:pStyle w:val="3Bodytext"/>
        <w:rPr>
          <w:snapToGrid w:val="0"/>
        </w:rPr>
      </w:pPr>
      <w:r w:rsidRPr="00A5621A">
        <w:rPr>
          <w:snapToGrid w:val="0"/>
        </w:rPr>
        <w:t xml:space="preserve">The PBAC considered that Fasenra Pen was </w:t>
      </w:r>
      <w:r w:rsidR="00A71952" w:rsidRPr="00A5621A">
        <w:rPr>
          <w:snapToGrid w:val="0"/>
        </w:rPr>
        <w:t>equivalent</w:t>
      </w:r>
      <w:r w:rsidRPr="00A5621A">
        <w:rPr>
          <w:snapToGrid w:val="0"/>
        </w:rPr>
        <w:t xml:space="preserve"> to Fasenra PFS in terms of comparative efficacy and safety </w:t>
      </w:r>
      <w:r w:rsidR="007C65A6" w:rsidRPr="00A5621A">
        <w:rPr>
          <w:snapToGrid w:val="0"/>
        </w:rPr>
        <w:t xml:space="preserve">which was supported by the </w:t>
      </w:r>
      <w:r w:rsidR="00F64DF4" w:rsidRPr="00A1207D">
        <w:t>AMES study</w:t>
      </w:r>
      <w:r w:rsidR="007C65A6" w:rsidRPr="00A1207D">
        <w:t xml:space="preserve">. It was also noted the </w:t>
      </w:r>
      <w:r w:rsidRPr="00A1207D">
        <w:t xml:space="preserve">TGA Delegate considered </w:t>
      </w:r>
      <w:r w:rsidR="00100482" w:rsidRPr="00A1207D">
        <w:t xml:space="preserve">the same exposure to </w:t>
      </w:r>
      <w:r w:rsidRPr="00A1207D">
        <w:t xml:space="preserve">both presentations </w:t>
      </w:r>
      <w:r w:rsidR="00100482" w:rsidRPr="00A1207D">
        <w:t>to be the same</w:t>
      </w:r>
      <w:r w:rsidRPr="00A1207D">
        <w:t>.</w:t>
      </w:r>
      <w:r w:rsidRPr="00A5621A">
        <w:rPr>
          <w:snapToGrid w:val="0"/>
        </w:rPr>
        <w:t xml:space="preserve"> </w:t>
      </w:r>
    </w:p>
    <w:p w14:paraId="2E586232" w14:textId="4106635F" w:rsidR="00512EEB" w:rsidRPr="00A1207D" w:rsidRDefault="00EB1CC8" w:rsidP="00A5621A">
      <w:pPr>
        <w:pStyle w:val="3Bodytext"/>
      </w:pPr>
      <w:r w:rsidRPr="00A5621A">
        <w:rPr>
          <w:snapToGrid w:val="0"/>
        </w:rPr>
        <w:t xml:space="preserve">The PBAC considered that there </w:t>
      </w:r>
      <w:r w:rsidR="004B07E3" w:rsidRPr="00A5621A">
        <w:rPr>
          <w:snapToGrid w:val="0"/>
        </w:rPr>
        <w:t xml:space="preserve">should </w:t>
      </w:r>
      <w:r w:rsidRPr="00A5621A">
        <w:rPr>
          <w:snapToGrid w:val="0"/>
        </w:rPr>
        <w:t xml:space="preserve">be no financial implications with the listing of </w:t>
      </w:r>
      <w:r w:rsidR="00880CDF" w:rsidRPr="00A5621A">
        <w:rPr>
          <w:snapToGrid w:val="0"/>
        </w:rPr>
        <w:t xml:space="preserve">the pen </w:t>
      </w:r>
      <w:r w:rsidRPr="00A5621A">
        <w:rPr>
          <w:snapToGrid w:val="0"/>
        </w:rPr>
        <w:t xml:space="preserve">form of benralizumab </w:t>
      </w:r>
      <w:r w:rsidR="00442A57" w:rsidRPr="00A5621A">
        <w:rPr>
          <w:snapToGrid w:val="0"/>
        </w:rPr>
        <w:t xml:space="preserve">as the </w:t>
      </w:r>
      <w:r w:rsidR="00880CDF" w:rsidRPr="00A5621A">
        <w:rPr>
          <w:snapToGrid w:val="0"/>
        </w:rPr>
        <w:t>new form would not grow the overall biologics market in severe asthma</w:t>
      </w:r>
      <w:r w:rsidR="00DF642C">
        <w:rPr>
          <w:snapToGrid w:val="0"/>
        </w:rPr>
        <w:t xml:space="preserve">, </w:t>
      </w:r>
      <w:r w:rsidR="00C53E70">
        <w:rPr>
          <w:snapToGrid w:val="0"/>
        </w:rPr>
        <w:t>but</w:t>
      </w:r>
      <w:r w:rsidR="00DF642C">
        <w:rPr>
          <w:snapToGrid w:val="0"/>
        </w:rPr>
        <w:t xml:space="preserve"> rather substitute for use of the PFS</w:t>
      </w:r>
      <w:r w:rsidR="00880CDF" w:rsidRPr="00A5621A">
        <w:rPr>
          <w:snapToGrid w:val="0"/>
        </w:rPr>
        <w:t xml:space="preserve">. </w:t>
      </w:r>
    </w:p>
    <w:p w14:paraId="15DFF54B" w14:textId="2CF5E6D4" w:rsidR="003D4614" w:rsidRPr="00A1207D" w:rsidRDefault="00B46A73" w:rsidP="003D4614">
      <w:pPr>
        <w:pStyle w:val="Bodytextitalics"/>
        <w:rPr>
          <w:rFonts w:cs="Arial"/>
          <w:b/>
          <w:i w:val="0"/>
          <w:snapToGrid w:val="0"/>
          <w:sz w:val="32"/>
          <w:szCs w:val="32"/>
          <w:lang w:eastAsia="en-US"/>
        </w:rPr>
      </w:pPr>
      <w:r w:rsidRPr="00A5621A">
        <w:rPr>
          <w:rFonts w:cs="Arial"/>
          <w:bCs/>
          <w:i w:val="0"/>
          <w:snapToGrid w:val="0"/>
        </w:rPr>
        <w:t xml:space="preserve">The PBAC </w:t>
      </w:r>
      <w:r w:rsidR="00A71952" w:rsidRPr="00A5621A">
        <w:rPr>
          <w:rFonts w:cs="Arial"/>
          <w:bCs/>
          <w:i w:val="0"/>
          <w:snapToGrid w:val="0"/>
        </w:rPr>
        <w:t>reaffirmed its March 2018 advice</w:t>
      </w:r>
      <w:r w:rsidRPr="00A5621A">
        <w:rPr>
          <w:rFonts w:cs="Arial"/>
          <w:bCs/>
          <w:i w:val="0"/>
          <w:snapToGrid w:val="0"/>
        </w:rPr>
        <w:t xml:space="preserve">, under </w:t>
      </w:r>
      <w:r w:rsidR="003D4614" w:rsidRPr="00A1207D">
        <w:rPr>
          <w:i w:val="0"/>
        </w:rPr>
        <w:t>Section 101 (3BA) of the</w:t>
      </w:r>
      <w:r w:rsidR="003D4614" w:rsidRPr="00A1207D">
        <w:t xml:space="preserve"> National Health Act 1953</w:t>
      </w:r>
      <w:r w:rsidR="003D4614" w:rsidRPr="00A1207D">
        <w:rPr>
          <w:i w:val="0"/>
        </w:rPr>
        <w:t xml:space="preserve">, </w:t>
      </w:r>
      <w:r w:rsidRPr="00A1207D">
        <w:rPr>
          <w:i w:val="0"/>
        </w:rPr>
        <w:t xml:space="preserve">that </w:t>
      </w:r>
      <w:r w:rsidR="003D4614" w:rsidRPr="00A1207D">
        <w:rPr>
          <w:i w:val="0"/>
        </w:rPr>
        <w:t>benralizumab and</w:t>
      </w:r>
      <w:r w:rsidR="00EB1CC8" w:rsidRPr="00A1207D">
        <w:rPr>
          <w:i w:val="0"/>
        </w:rPr>
        <w:t xml:space="preserve"> mepolizumab</w:t>
      </w:r>
      <w:r w:rsidR="003D4614" w:rsidRPr="00A1207D">
        <w:rPr>
          <w:i w:val="0"/>
        </w:rPr>
        <w:t xml:space="preserve"> should be treated as interchangeable on an individual patient basis</w:t>
      </w:r>
      <w:r w:rsidR="00A71952" w:rsidRPr="00A1207D">
        <w:rPr>
          <w:i w:val="0"/>
        </w:rPr>
        <w:t xml:space="preserve"> </w:t>
      </w:r>
      <w:r w:rsidR="003D4614" w:rsidRPr="00A1207D">
        <w:rPr>
          <w:i w:val="0"/>
        </w:rPr>
        <w:t xml:space="preserve">(paragraph 7.16, item 5.01 benralizumab, Public Summary Document (PSD), March 2018, PBAC meeting). </w:t>
      </w:r>
    </w:p>
    <w:p w14:paraId="06E03110" w14:textId="6A2D00C5" w:rsidR="003D4614" w:rsidRPr="00A1207D" w:rsidRDefault="003D4614" w:rsidP="009E5FB7">
      <w:pPr>
        <w:pStyle w:val="Bodytextitalics"/>
        <w:rPr>
          <w:i w:val="0"/>
        </w:rPr>
      </w:pPr>
      <w:r w:rsidRPr="00A1207D">
        <w:rPr>
          <w:i w:val="0"/>
        </w:rPr>
        <w:t xml:space="preserve">The PBAC </w:t>
      </w:r>
      <w:r w:rsidR="00EB1CC8" w:rsidRPr="00A1207D">
        <w:rPr>
          <w:i w:val="0"/>
        </w:rPr>
        <w:t xml:space="preserve">advised, under Section 101 (4AACD) of the </w:t>
      </w:r>
      <w:r w:rsidR="00EB1CC8" w:rsidRPr="00A1207D">
        <w:t>National Health Act 1953</w:t>
      </w:r>
      <w:r w:rsidR="00EB1CC8" w:rsidRPr="00A1207D">
        <w:rPr>
          <w:i w:val="0"/>
        </w:rPr>
        <w:t xml:space="preserve">, that </w:t>
      </w:r>
      <w:r w:rsidR="00D3320D" w:rsidRPr="00A1207D">
        <w:rPr>
          <w:i w:val="0"/>
        </w:rPr>
        <w:t xml:space="preserve">benralizumab </w:t>
      </w:r>
      <w:r w:rsidR="00D3320D" w:rsidRPr="00A1207D">
        <w:rPr>
          <w:rFonts w:cstheme="minorHAnsi"/>
          <w:i w:val="0"/>
          <w:szCs w:val="24"/>
        </w:rPr>
        <w:t xml:space="preserve">30 mg/mL injection, 1 mL pen device </w:t>
      </w:r>
      <w:r w:rsidRPr="00A1207D">
        <w:rPr>
          <w:i w:val="0"/>
        </w:rPr>
        <w:t xml:space="preserve">and </w:t>
      </w:r>
      <w:r w:rsidR="00D3320D" w:rsidRPr="00A1207D">
        <w:rPr>
          <w:i w:val="0"/>
        </w:rPr>
        <w:t xml:space="preserve">benralizumab </w:t>
      </w:r>
      <w:r w:rsidR="00D3320D" w:rsidRPr="00A1207D">
        <w:rPr>
          <w:rFonts w:cstheme="minorHAnsi"/>
          <w:i w:val="0"/>
          <w:szCs w:val="24"/>
        </w:rPr>
        <w:t xml:space="preserve">30 mg/mL injection, 1 mL syringe </w:t>
      </w:r>
      <w:r w:rsidRPr="00A1207D">
        <w:rPr>
          <w:i w:val="0"/>
        </w:rPr>
        <w:t xml:space="preserve">should </w:t>
      </w:r>
      <w:r w:rsidR="008F53E6" w:rsidRPr="00A1207D">
        <w:rPr>
          <w:i w:val="0"/>
        </w:rPr>
        <w:t xml:space="preserve">not </w:t>
      </w:r>
      <w:r w:rsidRPr="00A1207D">
        <w:rPr>
          <w:i w:val="0"/>
        </w:rPr>
        <w:t>be considered equivalent for the purposes of substitution (i.e., ‘a’ flagged in the Schedule with a NOTE stating PBS of one form and PBS of another form are equivalent for the purposes of substitution</w:t>
      </w:r>
      <w:r w:rsidR="00F65256" w:rsidRPr="00A1207D">
        <w:rPr>
          <w:i w:val="0"/>
        </w:rPr>
        <w:t xml:space="preserve"> at the pharmacy level</w:t>
      </w:r>
      <w:r w:rsidRPr="00A1207D">
        <w:rPr>
          <w:i w:val="0"/>
        </w:rPr>
        <w:t xml:space="preserve">). </w:t>
      </w:r>
      <w:r w:rsidR="00D44A66" w:rsidRPr="00A1207D">
        <w:rPr>
          <w:i w:val="0"/>
        </w:rPr>
        <w:t xml:space="preserve">The PBAC </w:t>
      </w:r>
      <w:r w:rsidR="001643F5" w:rsidRPr="00A1207D">
        <w:rPr>
          <w:i w:val="0"/>
        </w:rPr>
        <w:t>noted</w:t>
      </w:r>
      <w:r w:rsidR="00D44A66" w:rsidRPr="00A1207D">
        <w:rPr>
          <w:i w:val="0"/>
        </w:rPr>
        <w:t xml:space="preserve"> the two forms had different injection techniques</w:t>
      </w:r>
      <w:r w:rsidR="001643F5" w:rsidRPr="00A1207D">
        <w:rPr>
          <w:i w:val="0"/>
        </w:rPr>
        <w:t xml:space="preserve"> and </w:t>
      </w:r>
      <w:r w:rsidR="007603ED" w:rsidRPr="00A1207D">
        <w:rPr>
          <w:i w:val="0"/>
        </w:rPr>
        <w:t>there was a risk of incorrect injecting of a dose if patients are dispensed a different presentation to what they were trained to use</w:t>
      </w:r>
      <w:r w:rsidR="001643F5" w:rsidRPr="00A1207D">
        <w:rPr>
          <w:i w:val="0"/>
        </w:rPr>
        <w:t>.</w:t>
      </w:r>
      <w:r w:rsidR="00A71952" w:rsidRPr="00A1207D">
        <w:rPr>
          <w:i w:val="0"/>
        </w:rPr>
        <w:t xml:space="preserve"> </w:t>
      </w:r>
    </w:p>
    <w:p w14:paraId="3445BA2C" w14:textId="6B7DC68B" w:rsidR="00512EEB" w:rsidRPr="00A5621A" w:rsidRDefault="00512EEB" w:rsidP="00512EEB">
      <w:pPr>
        <w:pStyle w:val="3Bodytext"/>
        <w:rPr>
          <w:snapToGrid w:val="0"/>
        </w:rPr>
      </w:pPr>
      <w:r w:rsidRPr="00A5621A">
        <w:rPr>
          <w:snapToGrid w:val="0"/>
        </w:rPr>
        <w:t xml:space="preserve">The PBAC advised that </w:t>
      </w:r>
      <w:r w:rsidR="003D4614" w:rsidRPr="00A5621A">
        <w:rPr>
          <w:snapToGrid w:val="0"/>
        </w:rPr>
        <w:t xml:space="preserve">benralizumab </w:t>
      </w:r>
      <w:r w:rsidRPr="00A5621A">
        <w:rPr>
          <w:snapToGrid w:val="0"/>
        </w:rPr>
        <w:t>is not suitable for prescribing by nurse practitioners</w:t>
      </w:r>
      <w:r w:rsidR="00A1207D">
        <w:rPr>
          <w:snapToGrid w:val="0"/>
        </w:rPr>
        <w:t xml:space="preserve">. </w:t>
      </w:r>
    </w:p>
    <w:p w14:paraId="7203EA7F" w14:textId="7B8A998B" w:rsidR="00512EEB" w:rsidRPr="00A5621A" w:rsidRDefault="00512EEB" w:rsidP="00512EEB">
      <w:pPr>
        <w:pStyle w:val="3Bodytext"/>
        <w:rPr>
          <w:snapToGrid w:val="0"/>
        </w:rPr>
      </w:pPr>
      <w:r w:rsidRPr="00A5621A">
        <w:rPr>
          <w:snapToGrid w:val="0"/>
        </w:rPr>
        <w:t xml:space="preserve">The PBAC recommended that the Early Supply Rule should not apply. </w:t>
      </w:r>
    </w:p>
    <w:p w14:paraId="64525E1C" w14:textId="60319695" w:rsidR="003D4614" w:rsidRPr="00A1207D" w:rsidRDefault="003D4614" w:rsidP="003D4614">
      <w:pPr>
        <w:pStyle w:val="Bodytextitalics"/>
        <w:rPr>
          <w:i w:val="0"/>
        </w:rPr>
      </w:pPr>
      <w:r w:rsidRPr="00A1207D">
        <w:rPr>
          <w:i w:val="0"/>
        </w:rPr>
        <w:lastRenderedPageBreak/>
        <w:t xml:space="preserve">The PBAC noted that this submission is not eligible for an Independent Review as it received a positive recommendation. </w:t>
      </w:r>
    </w:p>
    <w:p w14:paraId="2944373A" w14:textId="77777777" w:rsidR="00512EEB" w:rsidRPr="00A5621A" w:rsidRDefault="00512EEB" w:rsidP="00512EEB">
      <w:pPr>
        <w:spacing w:before="240"/>
        <w:jc w:val="both"/>
        <w:rPr>
          <w:rFonts w:asciiTheme="minorHAnsi" w:hAnsiTheme="minorHAnsi" w:cs="Arial"/>
          <w:b/>
          <w:bCs/>
          <w:snapToGrid w:val="0"/>
        </w:rPr>
      </w:pPr>
      <w:r w:rsidRPr="00A5621A">
        <w:rPr>
          <w:rFonts w:asciiTheme="minorHAnsi" w:hAnsiTheme="minorHAnsi" w:cs="Arial"/>
          <w:b/>
          <w:bCs/>
          <w:snapToGrid w:val="0"/>
        </w:rPr>
        <w:t>Outcome:</w:t>
      </w:r>
    </w:p>
    <w:p w14:paraId="390774C0" w14:textId="5F38FECB" w:rsidR="00512EEB" w:rsidRPr="00A5621A" w:rsidRDefault="00512EEB" w:rsidP="005E6E84">
      <w:pPr>
        <w:pStyle w:val="normal2"/>
        <w:rPr>
          <w:lang w:val="en-AU"/>
        </w:rPr>
      </w:pPr>
      <w:r w:rsidRPr="00A5621A">
        <w:rPr>
          <w:lang w:val="en-AU"/>
        </w:rPr>
        <w:t xml:space="preserve">Recommended </w:t>
      </w:r>
    </w:p>
    <w:p w14:paraId="6E16CAEE" w14:textId="77777777" w:rsidR="00512EEB" w:rsidRPr="00A1207D" w:rsidRDefault="00512EEB" w:rsidP="00512EEB">
      <w:pPr>
        <w:widowControl w:val="0"/>
        <w:jc w:val="both"/>
        <w:rPr>
          <w:rFonts w:asciiTheme="minorHAnsi" w:hAnsiTheme="minorHAnsi" w:cs="Arial"/>
          <w:b/>
          <w:bCs/>
          <w:snapToGrid w:val="0"/>
        </w:rPr>
      </w:pPr>
    </w:p>
    <w:p w14:paraId="1326601C" w14:textId="67D35133" w:rsidR="00512EEB" w:rsidRPr="00A5621A" w:rsidRDefault="00512EEB" w:rsidP="00512EEB">
      <w:pPr>
        <w:pStyle w:val="2Sections"/>
        <w:rPr>
          <w:i/>
        </w:rPr>
      </w:pPr>
      <w:r w:rsidRPr="00A5621A">
        <w:t>Recommended listing</w:t>
      </w:r>
    </w:p>
    <w:p w14:paraId="1EDB454B" w14:textId="10FCFC12" w:rsidR="00955414" w:rsidRPr="00A5621A" w:rsidRDefault="00955414" w:rsidP="00A71952">
      <w:pPr>
        <w:pStyle w:val="3Bodytext"/>
      </w:pPr>
      <w:r w:rsidRPr="00A5621A">
        <w:t>Add new items: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276"/>
        <w:gridCol w:w="1275"/>
      </w:tblGrid>
      <w:tr w:rsidR="00955414" w:rsidRPr="00A1207D" w14:paraId="4CFA0811" w14:textId="77777777" w:rsidTr="00F65256">
        <w:trPr>
          <w:cantSplit/>
          <w:trHeight w:val="471"/>
        </w:trPr>
        <w:tc>
          <w:tcPr>
            <w:tcW w:w="2689" w:type="dxa"/>
          </w:tcPr>
          <w:p w14:paraId="5CFE0551" w14:textId="77777777" w:rsidR="00955414" w:rsidRPr="00A1207D" w:rsidRDefault="00955414" w:rsidP="00F65256">
            <w:pPr>
              <w:keepNext/>
              <w:ind w:left="-108"/>
              <w:jc w:val="both"/>
              <w:rPr>
                <w:rFonts w:ascii="Arial Narrow" w:hAnsi="Arial Narrow" w:cs="Arial"/>
                <w:b/>
                <w:sz w:val="18"/>
                <w:szCs w:val="18"/>
              </w:rPr>
            </w:pPr>
            <w:r w:rsidRPr="00A1207D">
              <w:rPr>
                <w:rFonts w:ascii="Arial Narrow" w:hAnsi="Arial Narrow" w:cs="Arial"/>
                <w:b/>
                <w:sz w:val="18"/>
                <w:szCs w:val="18"/>
              </w:rPr>
              <w:t>Name, Restriction,</w:t>
            </w:r>
          </w:p>
          <w:p w14:paraId="181EE1AD" w14:textId="77777777" w:rsidR="00955414" w:rsidRPr="00A1207D" w:rsidRDefault="00955414" w:rsidP="00F65256">
            <w:pPr>
              <w:keepNext/>
              <w:ind w:left="-108"/>
              <w:jc w:val="both"/>
              <w:rPr>
                <w:rFonts w:ascii="Arial Narrow" w:hAnsi="Arial Narrow" w:cs="Arial"/>
                <w:b/>
                <w:sz w:val="18"/>
                <w:szCs w:val="18"/>
              </w:rPr>
            </w:pPr>
            <w:r w:rsidRPr="00A1207D">
              <w:rPr>
                <w:rFonts w:ascii="Arial Narrow" w:hAnsi="Arial Narrow" w:cs="Arial"/>
                <w:b/>
                <w:sz w:val="18"/>
                <w:szCs w:val="18"/>
              </w:rPr>
              <w:t>Manner of administration and form</w:t>
            </w:r>
          </w:p>
        </w:tc>
        <w:tc>
          <w:tcPr>
            <w:tcW w:w="1275" w:type="dxa"/>
          </w:tcPr>
          <w:p w14:paraId="73C456E0" w14:textId="77777777" w:rsidR="00955414" w:rsidRPr="00A1207D" w:rsidRDefault="00955414" w:rsidP="00F65256">
            <w:pPr>
              <w:keepNext/>
              <w:ind w:left="-108"/>
              <w:jc w:val="center"/>
              <w:rPr>
                <w:rFonts w:ascii="Arial Narrow" w:hAnsi="Arial Narrow" w:cs="Arial"/>
                <w:b/>
                <w:sz w:val="18"/>
                <w:szCs w:val="18"/>
              </w:rPr>
            </w:pPr>
            <w:r w:rsidRPr="00A1207D">
              <w:rPr>
                <w:rFonts w:ascii="Arial Narrow" w:hAnsi="Arial Narrow" w:cs="Arial"/>
                <w:b/>
                <w:sz w:val="18"/>
                <w:szCs w:val="18"/>
              </w:rPr>
              <w:t>PBS item code</w:t>
            </w:r>
          </w:p>
        </w:tc>
        <w:tc>
          <w:tcPr>
            <w:tcW w:w="851" w:type="dxa"/>
          </w:tcPr>
          <w:p w14:paraId="4E45D5F2" w14:textId="6D2BD19D" w:rsidR="00955414" w:rsidRPr="00A1207D" w:rsidRDefault="005C5490" w:rsidP="00F65256">
            <w:pPr>
              <w:keepNext/>
              <w:ind w:left="-108"/>
              <w:jc w:val="center"/>
              <w:rPr>
                <w:rFonts w:ascii="Arial Narrow" w:hAnsi="Arial Narrow" w:cs="Arial"/>
                <w:b/>
                <w:sz w:val="18"/>
                <w:szCs w:val="18"/>
              </w:rPr>
            </w:pPr>
            <w:r>
              <w:rPr>
                <w:rFonts w:ascii="Arial Narrow" w:hAnsi="Arial Narrow" w:cs="Arial"/>
                <w:b/>
                <w:sz w:val="18"/>
                <w:szCs w:val="18"/>
              </w:rPr>
              <w:t>Max. Q</w:t>
            </w:r>
            <w:r w:rsidR="00955414" w:rsidRPr="00A1207D">
              <w:rPr>
                <w:rFonts w:ascii="Arial Narrow" w:hAnsi="Arial Narrow" w:cs="Arial"/>
                <w:b/>
                <w:sz w:val="18"/>
                <w:szCs w:val="18"/>
              </w:rPr>
              <w:t>ty packs</w:t>
            </w:r>
          </w:p>
        </w:tc>
        <w:tc>
          <w:tcPr>
            <w:tcW w:w="850" w:type="dxa"/>
          </w:tcPr>
          <w:p w14:paraId="682D8771" w14:textId="5164A39B" w:rsidR="00955414" w:rsidRPr="00A1207D" w:rsidRDefault="00955414" w:rsidP="00F65256">
            <w:pPr>
              <w:keepNext/>
              <w:ind w:left="-108"/>
              <w:jc w:val="center"/>
              <w:rPr>
                <w:rFonts w:ascii="Arial Narrow" w:hAnsi="Arial Narrow" w:cs="Arial"/>
                <w:b/>
                <w:sz w:val="18"/>
                <w:szCs w:val="18"/>
              </w:rPr>
            </w:pPr>
            <w:r w:rsidRPr="00A1207D">
              <w:rPr>
                <w:rFonts w:ascii="Arial Narrow" w:hAnsi="Arial Narrow" w:cs="Arial"/>
                <w:b/>
                <w:sz w:val="18"/>
                <w:szCs w:val="18"/>
              </w:rPr>
              <w:t xml:space="preserve">Max. </w:t>
            </w:r>
            <w:r w:rsidR="005C5490" w:rsidRPr="00A1207D">
              <w:rPr>
                <w:rFonts w:ascii="Arial Narrow" w:hAnsi="Arial Narrow" w:cs="Arial"/>
                <w:b/>
                <w:sz w:val="18"/>
                <w:szCs w:val="18"/>
              </w:rPr>
              <w:t>Qty</w:t>
            </w:r>
            <w:r w:rsidRPr="00A1207D">
              <w:rPr>
                <w:rFonts w:ascii="Arial Narrow" w:hAnsi="Arial Narrow" w:cs="Arial"/>
                <w:b/>
                <w:sz w:val="18"/>
                <w:szCs w:val="18"/>
              </w:rPr>
              <w:t xml:space="preserve"> units</w:t>
            </w:r>
          </w:p>
        </w:tc>
        <w:tc>
          <w:tcPr>
            <w:tcW w:w="709" w:type="dxa"/>
          </w:tcPr>
          <w:p w14:paraId="35B1F4C9" w14:textId="77777777" w:rsidR="00955414" w:rsidRPr="00A1207D" w:rsidRDefault="00955414" w:rsidP="00F65256">
            <w:pPr>
              <w:keepNext/>
              <w:ind w:left="-108"/>
              <w:jc w:val="center"/>
              <w:rPr>
                <w:rFonts w:ascii="Arial Narrow" w:hAnsi="Arial Narrow" w:cs="Arial"/>
                <w:b/>
                <w:sz w:val="18"/>
                <w:szCs w:val="18"/>
              </w:rPr>
            </w:pPr>
            <w:r w:rsidRPr="00A1207D">
              <w:rPr>
                <w:rFonts w:ascii="Arial Narrow" w:hAnsi="Arial Narrow" w:cs="Arial"/>
                <w:b/>
                <w:sz w:val="18"/>
                <w:szCs w:val="18"/>
              </w:rPr>
              <w:t>№.of</w:t>
            </w:r>
          </w:p>
          <w:p w14:paraId="07088ABB" w14:textId="77777777" w:rsidR="00955414" w:rsidRPr="00A1207D" w:rsidRDefault="00955414" w:rsidP="00F65256">
            <w:pPr>
              <w:keepNext/>
              <w:ind w:left="-108"/>
              <w:jc w:val="center"/>
              <w:rPr>
                <w:rFonts w:ascii="Arial Narrow" w:hAnsi="Arial Narrow" w:cs="Arial"/>
                <w:b/>
                <w:sz w:val="18"/>
                <w:szCs w:val="18"/>
              </w:rPr>
            </w:pPr>
            <w:r w:rsidRPr="00A1207D">
              <w:rPr>
                <w:rFonts w:ascii="Arial Narrow" w:hAnsi="Arial Narrow" w:cs="Arial"/>
                <w:b/>
                <w:sz w:val="18"/>
                <w:szCs w:val="18"/>
              </w:rPr>
              <w:t>Rpts</w:t>
            </w:r>
          </w:p>
        </w:tc>
        <w:tc>
          <w:tcPr>
            <w:tcW w:w="2551" w:type="dxa"/>
            <w:gridSpan w:val="2"/>
          </w:tcPr>
          <w:p w14:paraId="6DBED4E3" w14:textId="77777777" w:rsidR="00955414" w:rsidRPr="00A5621A" w:rsidRDefault="00955414" w:rsidP="00F65256">
            <w:pPr>
              <w:keepNext/>
              <w:rPr>
                <w:rFonts w:ascii="Arial Narrow" w:hAnsi="Arial Narrow" w:cs="Arial"/>
                <w:b/>
                <w:sz w:val="18"/>
                <w:szCs w:val="18"/>
              </w:rPr>
            </w:pPr>
            <w:r w:rsidRPr="00A1207D">
              <w:rPr>
                <w:rFonts w:ascii="Arial Narrow" w:hAnsi="Arial Narrow" w:cs="Arial"/>
                <w:b/>
                <w:sz w:val="18"/>
                <w:szCs w:val="18"/>
              </w:rPr>
              <w:t>Proprietary Name and Manufacturer</w:t>
            </w:r>
          </w:p>
        </w:tc>
      </w:tr>
      <w:tr w:rsidR="00955414" w:rsidRPr="00A1207D" w14:paraId="6BCFB97D" w14:textId="77777777" w:rsidTr="00F65256">
        <w:trPr>
          <w:cantSplit/>
          <w:trHeight w:val="601"/>
        </w:trPr>
        <w:tc>
          <w:tcPr>
            <w:tcW w:w="2689" w:type="dxa"/>
          </w:tcPr>
          <w:p w14:paraId="740C92ED" w14:textId="77777777" w:rsidR="00D455FB" w:rsidRPr="00A1207D" w:rsidRDefault="00D455FB" w:rsidP="00D455FB">
            <w:pPr>
              <w:keepNext/>
              <w:ind w:left="-108"/>
              <w:rPr>
                <w:rFonts w:ascii="Arial Narrow" w:hAnsi="Arial Narrow" w:cs="Arial"/>
                <w:sz w:val="18"/>
                <w:szCs w:val="18"/>
              </w:rPr>
            </w:pPr>
            <w:r w:rsidRPr="00A1207D">
              <w:rPr>
                <w:rFonts w:ascii="Arial Narrow" w:hAnsi="Arial Narrow" w:cs="Arial"/>
                <w:sz w:val="18"/>
                <w:szCs w:val="18"/>
              </w:rPr>
              <w:t>BENRALIZUMAB</w:t>
            </w:r>
          </w:p>
          <w:p w14:paraId="7BD68E45" w14:textId="289BFDB7" w:rsidR="00955414" w:rsidRPr="00A1207D" w:rsidRDefault="00955414" w:rsidP="00A71952">
            <w:pPr>
              <w:keepNext/>
              <w:ind w:left="-108"/>
              <w:jc w:val="both"/>
              <w:rPr>
                <w:rFonts w:ascii="Arial Narrow" w:hAnsi="Arial Narrow" w:cs="Arial"/>
                <w:sz w:val="18"/>
                <w:szCs w:val="18"/>
              </w:rPr>
            </w:pPr>
            <w:r w:rsidRPr="00A1207D">
              <w:rPr>
                <w:rFonts w:ascii="Arial Narrow" w:hAnsi="Arial Narrow" w:cs="Arial"/>
                <w:sz w:val="18"/>
                <w:szCs w:val="18"/>
              </w:rPr>
              <w:t xml:space="preserve">benralizumab 30 mg/mL injection, 1 mL pen device </w:t>
            </w:r>
          </w:p>
        </w:tc>
        <w:tc>
          <w:tcPr>
            <w:tcW w:w="1275" w:type="dxa"/>
          </w:tcPr>
          <w:p w14:paraId="711CDBBC" w14:textId="77777777" w:rsidR="00955414" w:rsidRPr="00A1207D" w:rsidRDefault="00955414" w:rsidP="00F65256">
            <w:pPr>
              <w:keepNext/>
              <w:ind w:left="-108"/>
              <w:jc w:val="center"/>
              <w:rPr>
                <w:rFonts w:ascii="Arial Narrow" w:hAnsi="Arial Narrow" w:cs="Arial"/>
                <w:sz w:val="18"/>
                <w:szCs w:val="18"/>
              </w:rPr>
            </w:pPr>
            <w:r w:rsidRPr="00A1207D">
              <w:rPr>
                <w:rFonts w:ascii="Arial Narrow" w:hAnsi="Arial Narrow" w:cs="Arial"/>
                <w:sz w:val="18"/>
                <w:szCs w:val="18"/>
              </w:rPr>
              <w:t>NEW (Private)</w:t>
            </w:r>
          </w:p>
          <w:p w14:paraId="7B26A012" w14:textId="77777777" w:rsidR="00955414" w:rsidRPr="00A1207D" w:rsidRDefault="00955414" w:rsidP="00F65256">
            <w:pPr>
              <w:keepNext/>
              <w:ind w:left="-108"/>
              <w:jc w:val="center"/>
              <w:rPr>
                <w:rFonts w:ascii="Arial Narrow" w:hAnsi="Arial Narrow" w:cs="Arial"/>
                <w:sz w:val="18"/>
                <w:szCs w:val="18"/>
              </w:rPr>
            </w:pPr>
            <w:r w:rsidRPr="00A1207D">
              <w:rPr>
                <w:rFonts w:ascii="Arial Narrow" w:hAnsi="Arial Narrow" w:cs="Arial"/>
                <w:sz w:val="18"/>
                <w:szCs w:val="18"/>
              </w:rPr>
              <w:t>NEW (Public)</w:t>
            </w:r>
          </w:p>
        </w:tc>
        <w:tc>
          <w:tcPr>
            <w:tcW w:w="851" w:type="dxa"/>
          </w:tcPr>
          <w:p w14:paraId="13D7DE95" w14:textId="77777777" w:rsidR="00955414" w:rsidRPr="00A1207D" w:rsidRDefault="00955414" w:rsidP="00F65256">
            <w:pPr>
              <w:keepNext/>
              <w:jc w:val="center"/>
              <w:rPr>
                <w:rFonts w:ascii="Arial Narrow" w:hAnsi="Arial Narrow" w:cs="Arial"/>
                <w:sz w:val="18"/>
                <w:szCs w:val="18"/>
              </w:rPr>
            </w:pPr>
            <w:r w:rsidRPr="00A1207D">
              <w:rPr>
                <w:rFonts w:ascii="Arial Narrow" w:hAnsi="Arial Narrow" w:cs="Arial"/>
                <w:sz w:val="18"/>
                <w:szCs w:val="18"/>
              </w:rPr>
              <w:t>1</w:t>
            </w:r>
          </w:p>
        </w:tc>
        <w:tc>
          <w:tcPr>
            <w:tcW w:w="850" w:type="dxa"/>
          </w:tcPr>
          <w:p w14:paraId="5B82C056" w14:textId="77777777" w:rsidR="00955414" w:rsidRPr="00A1207D" w:rsidRDefault="00955414" w:rsidP="00F65256">
            <w:pPr>
              <w:keepNext/>
              <w:ind w:left="-108"/>
              <w:jc w:val="center"/>
              <w:rPr>
                <w:rFonts w:ascii="Arial Narrow" w:hAnsi="Arial Narrow" w:cs="Arial"/>
                <w:sz w:val="18"/>
                <w:szCs w:val="18"/>
              </w:rPr>
            </w:pPr>
            <w:r w:rsidRPr="00A1207D">
              <w:rPr>
                <w:rFonts w:ascii="Arial Narrow" w:hAnsi="Arial Narrow" w:cs="Arial"/>
                <w:sz w:val="18"/>
                <w:szCs w:val="18"/>
              </w:rPr>
              <w:t>1</w:t>
            </w:r>
          </w:p>
        </w:tc>
        <w:tc>
          <w:tcPr>
            <w:tcW w:w="709" w:type="dxa"/>
          </w:tcPr>
          <w:p w14:paraId="421984A6" w14:textId="77777777" w:rsidR="00955414" w:rsidRPr="00A1207D" w:rsidRDefault="00955414" w:rsidP="00F65256">
            <w:pPr>
              <w:keepNext/>
              <w:ind w:left="-108"/>
              <w:jc w:val="center"/>
              <w:rPr>
                <w:rFonts w:ascii="Arial Narrow" w:hAnsi="Arial Narrow" w:cs="Arial"/>
                <w:sz w:val="18"/>
                <w:szCs w:val="18"/>
              </w:rPr>
            </w:pPr>
            <w:r w:rsidRPr="00A1207D">
              <w:rPr>
                <w:rFonts w:ascii="Arial Narrow" w:hAnsi="Arial Narrow" w:cs="Arial"/>
                <w:sz w:val="18"/>
                <w:szCs w:val="18"/>
              </w:rPr>
              <w:t>4</w:t>
            </w:r>
          </w:p>
        </w:tc>
        <w:tc>
          <w:tcPr>
            <w:tcW w:w="1276" w:type="dxa"/>
          </w:tcPr>
          <w:p w14:paraId="6802B33D" w14:textId="2839ABA4" w:rsidR="00955414" w:rsidRPr="00A1207D" w:rsidRDefault="00955414" w:rsidP="00A71952">
            <w:pPr>
              <w:keepNext/>
              <w:rPr>
                <w:rFonts w:ascii="Arial Narrow" w:hAnsi="Arial Narrow" w:cs="Arial"/>
                <w:sz w:val="18"/>
                <w:szCs w:val="18"/>
              </w:rPr>
            </w:pPr>
            <w:r w:rsidRPr="00A1207D">
              <w:rPr>
                <w:rFonts w:ascii="Arial Narrow" w:hAnsi="Arial Narrow" w:cs="Arial"/>
                <w:sz w:val="18"/>
                <w:szCs w:val="18"/>
              </w:rPr>
              <w:t xml:space="preserve">Fasenra Pen™ </w:t>
            </w:r>
          </w:p>
        </w:tc>
        <w:tc>
          <w:tcPr>
            <w:tcW w:w="1275" w:type="dxa"/>
          </w:tcPr>
          <w:p w14:paraId="4AA30A52" w14:textId="77777777" w:rsidR="00955414" w:rsidRPr="00A1207D" w:rsidRDefault="00955414" w:rsidP="00F65256">
            <w:pPr>
              <w:keepNext/>
              <w:rPr>
                <w:rFonts w:ascii="Arial Narrow" w:hAnsi="Arial Narrow" w:cs="Arial"/>
                <w:sz w:val="18"/>
                <w:szCs w:val="18"/>
              </w:rPr>
            </w:pPr>
            <w:r w:rsidRPr="00A1207D">
              <w:rPr>
                <w:rFonts w:ascii="Arial Narrow" w:hAnsi="Arial Narrow" w:cs="Arial"/>
                <w:sz w:val="18"/>
                <w:szCs w:val="18"/>
              </w:rPr>
              <w:t>AstraZeneca Pty Ltd</w:t>
            </w:r>
          </w:p>
        </w:tc>
      </w:tr>
    </w:tbl>
    <w:p w14:paraId="106CE0D5" w14:textId="0A2D438F" w:rsidR="0057577C" w:rsidRDefault="0057577C" w:rsidP="00AE22D3">
      <w:pPr>
        <w:rPr>
          <w:rFonts w:asciiTheme="minorHAnsi" w:hAnsiTheme="minorHAnsi"/>
          <w:sz w:val="22"/>
          <w:szCs w:val="22"/>
        </w:rPr>
      </w:pPr>
    </w:p>
    <w:p w14:paraId="05858C82" w14:textId="09A59C4A" w:rsidR="00DF5100" w:rsidRDefault="00DF5100" w:rsidP="00AE22D3">
      <w:pPr>
        <w:rPr>
          <w:rFonts w:asciiTheme="minorHAnsi" w:hAnsiTheme="minorHAnsi"/>
          <w:b/>
          <w:i/>
        </w:rPr>
      </w:pPr>
      <w:r w:rsidRPr="00DF5100">
        <w:rPr>
          <w:rFonts w:asciiTheme="minorHAnsi" w:hAnsiTheme="minorHAnsi"/>
          <w:b/>
          <w:i/>
        </w:rPr>
        <w:t>This restriction may be subject to further review. Should there be any changes made to the restriction the Sponsor will be informed</w:t>
      </w:r>
      <w:r w:rsidR="002E48A5">
        <w:rPr>
          <w:rFonts w:asciiTheme="minorHAnsi" w:hAnsiTheme="minorHAnsi"/>
          <w:b/>
          <w:i/>
        </w:rPr>
        <w:t>.</w:t>
      </w:r>
      <w:r w:rsidR="00C843CB">
        <w:rPr>
          <w:rFonts w:asciiTheme="minorHAnsi" w:hAnsiTheme="minorHAnsi"/>
          <w:b/>
          <w:i/>
        </w:rPr>
        <w:br/>
      </w:r>
    </w:p>
    <w:p w14:paraId="42C69BA5" w14:textId="77777777" w:rsidR="00C0356B" w:rsidRPr="00E54E68" w:rsidRDefault="00C0356B" w:rsidP="00C0356B">
      <w:pPr>
        <w:pStyle w:val="2-SectionHeading"/>
        <w:numPr>
          <w:ilvl w:val="0"/>
          <w:numId w:val="2"/>
        </w:numPr>
        <w:rPr>
          <w:rFonts w:eastAsiaTheme="minorHAnsi"/>
          <w:szCs w:val="22"/>
          <w:lang w:eastAsia="en-US"/>
        </w:rPr>
      </w:pPr>
      <w:r w:rsidRPr="00E54E68">
        <w:rPr>
          <w:rFonts w:eastAsiaTheme="minorHAnsi"/>
          <w:szCs w:val="22"/>
          <w:lang w:eastAsia="en-US"/>
        </w:rPr>
        <w:t>Context for Decision</w:t>
      </w:r>
    </w:p>
    <w:p w14:paraId="584DE181" w14:textId="77777777" w:rsidR="00C0356B" w:rsidRPr="00E54E68" w:rsidRDefault="00C0356B" w:rsidP="00C0356B">
      <w:pPr>
        <w:spacing w:line="276" w:lineRule="auto"/>
        <w:rPr>
          <w:rFonts w:asciiTheme="minorHAnsi" w:eastAsiaTheme="minorHAnsi" w:hAnsiTheme="minorHAnsi"/>
          <w:szCs w:val="22"/>
          <w:lang w:eastAsia="en-US"/>
        </w:rPr>
      </w:pPr>
      <w:r w:rsidRPr="002324FB">
        <w:rPr>
          <w:rFonts w:asciiTheme="minorHAnsi" w:eastAsiaTheme="minorHAnsi" w:hAnsiTheme="minorHAnsi"/>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A5960E" w14:textId="74B5BE37" w:rsidR="00C0356B" w:rsidRPr="00B441F1" w:rsidRDefault="00C0356B" w:rsidP="00B441F1">
      <w:pPr>
        <w:pStyle w:val="2-SectionHeading"/>
        <w:numPr>
          <w:ilvl w:val="0"/>
          <w:numId w:val="2"/>
        </w:numPr>
        <w:rPr>
          <w:rFonts w:eastAsiaTheme="minorHAnsi"/>
          <w:szCs w:val="22"/>
          <w:lang w:eastAsia="en-US"/>
        </w:rPr>
      </w:pPr>
      <w:r w:rsidRPr="00E54E68">
        <w:rPr>
          <w:rFonts w:eastAsiaTheme="minorHAnsi"/>
          <w:szCs w:val="22"/>
          <w:lang w:eastAsia="en-US"/>
        </w:rPr>
        <w:t>Sponsor’s Comment</w:t>
      </w:r>
    </w:p>
    <w:p w14:paraId="0A0E276A" w14:textId="776C8FA6" w:rsidR="00C0356B" w:rsidRPr="004B1860" w:rsidRDefault="00C0356B" w:rsidP="004B1860">
      <w:pPr>
        <w:spacing w:line="276" w:lineRule="auto"/>
        <w:rPr>
          <w:rFonts w:asciiTheme="minorHAnsi" w:eastAsiaTheme="minorHAnsi" w:hAnsiTheme="minorHAnsi"/>
          <w:szCs w:val="22"/>
          <w:lang w:eastAsia="en-US"/>
        </w:rPr>
      </w:pPr>
      <w:r w:rsidRPr="00C65A3E">
        <w:rPr>
          <w:rFonts w:asciiTheme="minorHAnsi" w:eastAsiaTheme="minorHAnsi" w:hAnsiTheme="minorHAnsi"/>
          <w:szCs w:val="22"/>
          <w:lang w:eastAsia="en-US"/>
        </w:rPr>
        <w:t>The sponsor had no comment.</w:t>
      </w:r>
    </w:p>
    <w:sectPr w:rsidR="00C0356B" w:rsidRPr="004B186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9E5FB7" w:rsidRDefault="009E5FB7">
      <w:r>
        <w:separator/>
      </w:r>
    </w:p>
    <w:p w14:paraId="038E238C" w14:textId="77777777" w:rsidR="009E5FB7" w:rsidRDefault="009E5FB7"/>
    <w:p w14:paraId="0A5BEB2D" w14:textId="77777777" w:rsidR="009E5FB7" w:rsidRDefault="009E5FB7"/>
  </w:endnote>
  <w:endnote w:type="continuationSeparator" w:id="0">
    <w:p w14:paraId="4AA3880E" w14:textId="77777777" w:rsidR="009E5FB7" w:rsidRDefault="009E5FB7">
      <w:r>
        <w:continuationSeparator/>
      </w:r>
    </w:p>
    <w:p w14:paraId="7EA76869" w14:textId="77777777" w:rsidR="009E5FB7" w:rsidRDefault="009E5FB7"/>
    <w:p w14:paraId="51BE2451" w14:textId="77777777" w:rsidR="009E5FB7" w:rsidRDefault="009E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5FB7" w14:paraId="7AE7B59D" w14:textId="77777777" w:rsidTr="005A3173">
      <w:trPr>
        <w:trHeight w:val="151"/>
      </w:trPr>
      <w:tc>
        <w:tcPr>
          <w:tcW w:w="2250" w:type="pct"/>
          <w:tcBorders>
            <w:top w:val="nil"/>
            <w:left w:val="nil"/>
            <w:bottom w:val="single" w:sz="4" w:space="0" w:color="4F81BD"/>
            <w:right w:val="nil"/>
          </w:tcBorders>
        </w:tcPr>
        <w:p w14:paraId="67C1D142" w14:textId="77777777" w:rsidR="009E5FB7" w:rsidRPr="005A3173" w:rsidRDefault="009E5FB7"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9E5FB7" w:rsidRPr="005A3173" w:rsidRDefault="009E5F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9E5FB7" w:rsidRPr="005A3173" w:rsidRDefault="009E5FB7" w:rsidP="005A3173">
          <w:pPr>
            <w:pStyle w:val="Header"/>
            <w:spacing w:line="276" w:lineRule="auto"/>
            <w:rPr>
              <w:rFonts w:ascii="Calibri" w:eastAsia="MS Gothic" w:hAnsi="Calibri"/>
              <w:b/>
              <w:bCs/>
              <w:color w:val="4F81BD"/>
            </w:rPr>
          </w:pPr>
        </w:p>
      </w:tc>
    </w:tr>
    <w:tr w:rsidR="009E5FB7" w14:paraId="09AEC201" w14:textId="77777777" w:rsidTr="005A3173">
      <w:trPr>
        <w:trHeight w:val="150"/>
      </w:trPr>
      <w:tc>
        <w:tcPr>
          <w:tcW w:w="2250" w:type="pct"/>
          <w:tcBorders>
            <w:top w:val="single" w:sz="4" w:space="0" w:color="4F81BD"/>
            <w:left w:val="nil"/>
            <w:bottom w:val="nil"/>
            <w:right w:val="nil"/>
          </w:tcBorders>
        </w:tcPr>
        <w:p w14:paraId="262F4099" w14:textId="77777777" w:rsidR="009E5FB7" w:rsidRPr="005A3173" w:rsidRDefault="009E5FB7"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9E5FB7" w:rsidRPr="005A3173" w:rsidRDefault="009E5FB7"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9E5FB7" w:rsidRPr="005A3173" w:rsidRDefault="009E5FB7" w:rsidP="005A3173">
          <w:pPr>
            <w:pStyle w:val="Header"/>
            <w:spacing w:line="276" w:lineRule="auto"/>
            <w:rPr>
              <w:rFonts w:ascii="Calibri" w:eastAsia="MS Gothic" w:hAnsi="Calibri"/>
              <w:b/>
              <w:bCs/>
              <w:color w:val="4F81BD"/>
            </w:rPr>
          </w:pPr>
        </w:p>
      </w:tc>
    </w:tr>
  </w:tbl>
  <w:p w14:paraId="10555411" w14:textId="77777777" w:rsidR="009E5FB7" w:rsidRDefault="009E5FB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bookmarkStart w:id="1" w:name="_GoBack"/>
  </w:p>
  <w:p w14:paraId="3486D064" w14:textId="77777777" w:rsidR="009E5FB7" w:rsidRDefault="009E5FB7">
    <w:pPr>
      <w:pStyle w:val="Footer"/>
    </w:pPr>
  </w:p>
  <w:p w14:paraId="32F5595B" w14:textId="77777777" w:rsidR="009E5FB7" w:rsidRDefault="009E5FB7"/>
  <w:bookmarkEnd w:id="1"/>
  <w:p w14:paraId="097A27B0" w14:textId="77777777" w:rsidR="009E5FB7" w:rsidRDefault="009E5F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BD61" w14:textId="77777777" w:rsidR="009E5FB7" w:rsidRDefault="009E5FB7">
    <w:pPr>
      <w:pStyle w:val="Footer"/>
      <w:jc w:val="center"/>
    </w:pPr>
  </w:p>
  <w:p w14:paraId="73FA0F64" w14:textId="68E5F530" w:rsidR="009E5FB7" w:rsidRPr="004F7BBC" w:rsidRDefault="00014F92" w:rsidP="004F7BBC">
    <w:pPr>
      <w:pStyle w:val="Footer"/>
      <w:jc w:val="center"/>
      <w:rPr>
        <w:rFonts w:asciiTheme="minorHAnsi" w:hAnsiTheme="minorHAnsi" w:cstheme="minorHAnsi"/>
        <w:b/>
      </w:rPr>
    </w:pPr>
    <w:sdt>
      <w:sdtPr>
        <w:rPr>
          <w:rFonts w:asciiTheme="minorHAnsi" w:hAnsiTheme="minorHAnsi" w:cstheme="minorHAnsi"/>
          <w:b/>
        </w:rPr>
        <w:id w:val="729339817"/>
        <w:docPartObj>
          <w:docPartGallery w:val="Page Numbers (Bottom of Page)"/>
          <w:docPartUnique/>
        </w:docPartObj>
      </w:sdtPr>
      <w:sdtEndPr>
        <w:rPr>
          <w:noProof/>
        </w:rPr>
      </w:sdtEndPr>
      <w:sdtContent>
        <w:r w:rsidR="009E5FB7" w:rsidRPr="00E24720">
          <w:rPr>
            <w:rFonts w:asciiTheme="minorHAnsi" w:hAnsiTheme="minorHAnsi" w:cstheme="minorHAnsi"/>
            <w:b/>
          </w:rPr>
          <w:fldChar w:fldCharType="begin"/>
        </w:r>
        <w:r w:rsidR="009E5FB7" w:rsidRPr="00E24720">
          <w:rPr>
            <w:rFonts w:asciiTheme="minorHAnsi" w:hAnsiTheme="minorHAnsi" w:cstheme="minorHAnsi"/>
            <w:b/>
          </w:rPr>
          <w:instrText xml:space="preserve"> PAGE   \* MERGEFORMAT </w:instrText>
        </w:r>
        <w:r w:rsidR="009E5FB7" w:rsidRPr="00E24720">
          <w:rPr>
            <w:rFonts w:asciiTheme="minorHAnsi" w:hAnsiTheme="minorHAnsi" w:cstheme="minorHAnsi"/>
            <w:b/>
          </w:rPr>
          <w:fldChar w:fldCharType="separate"/>
        </w:r>
        <w:r>
          <w:rPr>
            <w:rFonts w:asciiTheme="minorHAnsi" w:hAnsiTheme="minorHAnsi" w:cstheme="minorHAnsi"/>
            <w:b/>
            <w:noProof/>
          </w:rPr>
          <w:t>1</w:t>
        </w:r>
        <w:r w:rsidR="009E5FB7" w:rsidRPr="00E24720">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E5FB7" w14:paraId="031AA569" w14:textId="77777777" w:rsidTr="005A3173">
      <w:trPr>
        <w:trHeight w:val="151"/>
      </w:trPr>
      <w:tc>
        <w:tcPr>
          <w:tcW w:w="2250" w:type="pct"/>
          <w:tcBorders>
            <w:top w:val="nil"/>
            <w:left w:val="nil"/>
            <w:bottom w:val="single" w:sz="4" w:space="0" w:color="4F81BD"/>
            <w:right w:val="nil"/>
          </w:tcBorders>
        </w:tcPr>
        <w:p w14:paraId="41814DAF" w14:textId="77777777" w:rsidR="009E5FB7" w:rsidRPr="005A3173" w:rsidRDefault="009E5FB7"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9E5FB7" w:rsidRPr="005A3173" w:rsidRDefault="009E5F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9E5FB7" w:rsidRPr="005A3173" w:rsidRDefault="009E5FB7" w:rsidP="005A3173">
          <w:pPr>
            <w:pStyle w:val="Header"/>
            <w:spacing w:line="276" w:lineRule="auto"/>
            <w:rPr>
              <w:rFonts w:ascii="Calibri" w:eastAsia="MS Gothic" w:hAnsi="Calibri"/>
              <w:b/>
              <w:bCs/>
              <w:color w:val="4F81BD"/>
            </w:rPr>
          </w:pPr>
        </w:p>
      </w:tc>
    </w:tr>
    <w:tr w:rsidR="009E5FB7" w14:paraId="1AF3C146" w14:textId="77777777" w:rsidTr="005A3173">
      <w:trPr>
        <w:trHeight w:val="150"/>
      </w:trPr>
      <w:tc>
        <w:tcPr>
          <w:tcW w:w="2250" w:type="pct"/>
          <w:tcBorders>
            <w:top w:val="single" w:sz="4" w:space="0" w:color="4F81BD"/>
            <w:left w:val="nil"/>
            <w:bottom w:val="nil"/>
            <w:right w:val="nil"/>
          </w:tcBorders>
        </w:tcPr>
        <w:p w14:paraId="30486D49" w14:textId="77777777" w:rsidR="009E5FB7" w:rsidRPr="005A3173" w:rsidRDefault="009E5FB7"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9E5FB7" w:rsidRPr="005A3173" w:rsidRDefault="009E5FB7"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9E5FB7" w:rsidRPr="005A3173" w:rsidRDefault="009E5FB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5FB7" w14:paraId="4C2C8FBC" w14:textId="77777777" w:rsidTr="005A3173">
      <w:trPr>
        <w:trHeight w:val="151"/>
      </w:trPr>
      <w:tc>
        <w:tcPr>
          <w:tcW w:w="2250" w:type="pct"/>
          <w:tcBorders>
            <w:top w:val="nil"/>
            <w:left w:val="nil"/>
            <w:bottom w:val="single" w:sz="4" w:space="0" w:color="4F81BD"/>
            <w:right w:val="nil"/>
          </w:tcBorders>
        </w:tcPr>
        <w:p w14:paraId="144A534E" w14:textId="77777777" w:rsidR="009E5FB7" w:rsidRPr="005A3173" w:rsidRDefault="009E5FB7"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9E5FB7" w:rsidRPr="005A3173" w:rsidRDefault="009E5F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9E5FB7" w:rsidRPr="005A3173" w:rsidRDefault="009E5FB7" w:rsidP="005A3173">
          <w:pPr>
            <w:pStyle w:val="Header"/>
            <w:spacing w:line="276" w:lineRule="auto"/>
            <w:rPr>
              <w:rFonts w:ascii="Calibri" w:eastAsia="MS Gothic" w:hAnsi="Calibri"/>
              <w:b/>
              <w:bCs/>
              <w:color w:val="4F81BD"/>
            </w:rPr>
          </w:pPr>
        </w:p>
      </w:tc>
    </w:tr>
    <w:tr w:rsidR="009E5FB7" w14:paraId="1EFFFA27" w14:textId="77777777" w:rsidTr="005A3173">
      <w:trPr>
        <w:trHeight w:val="150"/>
      </w:trPr>
      <w:tc>
        <w:tcPr>
          <w:tcW w:w="2250" w:type="pct"/>
          <w:tcBorders>
            <w:top w:val="single" w:sz="4" w:space="0" w:color="4F81BD"/>
            <w:left w:val="nil"/>
            <w:bottom w:val="nil"/>
            <w:right w:val="nil"/>
          </w:tcBorders>
        </w:tcPr>
        <w:p w14:paraId="6492EAAC" w14:textId="77777777" w:rsidR="009E5FB7" w:rsidRPr="005A3173" w:rsidRDefault="009E5FB7"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9E5FB7" w:rsidRPr="005A3173" w:rsidRDefault="009E5FB7"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9E5FB7" w:rsidRPr="005A3173" w:rsidRDefault="009E5FB7" w:rsidP="005A3173">
          <w:pPr>
            <w:pStyle w:val="Header"/>
            <w:spacing w:line="276" w:lineRule="auto"/>
            <w:rPr>
              <w:rFonts w:ascii="Calibri" w:eastAsia="MS Gothic" w:hAnsi="Calibri"/>
              <w:b/>
              <w:bCs/>
              <w:color w:val="4F81BD"/>
            </w:rPr>
          </w:pPr>
        </w:p>
      </w:tc>
    </w:tr>
  </w:tbl>
  <w:p w14:paraId="5D2C6B0E" w14:textId="77777777" w:rsidR="009E5FB7" w:rsidRPr="007C0F57" w:rsidRDefault="009E5FB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9E5FB7" w:rsidRPr="007C0F57" w:rsidRDefault="009E5FB7" w:rsidP="007C0F57">
    <w:pPr>
      <w:pStyle w:val="Footer"/>
      <w:jc w:val="center"/>
      <w:rPr>
        <w:b/>
        <w:i/>
        <w:sz w:val="20"/>
        <w:szCs w:val="20"/>
      </w:rPr>
    </w:pPr>
    <w:r w:rsidRPr="007C0F57">
      <w:rPr>
        <w:b/>
        <w:i/>
        <w:sz w:val="20"/>
        <w:szCs w:val="20"/>
      </w:rPr>
      <w:t>Commercial-in-Confidence</w:t>
    </w:r>
  </w:p>
  <w:p w14:paraId="7123EEDA" w14:textId="77777777" w:rsidR="009E5FB7" w:rsidRDefault="009E5FB7"/>
  <w:p w14:paraId="2EC782D1" w14:textId="77777777" w:rsidR="009E5FB7" w:rsidRDefault="009E5F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9E5FB7" w:rsidRDefault="009E5FB7">
      <w:r>
        <w:separator/>
      </w:r>
    </w:p>
    <w:p w14:paraId="1F7BFAE1" w14:textId="77777777" w:rsidR="009E5FB7" w:rsidRDefault="009E5FB7"/>
    <w:p w14:paraId="3D296D3B" w14:textId="77777777" w:rsidR="009E5FB7" w:rsidRDefault="009E5FB7"/>
  </w:footnote>
  <w:footnote w:type="continuationSeparator" w:id="0">
    <w:p w14:paraId="254A1251" w14:textId="77777777" w:rsidR="009E5FB7" w:rsidRDefault="009E5FB7">
      <w:r>
        <w:continuationSeparator/>
      </w:r>
    </w:p>
    <w:p w14:paraId="25AD7CC7" w14:textId="77777777" w:rsidR="009E5FB7" w:rsidRDefault="009E5FB7"/>
    <w:p w14:paraId="50153809" w14:textId="77777777" w:rsidR="009E5FB7" w:rsidRDefault="009E5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E5FB7"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9E5FB7" w:rsidRPr="00A06225" w:rsidRDefault="009E5FB7">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9E5FB7" w:rsidRPr="00A06225" w:rsidRDefault="009E5FB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9E5FB7" w:rsidRPr="00A06225" w:rsidRDefault="009E5FB7">
          <w:pPr>
            <w:pStyle w:val="Header"/>
            <w:spacing w:line="276" w:lineRule="auto"/>
            <w:rPr>
              <w:rFonts w:ascii="Cambria" w:eastAsia="MS Gothic" w:hAnsi="Cambria"/>
              <w:b/>
              <w:bCs/>
              <w:color w:val="4F81BD"/>
            </w:rPr>
          </w:pPr>
        </w:p>
      </w:tc>
    </w:tr>
    <w:tr w:rsidR="009E5FB7"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9E5FB7" w:rsidRPr="00A06225" w:rsidRDefault="009E5FB7">
          <w:pPr>
            <w:pStyle w:val="Header"/>
            <w:spacing w:line="276" w:lineRule="auto"/>
            <w:rPr>
              <w:rFonts w:ascii="Cambria" w:eastAsia="MS Gothic" w:hAnsi="Cambria"/>
              <w:b/>
              <w:bCs/>
              <w:color w:val="4F81BD"/>
            </w:rPr>
          </w:pPr>
        </w:p>
      </w:tc>
      <w:tc>
        <w:tcPr>
          <w:tcW w:w="0" w:type="auto"/>
          <w:vMerge/>
          <w:vAlign w:val="center"/>
          <w:hideMark/>
        </w:tcPr>
        <w:p w14:paraId="093C6CD8" w14:textId="77777777" w:rsidR="009E5FB7" w:rsidRPr="00A06225" w:rsidRDefault="009E5FB7">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9E5FB7" w:rsidRPr="00A06225" w:rsidRDefault="009E5FB7">
          <w:pPr>
            <w:pStyle w:val="Header"/>
            <w:spacing w:line="276" w:lineRule="auto"/>
            <w:rPr>
              <w:rFonts w:ascii="Cambria" w:eastAsia="MS Gothic" w:hAnsi="Cambria"/>
              <w:b/>
              <w:bCs/>
              <w:color w:val="4F81BD"/>
            </w:rPr>
          </w:pPr>
        </w:p>
      </w:tc>
    </w:tr>
  </w:tbl>
  <w:p w14:paraId="359FF7DA" w14:textId="77777777" w:rsidR="009E5FB7" w:rsidRDefault="009E5FB7">
    <w:pPr>
      <w:pStyle w:val="Header"/>
    </w:pPr>
  </w:p>
  <w:p w14:paraId="54F42DAD" w14:textId="77777777" w:rsidR="009E5FB7" w:rsidRDefault="009E5FB7"/>
  <w:p w14:paraId="0CC61684" w14:textId="77777777" w:rsidR="009E5FB7" w:rsidRDefault="009E5F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B8D9" w14:textId="4D6994C0" w:rsidR="009E5FB7" w:rsidRDefault="00B41F91" w:rsidP="00B441F1">
    <w:pPr>
      <w:pStyle w:val="Header"/>
      <w:keepNext/>
      <w:tabs>
        <w:tab w:val="clear" w:pos="8306"/>
        <w:tab w:val="center" w:pos="4693"/>
        <w:tab w:val="left" w:pos="8290"/>
      </w:tabs>
      <w:jc w:val="center"/>
      <w:rPr>
        <w:rFonts w:asciiTheme="minorHAnsi" w:hAnsiTheme="minorHAnsi" w:cs="Arial"/>
        <w:i/>
        <w:color w:val="808080"/>
      </w:rPr>
    </w:pPr>
    <w:r>
      <w:rPr>
        <w:rFonts w:asciiTheme="minorHAnsi" w:hAnsiTheme="minorHAnsi" w:cs="Arial"/>
        <w:i/>
        <w:color w:val="808080"/>
      </w:rPr>
      <w:t>Public Summary Document</w:t>
    </w:r>
    <w:r w:rsidR="009E5FB7">
      <w:rPr>
        <w:rFonts w:asciiTheme="minorHAnsi" w:hAnsiTheme="minorHAnsi" w:cs="Arial"/>
        <w:i/>
        <w:color w:val="808080"/>
      </w:rPr>
      <w:t xml:space="preserve"> </w:t>
    </w:r>
    <w:r w:rsidR="009E5FB7" w:rsidRPr="00056684">
      <w:rPr>
        <w:rFonts w:asciiTheme="minorHAnsi" w:hAnsiTheme="minorHAnsi" w:cs="Arial"/>
        <w:i/>
        <w:color w:val="808080"/>
      </w:rPr>
      <w:t xml:space="preserve">– </w:t>
    </w:r>
    <w:r w:rsidR="009E5FB7">
      <w:rPr>
        <w:rFonts w:asciiTheme="minorHAnsi" w:hAnsiTheme="minorHAnsi" w:cs="Arial"/>
        <w:i/>
        <w:color w:val="808080"/>
      </w:rPr>
      <w:t>March 2020</w:t>
    </w:r>
    <w:r w:rsidR="009E5FB7" w:rsidRPr="00056684">
      <w:rPr>
        <w:rFonts w:asciiTheme="minorHAnsi" w:hAnsiTheme="minorHAnsi" w:cs="Arial"/>
        <w:i/>
        <w:color w:val="808080"/>
      </w:rPr>
      <w:t xml:space="preserve"> PBAC Meeting</w:t>
    </w:r>
  </w:p>
  <w:p w14:paraId="667C6217" w14:textId="77777777" w:rsidR="00B441F1" w:rsidRPr="00B441F1" w:rsidRDefault="00B441F1" w:rsidP="00B441F1">
    <w:pPr>
      <w:pStyle w:val="Header"/>
      <w:keepNext/>
      <w:tabs>
        <w:tab w:val="clear" w:pos="8306"/>
        <w:tab w:val="center" w:pos="4693"/>
        <w:tab w:val="left" w:pos="8290"/>
      </w:tabs>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03280C"/>
    <w:multiLevelType w:val="hybridMultilevel"/>
    <w:tmpl w:val="BC60287A"/>
    <w:lvl w:ilvl="0" w:tplc="EAE609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F54EFE"/>
    <w:multiLevelType w:val="hybridMultilevel"/>
    <w:tmpl w:val="2982A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3749CE"/>
    <w:multiLevelType w:val="hybridMultilevel"/>
    <w:tmpl w:val="777AEAF0"/>
    <w:lvl w:ilvl="0" w:tplc="6C208D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2" w15:restartNumberingAfterBreak="0">
    <w:nsid w:val="44442297"/>
    <w:multiLevelType w:val="hybridMultilevel"/>
    <w:tmpl w:val="E6FE4E00"/>
    <w:lvl w:ilvl="0" w:tplc="C324F4FC">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3"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4"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959E7"/>
    <w:multiLevelType w:val="hybridMultilevel"/>
    <w:tmpl w:val="CB109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C0D88E8C"/>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D92221C"/>
    <w:multiLevelType w:val="hybridMultilevel"/>
    <w:tmpl w:val="DAE06156"/>
    <w:lvl w:ilvl="0" w:tplc="ADC61C0C">
      <w:start w:val="1"/>
      <w:numFmt w:val="bullet"/>
      <w:pStyle w:val="Bulletpoints"/>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24"/>
  </w:num>
  <w:num w:numId="3">
    <w:abstractNumId w:val="19"/>
  </w:num>
  <w:num w:numId="4">
    <w:abstractNumId w:val="12"/>
  </w:num>
  <w:num w:numId="5">
    <w:abstractNumId w:val="16"/>
  </w:num>
  <w:num w:numId="6">
    <w:abstractNumId w:val="25"/>
  </w:num>
  <w:num w:numId="7">
    <w:abstractNumId w:val="21"/>
  </w:num>
  <w:num w:numId="8">
    <w:abstractNumId w:val="23"/>
  </w:num>
  <w:num w:numId="9">
    <w:abstractNumId w:val="15"/>
  </w:num>
  <w:num w:numId="10">
    <w:abstractNumId w:val="22"/>
  </w:num>
  <w:num w:numId="11">
    <w:abstractNumId w:val="11"/>
    <w:lvlOverride w:ilvl="0">
      <w:startOverride w:val="1"/>
    </w:lvlOverride>
  </w:num>
  <w:num w:numId="12">
    <w:abstractNumId w:val="11"/>
  </w:num>
  <w:num w:numId="13">
    <w:abstractNumId w:val="11"/>
    <w:lvlOverride w:ilvl="0">
      <w:startOverride w:val="1"/>
    </w:lvlOverride>
  </w:num>
  <w:num w:numId="14">
    <w:abstractNumId w:val="13"/>
  </w:num>
  <w:num w:numId="15">
    <w:abstractNumId w:val="11"/>
    <w:lvlOverride w:ilvl="0">
      <w:startOverride w:val="4"/>
    </w:lvlOverride>
  </w:num>
  <w:num w:numId="16">
    <w:abstractNumId w:val="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lvlOverride w:ilvl="0">
      <w:startOverride w:val="1"/>
    </w:lvlOverride>
  </w:num>
  <w:num w:numId="21">
    <w:abstractNumId w:val="26"/>
  </w:num>
  <w:num w:numId="22">
    <w:abstractNumId w:val="24"/>
  </w:num>
  <w:num w:numId="23">
    <w:abstractNumId w:val="18"/>
  </w:num>
  <w:num w:numId="24">
    <w:abstractNumId w:val="8"/>
  </w:num>
  <w:num w:numId="25">
    <w:abstractNumId w:val="9"/>
  </w:num>
  <w:num w:numId="26">
    <w:abstractNumId w:val="2"/>
  </w:num>
  <w:num w:numId="27">
    <w:abstractNumId w:val="14"/>
  </w:num>
  <w:num w:numId="28">
    <w:abstractNumId w:val="17"/>
  </w:num>
  <w:num w:numId="29">
    <w:abstractNumId w:val="4"/>
  </w:num>
  <w:num w:numId="30">
    <w:abstractNumId w:val="1"/>
  </w:num>
  <w:num w:numId="31">
    <w:abstractNumId w:val="6"/>
  </w:num>
  <w:num w:numId="32">
    <w:abstractNumId w:val="7"/>
  </w:num>
  <w:num w:numId="3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539A"/>
    <w:rsid w:val="00005881"/>
    <w:rsid w:val="00007B54"/>
    <w:rsid w:val="00011A59"/>
    <w:rsid w:val="00014000"/>
    <w:rsid w:val="00014F92"/>
    <w:rsid w:val="00016A41"/>
    <w:rsid w:val="000214D1"/>
    <w:rsid w:val="0002464A"/>
    <w:rsid w:val="0003106B"/>
    <w:rsid w:val="00033257"/>
    <w:rsid w:val="00034905"/>
    <w:rsid w:val="000421A1"/>
    <w:rsid w:val="0004233A"/>
    <w:rsid w:val="0004240E"/>
    <w:rsid w:val="000450A0"/>
    <w:rsid w:val="00045E26"/>
    <w:rsid w:val="00047B3C"/>
    <w:rsid w:val="000514B5"/>
    <w:rsid w:val="00055D6D"/>
    <w:rsid w:val="00060E64"/>
    <w:rsid w:val="00065DC2"/>
    <w:rsid w:val="00066755"/>
    <w:rsid w:val="00066B0A"/>
    <w:rsid w:val="0006785F"/>
    <w:rsid w:val="000763D5"/>
    <w:rsid w:val="000764BE"/>
    <w:rsid w:val="00077143"/>
    <w:rsid w:val="00082169"/>
    <w:rsid w:val="00082655"/>
    <w:rsid w:val="000918CB"/>
    <w:rsid w:val="00091B06"/>
    <w:rsid w:val="00092C0A"/>
    <w:rsid w:val="000951C4"/>
    <w:rsid w:val="00095ADA"/>
    <w:rsid w:val="000969AD"/>
    <w:rsid w:val="000A1B53"/>
    <w:rsid w:val="000A3AA2"/>
    <w:rsid w:val="000A430C"/>
    <w:rsid w:val="000A44B2"/>
    <w:rsid w:val="000B376B"/>
    <w:rsid w:val="000B44C3"/>
    <w:rsid w:val="000B558D"/>
    <w:rsid w:val="000B5A3D"/>
    <w:rsid w:val="000C32F7"/>
    <w:rsid w:val="000C3BFC"/>
    <w:rsid w:val="000C5F95"/>
    <w:rsid w:val="000C6996"/>
    <w:rsid w:val="000D09E9"/>
    <w:rsid w:val="000D23BA"/>
    <w:rsid w:val="000D760A"/>
    <w:rsid w:val="000E1166"/>
    <w:rsid w:val="000E4C2A"/>
    <w:rsid w:val="000E681E"/>
    <w:rsid w:val="000F0003"/>
    <w:rsid w:val="000F3384"/>
    <w:rsid w:val="000F4E6A"/>
    <w:rsid w:val="000F5A67"/>
    <w:rsid w:val="000F7354"/>
    <w:rsid w:val="00100482"/>
    <w:rsid w:val="00102202"/>
    <w:rsid w:val="00104227"/>
    <w:rsid w:val="0010751A"/>
    <w:rsid w:val="001107BF"/>
    <w:rsid w:val="00113649"/>
    <w:rsid w:val="00120762"/>
    <w:rsid w:val="00121A4E"/>
    <w:rsid w:val="00121C32"/>
    <w:rsid w:val="0012417C"/>
    <w:rsid w:val="0012749D"/>
    <w:rsid w:val="0012751F"/>
    <w:rsid w:val="00132D84"/>
    <w:rsid w:val="00142395"/>
    <w:rsid w:val="00142714"/>
    <w:rsid w:val="0014476E"/>
    <w:rsid w:val="001452ED"/>
    <w:rsid w:val="00147793"/>
    <w:rsid w:val="00147D84"/>
    <w:rsid w:val="001549C1"/>
    <w:rsid w:val="00161BDC"/>
    <w:rsid w:val="00162D4E"/>
    <w:rsid w:val="00163329"/>
    <w:rsid w:val="001643F5"/>
    <w:rsid w:val="00164623"/>
    <w:rsid w:val="001652DE"/>
    <w:rsid w:val="00165B64"/>
    <w:rsid w:val="001718AE"/>
    <w:rsid w:val="00180713"/>
    <w:rsid w:val="001825CA"/>
    <w:rsid w:val="001830CE"/>
    <w:rsid w:val="00184217"/>
    <w:rsid w:val="00185539"/>
    <w:rsid w:val="0018643B"/>
    <w:rsid w:val="00191C06"/>
    <w:rsid w:val="00196307"/>
    <w:rsid w:val="001A33EA"/>
    <w:rsid w:val="001A4C4F"/>
    <w:rsid w:val="001A76FB"/>
    <w:rsid w:val="001A7D3E"/>
    <w:rsid w:val="001B017F"/>
    <w:rsid w:val="001B2BBC"/>
    <w:rsid w:val="001B3FFE"/>
    <w:rsid w:val="001B5129"/>
    <w:rsid w:val="001B778C"/>
    <w:rsid w:val="001C0B4C"/>
    <w:rsid w:val="001C1195"/>
    <w:rsid w:val="001C5A01"/>
    <w:rsid w:val="001D11B3"/>
    <w:rsid w:val="001D1F5F"/>
    <w:rsid w:val="001E06D2"/>
    <w:rsid w:val="001F06C1"/>
    <w:rsid w:val="001F1850"/>
    <w:rsid w:val="001F3189"/>
    <w:rsid w:val="00203FAC"/>
    <w:rsid w:val="002059E3"/>
    <w:rsid w:val="00213CFB"/>
    <w:rsid w:val="0021553C"/>
    <w:rsid w:val="0021557B"/>
    <w:rsid w:val="002174FD"/>
    <w:rsid w:val="00217BE1"/>
    <w:rsid w:val="00221FB9"/>
    <w:rsid w:val="002327AA"/>
    <w:rsid w:val="00234252"/>
    <w:rsid w:val="0023528B"/>
    <w:rsid w:val="00237AC6"/>
    <w:rsid w:val="00241D1E"/>
    <w:rsid w:val="002436F1"/>
    <w:rsid w:val="00244490"/>
    <w:rsid w:val="00253499"/>
    <w:rsid w:val="00254B2A"/>
    <w:rsid w:val="002551A4"/>
    <w:rsid w:val="00256EB1"/>
    <w:rsid w:val="00257664"/>
    <w:rsid w:val="00265151"/>
    <w:rsid w:val="00266509"/>
    <w:rsid w:val="002712A9"/>
    <w:rsid w:val="002713BF"/>
    <w:rsid w:val="00271BA1"/>
    <w:rsid w:val="00272D8A"/>
    <w:rsid w:val="002762FA"/>
    <w:rsid w:val="00277505"/>
    <w:rsid w:val="002823B6"/>
    <w:rsid w:val="00283E5D"/>
    <w:rsid w:val="0028520E"/>
    <w:rsid w:val="00285F97"/>
    <w:rsid w:val="002910A1"/>
    <w:rsid w:val="00292FEA"/>
    <w:rsid w:val="00294274"/>
    <w:rsid w:val="0029458F"/>
    <w:rsid w:val="002A0E04"/>
    <w:rsid w:val="002A104C"/>
    <w:rsid w:val="002A494D"/>
    <w:rsid w:val="002A4960"/>
    <w:rsid w:val="002B0AE0"/>
    <w:rsid w:val="002B1AE6"/>
    <w:rsid w:val="002B1D51"/>
    <w:rsid w:val="002B238E"/>
    <w:rsid w:val="002B2DE8"/>
    <w:rsid w:val="002B30F8"/>
    <w:rsid w:val="002B388A"/>
    <w:rsid w:val="002B5596"/>
    <w:rsid w:val="002C212F"/>
    <w:rsid w:val="002C48E2"/>
    <w:rsid w:val="002C6EAD"/>
    <w:rsid w:val="002C7485"/>
    <w:rsid w:val="002D2587"/>
    <w:rsid w:val="002D283A"/>
    <w:rsid w:val="002D2882"/>
    <w:rsid w:val="002D4543"/>
    <w:rsid w:val="002D48AC"/>
    <w:rsid w:val="002D6DE5"/>
    <w:rsid w:val="002E3153"/>
    <w:rsid w:val="002E48A5"/>
    <w:rsid w:val="002E5292"/>
    <w:rsid w:val="002E55A3"/>
    <w:rsid w:val="002E72CA"/>
    <w:rsid w:val="002F2CBD"/>
    <w:rsid w:val="002F600D"/>
    <w:rsid w:val="002F7806"/>
    <w:rsid w:val="00300AD6"/>
    <w:rsid w:val="00300B1B"/>
    <w:rsid w:val="003019D0"/>
    <w:rsid w:val="003028B8"/>
    <w:rsid w:val="00304077"/>
    <w:rsid w:val="00305C88"/>
    <w:rsid w:val="003064AF"/>
    <w:rsid w:val="00307064"/>
    <w:rsid w:val="00317C6C"/>
    <w:rsid w:val="00320CD3"/>
    <w:rsid w:val="00321932"/>
    <w:rsid w:val="00322CE8"/>
    <w:rsid w:val="0032338C"/>
    <w:rsid w:val="00326E79"/>
    <w:rsid w:val="003301B1"/>
    <w:rsid w:val="00331189"/>
    <w:rsid w:val="0033263D"/>
    <w:rsid w:val="0033518A"/>
    <w:rsid w:val="003367EF"/>
    <w:rsid w:val="00341AE4"/>
    <w:rsid w:val="00343522"/>
    <w:rsid w:val="00344CC3"/>
    <w:rsid w:val="00346F2F"/>
    <w:rsid w:val="003476EE"/>
    <w:rsid w:val="00353A28"/>
    <w:rsid w:val="00362510"/>
    <w:rsid w:val="00367908"/>
    <w:rsid w:val="00370A14"/>
    <w:rsid w:val="003736C9"/>
    <w:rsid w:val="00381DF6"/>
    <w:rsid w:val="00384988"/>
    <w:rsid w:val="003872CF"/>
    <w:rsid w:val="00395429"/>
    <w:rsid w:val="0039782C"/>
    <w:rsid w:val="003A17F6"/>
    <w:rsid w:val="003A5B4A"/>
    <w:rsid w:val="003B23C5"/>
    <w:rsid w:val="003B2A75"/>
    <w:rsid w:val="003B6124"/>
    <w:rsid w:val="003B7978"/>
    <w:rsid w:val="003C093A"/>
    <w:rsid w:val="003C1ECF"/>
    <w:rsid w:val="003C21D0"/>
    <w:rsid w:val="003C2FB5"/>
    <w:rsid w:val="003C540A"/>
    <w:rsid w:val="003C7C30"/>
    <w:rsid w:val="003D1F6F"/>
    <w:rsid w:val="003D24C5"/>
    <w:rsid w:val="003D4614"/>
    <w:rsid w:val="003D4AC4"/>
    <w:rsid w:val="003D63B7"/>
    <w:rsid w:val="003E133D"/>
    <w:rsid w:val="003E468B"/>
    <w:rsid w:val="003E4F94"/>
    <w:rsid w:val="003E516D"/>
    <w:rsid w:val="003E62BD"/>
    <w:rsid w:val="003E6B9F"/>
    <w:rsid w:val="003E7DC3"/>
    <w:rsid w:val="003F00A7"/>
    <w:rsid w:val="003F0897"/>
    <w:rsid w:val="003F0C3A"/>
    <w:rsid w:val="003F22F9"/>
    <w:rsid w:val="003F3228"/>
    <w:rsid w:val="003F5C8C"/>
    <w:rsid w:val="003F775A"/>
    <w:rsid w:val="003F7764"/>
    <w:rsid w:val="00400E55"/>
    <w:rsid w:val="0040128E"/>
    <w:rsid w:val="0040216B"/>
    <w:rsid w:val="0040284C"/>
    <w:rsid w:val="00404110"/>
    <w:rsid w:val="004252EC"/>
    <w:rsid w:val="00430D39"/>
    <w:rsid w:val="00442A57"/>
    <w:rsid w:val="00444709"/>
    <w:rsid w:val="00444D0E"/>
    <w:rsid w:val="004465BD"/>
    <w:rsid w:val="00446DD5"/>
    <w:rsid w:val="00447F8D"/>
    <w:rsid w:val="0045628F"/>
    <w:rsid w:val="00461A44"/>
    <w:rsid w:val="00466ADA"/>
    <w:rsid w:val="004702BB"/>
    <w:rsid w:val="00473183"/>
    <w:rsid w:val="004733EF"/>
    <w:rsid w:val="004735E0"/>
    <w:rsid w:val="0047494B"/>
    <w:rsid w:val="00476245"/>
    <w:rsid w:val="00476825"/>
    <w:rsid w:val="00477A9B"/>
    <w:rsid w:val="00480794"/>
    <w:rsid w:val="00483035"/>
    <w:rsid w:val="004838C8"/>
    <w:rsid w:val="00485940"/>
    <w:rsid w:val="004904B9"/>
    <w:rsid w:val="00496488"/>
    <w:rsid w:val="004A2484"/>
    <w:rsid w:val="004A5A85"/>
    <w:rsid w:val="004A6F10"/>
    <w:rsid w:val="004A71D1"/>
    <w:rsid w:val="004A7C5B"/>
    <w:rsid w:val="004B0727"/>
    <w:rsid w:val="004B07E3"/>
    <w:rsid w:val="004B1860"/>
    <w:rsid w:val="004B2E98"/>
    <w:rsid w:val="004B4C99"/>
    <w:rsid w:val="004B5640"/>
    <w:rsid w:val="004C0C63"/>
    <w:rsid w:val="004C1BD7"/>
    <w:rsid w:val="004C31FE"/>
    <w:rsid w:val="004C43B4"/>
    <w:rsid w:val="004C524C"/>
    <w:rsid w:val="004C691D"/>
    <w:rsid w:val="004C6C07"/>
    <w:rsid w:val="004D0E5B"/>
    <w:rsid w:val="004D2BA6"/>
    <w:rsid w:val="004D4FF6"/>
    <w:rsid w:val="004D6C15"/>
    <w:rsid w:val="004E03CB"/>
    <w:rsid w:val="004E145F"/>
    <w:rsid w:val="004E692D"/>
    <w:rsid w:val="004E7D87"/>
    <w:rsid w:val="004F2553"/>
    <w:rsid w:val="004F3056"/>
    <w:rsid w:val="004F37EF"/>
    <w:rsid w:val="004F572C"/>
    <w:rsid w:val="004F7BBC"/>
    <w:rsid w:val="00501554"/>
    <w:rsid w:val="00502AFE"/>
    <w:rsid w:val="00503AD7"/>
    <w:rsid w:val="00504553"/>
    <w:rsid w:val="00504E0C"/>
    <w:rsid w:val="0050500C"/>
    <w:rsid w:val="00505C21"/>
    <w:rsid w:val="005109D4"/>
    <w:rsid w:val="005128A5"/>
    <w:rsid w:val="00512EEB"/>
    <w:rsid w:val="005134E7"/>
    <w:rsid w:val="00514CD7"/>
    <w:rsid w:val="005209F3"/>
    <w:rsid w:val="00520D6A"/>
    <w:rsid w:val="00522DB6"/>
    <w:rsid w:val="00523579"/>
    <w:rsid w:val="0052792D"/>
    <w:rsid w:val="00530DD3"/>
    <w:rsid w:val="005319B2"/>
    <w:rsid w:val="00532402"/>
    <w:rsid w:val="00532C74"/>
    <w:rsid w:val="00532EB8"/>
    <w:rsid w:val="00533719"/>
    <w:rsid w:val="00533E31"/>
    <w:rsid w:val="00534E2E"/>
    <w:rsid w:val="00540EBC"/>
    <w:rsid w:val="00541333"/>
    <w:rsid w:val="00543B11"/>
    <w:rsid w:val="00544552"/>
    <w:rsid w:val="00545D3A"/>
    <w:rsid w:val="0055286A"/>
    <w:rsid w:val="00553EAA"/>
    <w:rsid w:val="00555745"/>
    <w:rsid w:val="00556D08"/>
    <w:rsid w:val="00557D4F"/>
    <w:rsid w:val="00560D12"/>
    <w:rsid w:val="005627A9"/>
    <w:rsid w:val="0056419C"/>
    <w:rsid w:val="00564669"/>
    <w:rsid w:val="0056484E"/>
    <w:rsid w:val="0057577C"/>
    <w:rsid w:val="005764CD"/>
    <w:rsid w:val="00577C4D"/>
    <w:rsid w:val="00580532"/>
    <w:rsid w:val="00581932"/>
    <w:rsid w:val="005823F7"/>
    <w:rsid w:val="005910FA"/>
    <w:rsid w:val="005963BB"/>
    <w:rsid w:val="005A1DAA"/>
    <w:rsid w:val="005A2BED"/>
    <w:rsid w:val="005A3173"/>
    <w:rsid w:val="005A3223"/>
    <w:rsid w:val="005A3DA3"/>
    <w:rsid w:val="005A52C4"/>
    <w:rsid w:val="005B2995"/>
    <w:rsid w:val="005B4539"/>
    <w:rsid w:val="005B6108"/>
    <w:rsid w:val="005B6BA4"/>
    <w:rsid w:val="005C30EA"/>
    <w:rsid w:val="005C5490"/>
    <w:rsid w:val="005C7220"/>
    <w:rsid w:val="005D03AB"/>
    <w:rsid w:val="005D0484"/>
    <w:rsid w:val="005D5017"/>
    <w:rsid w:val="005D63FA"/>
    <w:rsid w:val="005E1333"/>
    <w:rsid w:val="005E1BEB"/>
    <w:rsid w:val="005E1DFD"/>
    <w:rsid w:val="005E3136"/>
    <w:rsid w:val="005E507D"/>
    <w:rsid w:val="005E51F0"/>
    <w:rsid w:val="005E6E84"/>
    <w:rsid w:val="005F519A"/>
    <w:rsid w:val="00601A91"/>
    <w:rsid w:val="00602BA3"/>
    <w:rsid w:val="00605B63"/>
    <w:rsid w:val="00606EED"/>
    <w:rsid w:val="00612E34"/>
    <w:rsid w:val="00614159"/>
    <w:rsid w:val="00616C5F"/>
    <w:rsid w:val="00616DAC"/>
    <w:rsid w:val="00617230"/>
    <w:rsid w:val="00617C00"/>
    <w:rsid w:val="006263BF"/>
    <w:rsid w:val="0062748A"/>
    <w:rsid w:val="00630988"/>
    <w:rsid w:val="00630A2C"/>
    <w:rsid w:val="0063682E"/>
    <w:rsid w:val="00642DA8"/>
    <w:rsid w:val="006436CD"/>
    <w:rsid w:val="00644784"/>
    <w:rsid w:val="006447B4"/>
    <w:rsid w:val="00651169"/>
    <w:rsid w:val="00653D69"/>
    <w:rsid w:val="006552E6"/>
    <w:rsid w:val="00656C5E"/>
    <w:rsid w:val="00657C63"/>
    <w:rsid w:val="0066309A"/>
    <w:rsid w:val="006670BE"/>
    <w:rsid w:val="00670A76"/>
    <w:rsid w:val="00671065"/>
    <w:rsid w:val="006711AA"/>
    <w:rsid w:val="00672B57"/>
    <w:rsid w:val="00673CDE"/>
    <w:rsid w:val="00675622"/>
    <w:rsid w:val="0067747D"/>
    <w:rsid w:val="00681CA4"/>
    <w:rsid w:val="00685004"/>
    <w:rsid w:val="00686B1A"/>
    <w:rsid w:val="0069039D"/>
    <w:rsid w:val="006906DB"/>
    <w:rsid w:val="00691E6C"/>
    <w:rsid w:val="00693DFB"/>
    <w:rsid w:val="00694411"/>
    <w:rsid w:val="0069501D"/>
    <w:rsid w:val="00696129"/>
    <w:rsid w:val="0069640C"/>
    <w:rsid w:val="00697CF2"/>
    <w:rsid w:val="006A1093"/>
    <w:rsid w:val="006A12A5"/>
    <w:rsid w:val="006A1A86"/>
    <w:rsid w:val="006A5E20"/>
    <w:rsid w:val="006B0D94"/>
    <w:rsid w:val="006B485D"/>
    <w:rsid w:val="006B5FDD"/>
    <w:rsid w:val="006C0758"/>
    <w:rsid w:val="006C1188"/>
    <w:rsid w:val="006C334C"/>
    <w:rsid w:val="006C708E"/>
    <w:rsid w:val="006D07D0"/>
    <w:rsid w:val="006D14E7"/>
    <w:rsid w:val="006D4444"/>
    <w:rsid w:val="006D6493"/>
    <w:rsid w:val="006D6EC7"/>
    <w:rsid w:val="006E1BCD"/>
    <w:rsid w:val="006E1CED"/>
    <w:rsid w:val="006F5125"/>
    <w:rsid w:val="006F58EF"/>
    <w:rsid w:val="006F733D"/>
    <w:rsid w:val="00702B6F"/>
    <w:rsid w:val="00706A2F"/>
    <w:rsid w:val="00706BE2"/>
    <w:rsid w:val="0070718E"/>
    <w:rsid w:val="0071340B"/>
    <w:rsid w:val="007174BB"/>
    <w:rsid w:val="0072025D"/>
    <w:rsid w:val="007202E4"/>
    <w:rsid w:val="007229D9"/>
    <w:rsid w:val="00723314"/>
    <w:rsid w:val="0073137C"/>
    <w:rsid w:val="007319AD"/>
    <w:rsid w:val="007353D3"/>
    <w:rsid w:val="00735923"/>
    <w:rsid w:val="00736C64"/>
    <w:rsid w:val="0074156B"/>
    <w:rsid w:val="00750D75"/>
    <w:rsid w:val="007555E8"/>
    <w:rsid w:val="007603ED"/>
    <w:rsid w:val="007625A7"/>
    <w:rsid w:val="0076420C"/>
    <w:rsid w:val="00771D07"/>
    <w:rsid w:val="007721AF"/>
    <w:rsid w:val="00774E2C"/>
    <w:rsid w:val="007753C2"/>
    <w:rsid w:val="007773D5"/>
    <w:rsid w:val="007838B8"/>
    <w:rsid w:val="007915BA"/>
    <w:rsid w:val="0079256C"/>
    <w:rsid w:val="00792905"/>
    <w:rsid w:val="00794D95"/>
    <w:rsid w:val="007A27C5"/>
    <w:rsid w:val="007A4F23"/>
    <w:rsid w:val="007B0794"/>
    <w:rsid w:val="007B3DDC"/>
    <w:rsid w:val="007B6D47"/>
    <w:rsid w:val="007B72A6"/>
    <w:rsid w:val="007C0F57"/>
    <w:rsid w:val="007C1932"/>
    <w:rsid w:val="007C40B6"/>
    <w:rsid w:val="007C65A6"/>
    <w:rsid w:val="007C6767"/>
    <w:rsid w:val="007C729F"/>
    <w:rsid w:val="007D3655"/>
    <w:rsid w:val="007E12B0"/>
    <w:rsid w:val="007E1D28"/>
    <w:rsid w:val="007E246C"/>
    <w:rsid w:val="007E28A5"/>
    <w:rsid w:val="007F0021"/>
    <w:rsid w:val="007F2641"/>
    <w:rsid w:val="007F576E"/>
    <w:rsid w:val="007F7C36"/>
    <w:rsid w:val="00802C8C"/>
    <w:rsid w:val="0080331B"/>
    <w:rsid w:val="00806796"/>
    <w:rsid w:val="00811CC0"/>
    <w:rsid w:val="008151D6"/>
    <w:rsid w:val="00821527"/>
    <w:rsid w:val="008219B6"/>
    <w:rsid w:val="008268BB"/>
    <w:rsid w:val="00826F6D"/>
    <w:rsid w:val="008306F3"/>
    <w:rsid w:val="00830E40"/>
    <w:rsid w:val="00841A04"/>
    <w:rsid w:val="00842D39"/>
    <w:rsid w:val="0085313E"/>
    <w:rsid w:val="00853CE5"/>
    <w:rsid w:val="00855597"/>
    <w:rsid w:val="00855AED"/>
    <w:rsid w:val="00855FD6"/>
    <w:rsid w:val="00856DDD"/>
    <w:rsid w:val="0085764E"/>
    <w:rsid w:val="008576EA"/>
    <w:rsid w:val="00863E68"/>
    <w:rsid w:val="008647B5"/>
    <w:rsid w:val="00875DCB"/>
    <w:rsid w:val="00880CDF"/>
    <w:rsid w:val="00882085"/>
    <w:rsid w:val="00883188"/>
    <w:rsid w:val="00892F5F"/>
    <w:rsid w:val="0089418E"/>
    <w:rsid w:val="00896E41"/>
    <w:rsid w:val="00897D58"/>
    <w:rsid w:val="00897F22"/>
    <w:rsid w:val="008A0B39"/>
    <w:rsid w:val="008A0B8A"/>
    <w:rsid w:val="008A1956"/>
    <w:rsid w:val="008A4937"/>
    <w:rsid w:val="008A50F1"/>
    <w:rsid w:val="008A59D9"/>
    <w:rsid w:val="008A6819"/>
    <w:rsid w:val="008A6923"/>
    <w:rsid w:val="008B2EC0"/>
    <w:rsid w:val="008B397A"/>
    <w:rsid w:val="008C1B44"/>
    <w:rsid w:val="008D068B"/>
    <w:rsid w:val="008D1B5C"/>
    <w:rsid w:val="008D3316"/>
    <w:rsid w:val="008D3C82"/>
    <w:rsid w:val="008D447E"/>
    <w:rsid w:val="008D5EF7"/>
    <w:rsid w:val="008D7A41"/>
    <w:rsid w:val="008E2C72"/>
    <w:rsid w:val="008E3680"/>
    <w:rsid w:val="008E5870"/>
    <w:rsid w:val="008F1434"/>
    <w:rsid w:val="008F3CB1"/>
    <w:rsid w:val="008F53E6"/>
    <w:rsid w:val="008F54C3"/>
    <w:rsid w:val="008F6F58"/>
    <w:rsid w:val="008F7355"/>
    <w:rsid w:val="0090234D"/>
    <w:rsid w:val="009023DC"/>
    <w:rsid w:val="00902E73"/>
    <w:rsid w:val="00906316"/>
    <w:rsid w:val="009067B7"/>
    <w:rsid w:val="00911F43"/>
    <w:rsid w:val="00913DCD"/>
    <w:rsid w:val="009240FA"/>
    <w:rsid w:val="00926560"/>
    <w:rsid w:val="00930937"/>
    <w:rsid w:val="0093189F"/>
    <w:rsid w:val="009324A6"/>
    <w:rsid w:val="00933E6C"/>
    <w:rsid w:val="00937958"/>
    <w:rsid w:val="00941602"/>
    <w:rsid w:val="00942160"/>
    <w:rsid w:val="0095146F"/>
    <w:rsid w:val="00955414"/>
    <w:rsid w:val="009578C3"/>
    <w:rsid w:val="00957944"/>
    <w:rsid w:val="00957F83"/>
    <w:rsid w:val="009602C5"/>
    <w:rsid w:val="00962223"/>
    <w:rsid w:val="009626F0"/>
    <w:rsid w:val="00966D0D"/>
    <w:rsid w:val="0096783C"/>
    <w:rsid w:val="009722B3"/>
    <w:rsid w:val="00974C21"/>
    <w:rsid w:val="00977BF3"/>
    <w:rsid w:val="009803E4"/>
    <w:rsid w:val="00980B0E"/>
    <w:rsid w:val="00980B41"/>
    <w:rsid w:val="009836A3"/>
    <w:rsid w:val="00984A12"/>
    <w:rsid w:val="009855A8"/>
    <w:rsid w:val="0099118C"/>
    <w:rsid w:val="009913F4"/>
    <w:rsid w:val="009931C7"/>
    <w:rsid w:val="0099465B"/>
    <w:rsid w:val="00996399"/>
    <w:rsid w:val="00997E51"/>
    <w:rsid w:val="009A06FB"/>
    <w:rsid w:val="009A0CDD"/>
    <w:rsid w:val="009A231F"/>
    <w:rsid w:val="009A3168"/>
    <w:rsid w:val="009A50BF"/>
    <w:rsid w:val="009A5E2A"/>
    <w:rsid w:val="009A61CA"/>
    <w:rsid w:val="009A6C49"/>
    <w:rsid w:val="009A72BA"/>
    <w:rsid w:val="009B0C64"/>
    <w:rsid w:val="009B0F67"/>
    <w:rsid w:val="009B2FF2"/>
    <w:rsid w:val="009C703C"/>
    <w:rsid w:val="009D0C81"/>
    <w:rsid w:val="009D206E"/>
    <w:rsid w:val="009D3CAA"/>
    <w:rsid w:val="009D6532"/>
    <w:rsid w:val="009D71F2"/>
    <w:rsid w:val="009D7FBC"/>
    <w:rsid w:val="009E3105"/>
    <w:rsid w:val="009E40E1"/>
    <w:rsid w:val="009E45A9"/>
    <w:rsid w:val="009E4B6C"/>
    <w:rsid w:val="009E5FB7"/>
    <w:rsid w:val="009E76F7"/>
    <w:rsid w:val="009F0EFA"/>
    <w:rsid w:val="009F4637"/>
    <w:rsid w:val="009F4E46"/>
    <w:rsid w:val="009F5213"/>
    <w:rsid w:val="009F5B65"/>
    <w:rsid w:val="009F5F2E"/>
    <w:rsid w:val="00A06225"/>
    <w:rsid w:val="00A1207D"/>
    <w:rsid w:val="00A128E6"/>
    <w:rsid w:val="00A144D3"/>
    <w:rsid w:val="00A150D8"/>
    <w:rsid w:val="00A153F8"/>
    <w:rsid w:val="00A22AC3"/>
    <w:rsid w:val="00A24BAC"/>
    <w:rsid w:val="00A2744D"/>
    <w:rsid w:val="00A34E6C"/>
    <w:rsid w:val="00A36398"/>
    <w:rsid w:val="00A3767B"/>
    <w:rsid w:val="00A37C8D"/>
    <w:rsid w:val="00A4020E"/>
    <w:rsid w:val="00A40FB5"/>
    <w:rsid w:val="00A42826"/>
    <w:rsid w:val="00A4336E"/>
    <w:rsid w:val="00A44595"/>
    <w:rsid w:val="00A44BBC"/>
    <w:rsid w:val="00A47515"/>
    <w:rsid w:val="00A50533"/>
    <w:rsid w:val="00A5273B"/>
    <w:rsid w:val="00A53A9D"/>
    <w:rsid w:val="00A55FEE"/>
    <w:rsid w:val="00A5621A"/>
    <w:rsid w:val="00A62C1A"/>
    <w:rsid w:val="00A6426D"/>
    <w:rsid w:val="00A647F4"/>
    <w:rsid w:val="00A665C1"/>
    <w:rsid w:val="00A67F35"/>
    <w:rsid w:val="00A70622"/>
    <w:rsid w:val="00A70977"/>
    <w:rsid w:val="00A70D58"/>
    <w:rsid w:val="00A71952"/>
    <w:rsid w:val="00A724E8"/>
    <w:rsid w:val="00A744F9"/>
    <w:rsid w:val="00A77613"/>
    <w:rsid w:val="00A80F53"/>
    <w:rsid w:val="00A8390C"/>
    <w:rsid w:val="00A84520"/>
    <w:rsid w:val="00A86AE0"/>
    <w:rsid w:val="00A87FEF"/>
    <w:rsid w:val="00A928BD"/>
    <w:rsid w:val="00A97DE9"/>
    <w:rsid w:val="00AA0C50"/>
    <w:rsid w:val="00AA12CD"/>
    <w:rsid w:val="00AA4D1C"/>
    <w:rsid w:val="00AA5769"/>
    <w:rsid w:val="00AA75FD"/>
    <w:rsid w:val="00AB15BF"/>
    <w:rsid w:val="00AB2F97"/>
    <w:rsid w:val="00AB5856"/>
    <w:rsid w:val="00AC193C"/>
    <w:rsid w:val="00AC4DE5"/>
    <w:rsid w:val="00AC5206"/>
    <w:rsid w:val="00AC56E9"/>
    <w:rsid w:val="00AD0E2B"/>
    <w:rsid w:val="00AD4322"/>
    <w:rsid w:val="00AD4B2E"/>
    <w:rsid w:val="00AD6243"/>
    <w:rsid w:val="00AE0372"/>
    <w:rsid w:val="00AE11A5"/>
    <w:rsid w:val="00AE13E2"/>
    <w:rsid w:val="00AE2159"/>
    <w:rsid w:val="00AE22D3"/>
    <w:rsid w:val="00AE42EA"/>
    <w:rsid w:val="00AE5A49"/>
    <w:rsid w:val="00AE732E"/>
    <w:rsid w:val="00AF01F0"/>
    <w:rsid w:val="00AF2EA4"/>
    <w:rsid w:val="00AF62DF"/>
    <w:rsid w:val="00AF68CC"/>
    <w:rsid w:val="00AF70D7"/>
    <w:rsid w:val="00B0331B"/>
    <w:rsid w:val="00B07A37"/>
    <w:rsid w:val="00B07CFB"/>
    <w:rsid w:val="00B07FFB"/>
    <w:rsid w:val="00B1059E"/>
    <w:rsid w:val="00B170A5"/>
    <w:rsid w:val="00B176C8"/>
    <w:rsid w:val="00B205AA"/>
    <w:rsid w:val="00B2279E"/>
    <w:rsid w:val="00B22E84"/>
    <w:rsid w:val="00B233AD"/>
    <w:rsid w:val="00B23E25"/>
    <w:rsid w:val="00B25110"/>
    <w:rsid w:val="00B25F75"/>
    <w:rsid w:val="00B26B3F"/>
    <w:rsid w:val="00B2778F"/>
    <w:rsid w:val="00B33551"/>
    <w:rsid w:val="00B33635"/>
    <w:rsid w:val="00B33838"/>
    <w:rsid w:val="00B40B16"/>
    <w:rsid w:val="00B41F91"/>
    <w:rsid w:val="00B43E90"/>
    <w:rsid w:val="00B441F1"/>
    <w:rsid w:val="00B467DC"/>
    <w:rsid w:val="00B467FA"/>
    <w:rsid w:val="00B46A73"/>
    <w:rsid w:val="00B47BF1"/>
    <w:rsid w:val="00B530C9"/>
    <w:rsid w:val="00B54D5B"/>
    <w:rsid w:val="00B56118"/>
    <w:rsid w:val="00B5701C"/>
    <w:rsid w:val="00B57048"/>
    <w:rsid w:val="00B62ACD"/>
    <w:rsid w:val="00B6773F"/>
    <w:rsid w:val="00B760FB"/>
    <w:rsid w:val="00B767AB"/>
    <w:rsid w:val="00B801BA"/>
    <w:rsid w:val="00B84D5C"/>
    <w:rsid w:val="00B85E44"/>
    <w:rsid w:val="00BA2DA8"/>
    <w:rsid w:val="00BA3418"/>
    <w:rsid w:val="00BA347C"/>
    <w:rsid w:val="00BA5469"/>
    <w:rsid w:val="00BB26C5"/>
    <w:rsid w:val="00BB69F5"/>
    <w:rsid w:val="00BB7EC3"/>
    <w:rsid w:val="00BC1C2B"/>
    <w:rsid w:val="00BC3741"/>
    <w:rsid w:val="00BC4B9A"/>
    <w:rsid w:val="00BD02C3"/>
    <w:rsid w:val="00BD49DE"/>
    <w:rsid w:val="00BD784C"/>
    <w:rsid w:val="00BE020A"/>
    <w:rsid w:val="00BE051A"/>
    <w:rsid w:val="00BE2C16"/>
    <w:rsid w:val="00BE3FCD"/>
    <w:rsid w:val="00BE496F"/>
    <w:rsid w:val="00BF092C"/>
    <w:rsid w:val="00BF27A0"/>
    <w:rsid w:val="00BF2D54"/>
    <w:rsid w:val="00BF4CB6"/>
    <w:rsid w:val="00C00DA7"/>
    <w:rsid w:val="00C0356B"/>
    <w:rsid w:val="00C061AE"/>
    <w:rsid w:val="00C11B8F"/>
    <w:rsid w:val="00C1211E"/>
    <w:rsid w:val="00C12768"/>
    <w:rsid w:val="00C12D70"/>
    <w:rsid w:val="00C13C4B"/>
    <w:rsid w:val="00C21B09"/>
    <w:rsid w:val="00C253F0"/>
    <w:rsid w:val="00C2673A"/>
    <w:rsid w:val="00C27B58"/>
    <w:rsid w:val="00C30C39"/>
    <w:rsid w:val="00C325A2"/>
    <w:rsid w:val="00C35996"/>
    <w:rsid w:val="00C401CE"/>
    <w:rsid w:val="00C406B8"/>
    <w:rsid w:val="00C45685"/>
    <w:rsid w:val="00C4747E"/>
    <w:rsid w:val="00C51FF5"/>
    <w:rsid w:val="00C5342C"/>
    <w:rsid w:val="00C53B2B"/>
    <w:rsid w:val="00C53E70"/>
    <w:rsid w:val="00C60272"/>
    <w:rsid w:val="00C603D4"/>
    <w:rsid w:val="00C609DA"/>
    <w:rsid w:val="00C6183D"/>
    <w:rsid w:val="00C6256A"/>
    <w:rsid w:val="00C70564"/>
    <w:rsid w:val="00C710E2"/>
    <w:rsid w:val="00C71C3F"/>
    <w:rsid w:val="00C7409E"/>
    <w:rsid w:val="00C76E76"/>
    <w:rsid w:val="00C77891"/>
    <w:rsid w:val="00C843CB"/>
    <w:rsid w:val="00C86F26"/>
    <w:rsid w:val="00C903E2"/>
    <w:rsid w:val="00C91449"/>
    <w:rsid w:val="00C91AC1"/>
    <w:rsid w:val="00C92D10"/>
    <w:rsid w:val="00C95D3A"/>
    <w:rsid w:val="00C968FA"/>
    <w:rsid w:val="00CA267F"/>
    <w:rsid w:val="00CA3444"/>
    <w:rsid w:val="00CA3C94"/>
    <w:rsid w:val="00CA48D9"/>
    <w:rsid w:val="00CB1193"/>
    <w:rsid w:val="00CB4767"/>
    <w:rsid w:val="00CB493D"/>
    <w:rsid w:val="00CC3B97"/>
    <w:rsid w:val="00CC4339"/>
    <w:rsid w:val="00CE10C4"/>
    <w:rsid w:val="00CE27B5"/>
    <w:rsid w:val="00CE32CD"/>
    <w:rsid w:val="00CE6844"/>
    <w:rsid w:val="00CE6DAF"/>
    <w:rsid w:val="00CF410A"/>
    <w:rsid w:val="00CF5101"/>
    <w:rsid w:val="00D0321E"/>
    <w:rsid w:val="00D07A8A"/>
    <w:rsid w:val="00D1455A"/>
    <w:rsid w:val="00D1739C"/>
    <w:rsid w:val="00D17551"/>
    <w:rsid w:val="00D179FB"/>
    <w:rsid w:val="00D22093"/>
    <w:rsid w:val="00D23EA3"/>
    <w:rsid w:val="00D2799D"/>
    <w:rsid w:val="00D27D9B"/>
    <w:rsid w:val="00D31150"/>
    <w:rsid w:val="00D3138B"/>
    <w:rsid w:val="00D3280C"/>
    <w:rsid w:val="00D3320D"/>
    <w:rsid w:val="00D3406A"/>
    <w:rsid w:val="00D34471"/>
    <w:rsid w:val="00D441F1"/>
    <w:rsid w:val="00D44A66"/>
    <w:rsid w:val="00D455FB"/>
    <w:rsid w:val="00D4572C"/>
    <w:rsid w:val="00D469B2"/>
    <w:rsid w:val="00D50D0D"/>
    <w:rsid w:val="00D56927"/>
    <w:rsid w:val="00D6092C"/>
    <w:rsid w:val="00D64987"/>
    <w:rsid w:val="00D65658"/>
    <w:rsid w:val="00D72B6F"/>
    <w:rsid w:val="00D7371A"/>
    <w:rsid w:val="00D741EB"/>
    <w:rsid w:val="00D75556"/>
    <w:rsid w:val="00D7679C"/>
    <w:rsid w:val="00D8066F"/>
    <w:rsid w:val="00D820F3"/>
    <w:rsid w:val="00D83605"/>
    <w:rsid w:val="00D83E24"/>
    <w:rsid w:val="00D84934"/>
    <w:rsid w:val="00D86E5A"/>
    <w:rsid w:val="00D91271"/>
    <w:rsid w:val="00D919F5"/>
    <w:rsid w:val="00D94D63"/>
    <w:rsid w:val="00D94F03"/>
    <w:rsid w:val="00DA0D14"/>
    <w:rsid w:val="00DA1FC9"/>
    <w:rsid w:val="00DA2CB5"/>
    <w:rsid w:val="00DA365E"/>
    <w:rsid w:val="00DA4BAC"/>
    <w:rsid w:val="00DB0151"/>
    <w:rsid w:val="00DB64C9"/>
    <w:rsid w:val="00DC2C3E"/>
    <w:rsid w:val="00DC4880"/>
    <w:rsid w:val="00DD368B"/>
    <w:rsid w:val="00DD4A2F"/>
    <w:rsid w:val="00DD5849"/>
    <w:rsid w:val="00DE3BC7"/>
    <w:rsid w:val="00DE3E91"/>
    <w:rsid w:val="00DE6D27"/>
    <w:rsid w:val="00DE71B6"/>
    <w:rsid w:val="00DF217D"/>
    <w:rsid w:val="00DF26A7"/>
    <w:rsid w:val="00DF3277"/>
    <w:rsid w:val="00DF3F1F"/>
    <w:rsid w:val="00DF5100"/>
    <w:rsid w:val="00DF642C"/>
    <w:rsid w:val="00DF7919"/>
    <w:rsid w:val="00E0207E"/>
    <w:rsid w:val="00E03912"/>
    <w:rsid w:val="00E0771D"/>
    <w:rsid w:val="00E12A66"/>
    <w:rsid w:val="00E15627"/>
    <w:rsid w:val="00E164B3"/>
    <w:rsid w:val="00E16910"/>
    <w:rsid w:val="00E16CB6"/>
    <w:rsid w:val="00E24720"/>
    <w:rsid w:val="00E24E09"/>
    <w:rsid w:val="00E25F7B"/>
    <w:rsid w:val="00E27234"/>
    <w:rsid w:val="00E30A59"/>
    <w:rsid w:val="00E30FC2"/>
    <w:rsid w:val="00E311C4"/>
    <w:rsid w:val="00E362D1"/>
    <w:rsid w:val="00E37884"/>
    <w:rsid w:val="00E37DAC"/>
    <w:rsid w:val="00E428B3"/>
    <w:rsid w:val="00E42BDB"/>
    <w:rsid w:val="00E434AD"/>
    <w:rsid w:val="00E44FEC"/>
    <w:rsid w:val="00E47495"/>
    <w:rsid w:val="00E57EEB"/>
    <w:rsid w:val="00E62D94"/>
    <w:rsid w:val="00E64F37"/>
    <w:rsid w:val="00E65E54"/>
    <w:rsid w:val="00E661C7"/>
    <w:rsid w:val="00E7539C"/>
    <w:rsid w:val="00E77155"/>
    <w:rsid w:val="00E80155"/>
    <w:rsid w:val="00E81E0D"/>
    <w:rsid w:val="00E81F28"/>
    <w:rsid w:val="00E848C0"/>
    <w:rsid w:val="00E91B96"/>
    <w:rsid w:val="00E93A6D"/>
    <w:rsid w:val="00E93D1E"/>
    <w:rsid w:val="00E941A1"/>
    <w:rsid w:val="00E95CE3"/>
    <w:rsid w:val="00EA252F"/>
    <w:rsid w:val="00EA2825"/>
    <w:rsid w:val="00EA7EDE"/>
    <w:rsid w:val="00EB0045"/>
    <w:rsid w:val="00EB0B63"/>
    <w:rsid w:val="00EB1936"/>
    <w:rsid w:val="00EB1CC8"/>
    <w:rsid w:val="00EB37BE"/>
    <w:rsid w:val="00EB5088"/>
    <w:rsid w:val="00EB7CD9"/>
    <w:rsid w:val="00EC2209"/>
    <w:rsid w:val="00EC76C7"/>
    <w:rsid w:val="00ED1644"/>
    <w:rsid w:val="00ED2593"/>
    <w:rsid w:val="00ED4F8D"/>
    <w:rsid w:val="00ED5BE7"/>
    <w:rsid w:val="00ED7D9C"/>
    <w:rsid w:val="00EF0069"/>
    <w:rsid w:val="00EF0232"/>
    <w:rsid w:val="00EF44A0"/>
    <w:rsid w:val="00EF4FED"/>
    <w:rsid w:val="00F007C6"/>
    <w:rsid w:val="00F00B4C"/>
    <w:rsid w:val="00F0172E"/>
    <w:rsid w:val="00F050BD"/>
    <w:rsid w:val="00F05657"/>
    <w:rsid w:val="00F05758"/>
    <w:rsid w:val="00F12336"/>
    <w:rsid w:val="00F15A0C"/>
    <w:rsid w:val="00F209E2"/>
    <w:rsid w:val="00F25578"/>
    <w:rsid w:val="00F258E5"/>
    <w:rsid w:val="00F25B9C"/>
    <w:rsid w:val="00F26CC6"/>
    <w:rsid w:val="00F300BC"/>
    <w:rsid w:val="00F3263C"/>
    <w:rsid w:val="00F3334E"/>
    <w:rsid w:val="00F34F5D"/>
    <w:rsid w:val="00F36CCB"/>
    <w:rsid w:val="00F374E5"/>
    <w:rsid w:val="00F37B93"/>
    <w:rsid w:val="00F43AF2"/>
    <w:rsid w:val="00F5007E"/>
    <w:rsid w:val="00F50EC4"/>
    <w:rsid w:val="00F52232"/>
    <w:rsid w:val="00F550CF"/>
    <w:rsid w:val="00F57A6D"/>
    <w:rsid w:val="00F638CC"/>
    <w:rsid w:val="00F64C9E"/>
    <w:rsid w:val="00F64CC1"/>
    <w:rsid w:val="00F64DF4"/>
    <w:rsid w:val="00F65256"/>
    <w:rsid w:val="00F72317"/>
    <w:rsid w:val="00F80475"/>
    <w:rsid w:val="00F8247A"/>
    <w:rsid w:val="00F83B30"/>
    <w:rsid w:val="00F9629A"/>
    <w:rsid w:val="00F97EFC"/>
    <w:rsid w:val="00FA1BDD"/>
    <w:rsid w:val="00FA4DD5"/>
    <w:rsid w:val="00FA5883"/>
    <w:rsid w:val="00FA6055"/>
    <w:rsid w:val="00FA76BC"/>
    <w:rsid w:val="00FB1F27"/>
    <w:rsid w:val="00FB322F"/>
    <w:rsid w:val="00FB442F"/>
    <w:rsid w:val="00FC1929"/>
    <w:rsid w:val="00FC5B46"/>
    <w:rsid w:val="00FD5C29"/>
    <w:rsid w:val="00FD6745"/>
    <w:rsid w:val="00FD6D8E"/>
    <w:rsid w:val="00FE0008"/>
    <w:rsid w:val="00FE0E94"/>
    <w:rsid w:val="00FE2D40"/>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23528B"/>
    <w:pPr>
      <w:spacing w:after="120"/>
      <w:jc w:val="both"/>
      <w:outlineLvl w:val="1"/>
    </w:pPr>
    <w:rPr>
      <w:rFonts w:asciiTheme="minorHAnsi" w:eastAsiaTheme="minorHAnsi" w:hAnsiTheme="minorHAnsi" w:cstheme="minorBidi"/>
      <w:b/>
      <w:i/>
      <w:color w:val="000000" w:themeColor="text1"/>
      <w:sz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Styl moj,Akapit z listą11,Table Legend,List Paragraph1,Footnote,Bullet point,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Styl moj Char,Akapit z listą11 Char,Table Legend Char,List Paragraph1 Char,Footnote Char,Bullet point Char,List Paragraph11 Char,Recommendation Char,ES Paragraph Char,PBAC ES Paragraph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2"/>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23528B"/>
    <w:rPr>
      <w:rFonts w:asciiTheme="minorHAnsi" w:eastAsiaTheme="minorHAnsi" w:hAnsiTheme="minorHAnsi" w:cstheme="minorBidi"/>
      <w:b/>
      <w:i/>
      <w:color w:val="000000" w:themeColor="text1"/>
      <w:sz w:val="28"/>
      <w:szCs w:val="24"/>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4D0E5B"/>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4D0E5B"/>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3"/>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3Bodytext"/>
    <w:qFormat/>
    <w:rsid w:val="003E4F94"/>
    <w:pPr>
      <w:numPr>
        <w:ilvl w:val="0"/>
        <w:numId w:val="21"/>
      </w:numPr>
    </w:p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2712A9"/>
    <w:pPr>
      <w:numPr>
        <w:ilvl w:val="1"/>
        <w:numId w:val="2"/>
      </w:num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12,Bullet"/>
    <w:basedOn w:val="Normal"/>
    <w:next w:val="Normal"/>
    <w:link w:val="CaptionChar1"/>
    <w:unhideWhenUsed/>
    <w:qFormat/>
    <w:rsid w:val="007E12B0"/>
    <w:rPr>
      <w:rFonts w:ascii="Arial Narrow" w:hAnsi="Arial Narrow"/>
      <w:b/>
      <w:iCs/>
      <w:color w:val="000000" w:themeColor="text1"/>
      <w:sz w:val="20"/>
      <w:szCs w:val="20"/>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bullet">
    <w:name w:val="bullet"/>
    <w:basedOn w:val="ListParagraph"/>
    <w:link w:val="bulletChar"/>
    <w:qFormat/>
    <w:rsid w:val="00A67F35"/>
    <w:pPr>
      <w:widowControl/>
      <w:numPr>
        <w:numId w:val="19"/>
      </w:numPr>
      <w:spacing w:after="120"/>
      <w:contextualSpacing w:val="0"/>
    </w:pPr>
    <w:rPr>
      <w:rFonts w:ascii="Calibri" w:hAnsi="Calibri"/>
      <w:i/>
      <w:snapToGrid/>
      <w:sz w:val="24"/>
      <w:szCs w:val="24"/>
    </w:rPr>
  </w:style>
  <w:style w:type="character" w:customStyle="1" w:styleId="bulletChar">
    <w:name w:val="bullet Char"/>
    <w:basedOn w:val="ListParagraphChar"/>
    <w:link w:val="bullet"/>
    <w:rsid w:val="00A67F35"/>
    <w:rPr>
      <w:rFonts w:ascii="Calibri" w:hAnsi="Calibri" w:cs="Arial"/>
      <w:i/>
      <w:snapToGrid/>
      <w:sz w:val="24"/>
      <w:szCs w:val="24"/>
      <w:lang w:eastAsia="en-US"/>
    </w:rPr>
  </w:style>
  <w:style w:type="paragraph" w:customStyle="1" w:styleId="subsubheading">
    <w:name w:val="subsubheading"/>
    <w:basedOn w:val="Heading2"/>
    <w:link w:val="subsubheadingChar"/>
    <w:qFormat/>
    <w:rsid w:val="0023528B"/>
    <w:rPr>
      <w:sz w:val="24"/>
    </w:rPr>
  </w:style>
  <w:style w:type="character" w:customStyle="1" w:styleId="subsubheadingChar">
    <w:name w:val="subsubheading Char"/>
    <w:basedOn w:val="Heading2Char"/>
    <w:link w:val="subsubheading"/>
    <w:rsid w:val="0023528B"/>
    <w:rPr>
      <w:rFonts w:asciiTheme="minorHAnsi" w:eastAsiaTheme="minorHAnsi" w:hAnsiTheme="minorHAnsi" w:cstheme="minorBidi"/>
      <w:b/>
      <w:i/>
      <w:color w:val="000000" w:themeColor="text1"/>
      <w:sz w:val="24"/>
      <w:szCs w:val="24"/>
      <w:lang w:eastAsia="en-US"/>
    </w:rPr>
  </w:style>
  <w:style w:type="paragraph" w:customStyle="1" w:styleId="Paragraph">
    <w:name w:val="Paragraph"/>
    <w:link w:val="ParagraphChar"/>
    <w:qFormat/>
    <w:rsid w:val="00055D6D"/>
    <w:pPr>
      <w:spacing w:after="240" w:line="276" w:lineRule="auto"/>
    </w:pPr>
    <w:rPr>
      <w:sz w:val="24"/>
      <w:szCs w:val="24"/>
      <w:lang w:val="en-GB" w:eastAsia="en-US"/>
    </w:rPr>
  </w:style>
  <w:style w:type="character" w:customStyle="1" w:styleId="ParagraphChar">
    <w:name w:val="Paragraph Char"/>
    <w:basedOn w:val="DefaultParagraphFont"/>
    <w:link w:val="Paragraph"/>
    <w:rsid w:val="00055D6D"/>
    <w:rPr>
      <w:sz w:val="24"/>
      <w:szCs w:val="24"/>
      <w:lang w:val="en-GB" w:eastAsia="en-US"/>
    </w:rPr>
  </w:style>
  <w:style w:type="character" w:customStyle="1" w:styleId="Heading6Char">
    <w:name w:val="Heading 6 Char"/>
    <w:basedOn w:val="DefaultParagraphFont"/>
    <w:link w:val="Heading6"/>
    <w:uiPriority w:val="9"/>
    <w:rsid w:val="00D27D9B"/>
    <w:rPr>
      <w:b/>
      <w:bCs/>
      <w:sz w:val="22"/>
      <w:szCs w:val="22"/>
    </w:rPr>
  </w:style>
  <w:style w:type="paragraph" w:customStyle="1" w:styleId="Default">
    <w:name w:val="Default"/>
    <w:rsid w:val="006F58EF"/>
    <w:pPr>
      <w:autoSpaceDE w:val="0"/>
      <w:autoSpaceDN w:val="0"/>
      <w:adjustRightInd w:val="0"/>
    </w:pPr>
    <w:rPr>
      <w:rFonts w:ascii="Calibri" w:hAnsi="Calibri" w:cs="Calibri"/>
      <w:color w:val="000000"/>
      <w:sz w:val="24"/>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7E12B0"/>
    <w:rPr>
      <w:rFonts w:ascii="Arial Narrow" w:hAnsi="Arial Narrow"/>
      <w:b/>
      <w:iCs/>
      <w:color w:val="000000" w:themeColor="text1"/>
    </w:rPr>
  </w:style>
  <w:style w:type="paragraph" w:customStyle="1" w:styleId="1-MainHeading">
    <w:name w:val="1- Main Heading"/>
    <w:link w:val="1-MainHeadingChar"/>
    <w:qFormat/>
    <w:rsid w:val="00E24720"/>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24720"/>
    <w:rPr>
      <w:rFonts w:asciiTheme="minorHAnsi" w:eastAsiaTheme="majorEastAsia" w:hAnsiTheme="minorHAnsi" w:cstheme="majorBidi"/>
      <w:b/>
      <w:spacing w:val="5"/>
      <w:kern w:val="28"/>
      <w:sz w:val="36"/>
      <w:szCs w:val="36"/>
    </w:rPr>
  </w:style>
  <w:style w:type="paragraph" w:customStyle="1" w:styleId="normal2">
    <w:name w:val="normal2"/>
    <w:basedOn w:val="Normal"/>
    <w:link w:val="normal2Char"/>
    <w:qFormat/>
    <w:rsid w:val="00FE0008"/>
    <w:pPr>
      <w:jc w:val="both"/>
    </w:pPr>
    <w:rPr>
      <w:rFonts w:asciiTheme="minorHAnsi" w:hAnsiTheme="minorHAnsi" w:cs="Arial"/>
      <w:bCs/>
      <w:snapToGrid w:val="0"/>
      <w:lang w:val="en-GB"/>
    </w:rPr>
  </w:style>
  <w:style w:type="character" w:customStyle="1" w:styleId="normal2Char">
    <w:name w:val="normal2 Char"/>
    <w:basedOn w:val="DefaultParagraphFont"/>
    <w:link w:val="normal2"/>
    <w:rsid w:val="00FE0008"/>
    <w:rPr>
      <w:rFonts w:asciiTheme="minorHAnsi" w:hAnsiTheme="minorHAnsi" w:cs="Arial"/>
      <w:bCs/>
      <w:snapToGrid w:val="0"/>
      <w:sz w:val="24"/>
      <w:szCs w:val="24"/>
      <w:lang w:val="en-GB"/>
    </w:rPr>
  </w:style>
  <w:style w:type="paragraph" w:customStyle="1" w:styleId="2-SectionHeading">
    <w:name w:val="2-Section Heading"/>
    <w:qFormat/>
    <w:rsid w:val="00C0356B"/>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qFormat/>
    <w:rsid w:val="00C0356B"/>
    <w:pPr>
      <w:widowControl/>
      <w:spacing w:after="120"/>
      <w:ind w:hanging="720"/>
      <w:contextualSpacing w:val="0"/>
    </w:pPr>
    <w:rPr>
      <w:rFonts w:asciiTheme="minorHAnsi" w:hAnsiTheme="minorHAnsi" w:cs="Calibri"/>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DD92-C1C4-41C1-80C5-50E2F221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2020-05-04T06:26:00Z</dcterms:created>
  <dcterms:modified xsi:type="dcterms:W3CDTF">2020-06-19T05:25:00Z</dcterms:modified>
</cp:coreProperties>
</file>