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05" w:rsidRPr="00BB3B34" w:rsidRDefault="00212200" w:rsidP="00532205">
      <w:pPr>
        <w:pStyle w:val="1MainTitle"/>
        <w:spacing w:before="0" w:after="0"/>
      </w:pPr>
      <w:r w:rsidRPr="00BB3B34">
        <w:t>6.09</w:t>
      </w:r>
      <w:r w:rsidR="00532205" w:rsidRPr="00BB3B34">
        <w:t xml:space="preserve"> ATEZOLIZUMAB</w:t>
      </w:r>
      <w:r w:rsidR="00514FEA">
        <w:t>,</w:t>
      </w:r>
      <w:r w:rsidR="00532205" w:rsidRPr="00BB3B34">
        <w:t xml:space="preserve"> </w:t>
      </w:r>
    </w:p>
    <w:p w:rsidR="00532205" w:rsidRPr="00BB3B34" w:rsidRDefault="00532205" w:rsidP="00532205">
      <w:pPr>
        <w:pStyle w:val="3Bodytext"/>
        <w:spacing w:after="0"/>
        <w:ind w:left="720"/>
        <w:rPr>
          <w:b/>
          <w:sz w:val="36"/>
          <w:szCs w:val="36"/>
        </w:rPr>
      </w:pPr>
      <w:r w:rsidRPr="00BB3B34">
        <w:rPr>
          <w:b/>
          <w:sz w:val="36"/>
          <w:szCs w:val="36"/>
        </w:rPr>
        <w:t>Solution concentrate for I.V. infusion 840 mg in 14 mL,</w:t>
      </w:r>
    </w:p>
    <w:p w:rsidR="009A6C48" w:rsidRPr="00BB3B34" w:rsidRDefault="00532205" w:rsidP="00532205">
      <w:pPr>
        <w:pStyle w:val="3Bodytext"/>
        <w:spacing w:after="0"/>
        <w:ind w:left="720"/>
        <w:rPr>
          <w:b/>
          <w:sz w:val="36"/>
          <w:szCs w:val="36"/>
        </w:rPr>
      </w:pPr>
      <w:r w:rsidRPr="00BB3B34">
        <w:rPr>
          <w:b/>
          <w:sz w:val="36"/>
          <w:szCs w:val="36"/>
        </w:rPr>
        <w:t xml:space="preserve">Tecentriq®, </w:t>
      </w:r>
    </w:p>
    <w:p w:rsidR="00532205" w:rsidRPr="00BB3B34" w:rsidRDefault="00532205" w:rsidP="00532205">
      <w:pPr>
        <w:pStyle w:val="3Bodytext"/>
        <w:spacing w:after="0"/>
        <w:ind w:left="720"/>
        <w:rPr>
          <w:b/>
          <w:sz w:val="36"/>
          <w:szCs w:val="36"/>
        </w:rPr>
      </w:pPr>
      <w:r w:rsidRPr="00BB3B34">
        <w:rPr>
          <w:b/>
          <w:sz w:val="36"/>
          <w:szCs w:val="36"/>
        </w:rPr>
        <w:t>Roche Products Pty Ltd.</w:t>
      </w:r>
    </w:p>
    <w:p w:rsidR="008A50F1" w:rsidRPr="00BB3B34" w:rsidRDefault="00CE10C4" w:rsidP="00B2041D">
      <w:pPr>
        <w:pStyle w:val="2Sections"/>
        <w:numPr>
          <w:ilvl w:val="0"/>
          <w:numId w:val="7"/>
        </w:numPr>
      </w:pPr>
      <w:r w:rsidRPr="00BB3B34">
        <w:t xml:space="preserve">Purpose of </w:t>
      </w:r>
      <w:r w:rsidR="0004240E" w:rsidRPr="00BB3B34">
        <w:t>Application</w:t>
      </w:r>
      <w:r w:rsidR="00034905" w:rsidRPr="00BB3B34">
        <w:t xml:space="preserve"> </w:t>
      </w:r>
    </w:p>
    <w:p w:rsidR="00EF44A0" w:rsidRPr="00BB3B34" w:rsidRDefault="00245710" w:rsidP="0000148C">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BB3B34">
        <w:rPr>
          <w:rFonts w:asciiTheme="minorHAnsi" w:eastAsiaTheme="minorHAnsi" w:hAnsiTheme="minorHAnsi" w:cstheme="minorBidi"/>
          <w:snapToGrid/>
          <w:sz w:val="24"/>
          <w:szCs w:val="22"/>
        </w:rPr>
        <w:t>The mino</w:t>
      </w:r>
      <w:r w:rsidR="004C7BDB" w:rsidRPr="00BB3B34">
        <w:rPr>
          <w:rFonts w:asciiTheme="minorHAnsi" w:eastAsiaTheme="minorHAnsi" w:hAnsiTheme="minorHAnsi" w:cstheme="minorBidi"/>
          <w:snapToGrid/>
          <w:sz w:val="24"/>
          <w:szCs w:val="22"/>
        </w:rPr>
        <w:t xml:space="preserve">r submission requested </w:t>
      </w:r>
      <w:r w:rsidR="00A43795" w:rsidRPr="00BB3B34">
        <w:rPr>
          <w:rFonts w:asciiTheme="minorHAnsi" w:eastAsiaTheme="minorHAnsi" w:hAnsiTheme="minorHAnsi" w:cstheme="minorBidi"/>
          <w:snapToGrid/>
          <w:sz w:val="24"/>
          <w:szCs w:val="22"/>
        </w:rPr>
        <w:t>exten</w:t>
      </w:r>
      <w:r w:rsidR="00736374" w:rsidRPr="00BB3B34">
        <w:rPr>
          <w:rFonts w:asciiTheme="minorHAnsi" w:eastAsiaTheme="minorHAnsi" w:hAnsiTheme="minorHAnsi" w:cstheme="minorBidi"/>
          <w:snapToGrid/>
          <w:sz w:val="24"/>
          <w:szCs w:val="22"/>
        </w:rPr>
        <w:t>d</w:t>
      </w:r>
      <w:r w:rsidR="00E7267E" w:rsidRPr="00BB3B34">
        <w:rPr>
          <w:rFonts w:asciiTheme="minorHAnsi" w:eastAsiaTheme="minorHAnsi" w:hAnsiTheme="minorHAnsi" w:cstheme="minorBidi"/>
          <w:snapToGrid/>
          <w:sz w:val="24"/>
          <w:szCs w:val="22"/>
        </w:rPr>
        <w:t>ing</w:t>
      </w:r>
      <w:r w:rsidR="00736374" w:rsidRPr="00BB3B34">
        <w:rPr>
          <w:rFonts w:asciiTheme="minorHAnsi" w:eastAsiaTheme="minorHAnsi" w:hAnsiTheme="minorHAnsi" w:cstheme="minorBidi"/>
          <w:snapToGrid/>
          <w:sz w:val="24"/>
          <w:szCs w:val="22"/>
        </w:rPr>
        <w:t xml:space="preserve"> </w:t>
      </w:r>
      <w:r w:rsidR="00212200" w:rsidRPr="00BB3B34">
        <w:rPr>
          <w:rFonts w:asciiTheme="minorHAnsi" w:eastAsiaTheme="minorHAnsi" w:hAnsiTheme="minorHAnsi" w:cstheme="minorBidi"/>
          <w:snapToGrid/>
          <w:sz w:val="24"/>
          <w:szCs w:val="22"/>
        </w:rPr>
        <w:t xml:space="preserve">the </w:t>
      </w:r>
      <w:r w:rsidR="00E7267E" w:rsidRPr="00BB3B34">
        <w:rPr>
          <w:rFonts w:asciiTheme="minorHAnsi" w:eastAsiaTheme="minorHAnsi" w:hAnsiTheme="minorHAnsi" w:cstheme="minorBidi"/>
          <w:snapToGrid/>
          <w:sz w:val="24"/>
          <w:szCs w:val="22"/>
        </w:rPr>
        <w:t xml:space="preserve">November 2019 </w:t>
      </w:r>
      <w:r w:rsidR="00A43795" w:rsidRPr="00BB3B34">
        <w:rPr>
          <w:rFonts w:asciiTheme="minorHAnsi" w:eastAsiaTheme="minorHAnsi" w:hAnsiTheme="minorHAnsi" w:cstheme="minorBidi"/>
          <w:snapToGrid/>
          <w:sz w:val="24"/>
          <w:szCs w:val="22"/>
        </w:rPr>
        <w:t xml:space="preserve">PBAC recommendation for </w:t>
      </w:r>
      <w:r w:rsidR="00F2350C" w:rsidRPr="00BB3B34">
        <w:rPr>
          <w:rFonts w:asciiTheme="minorHAnsi" w:eastAsiaTheme="minorHAnsi" w:hAnsiTheme="minorHAnsi" w:cstheme="minorBidi"/>
          <w:snapToGrid/>
          <w:sz w:val="24"/>
          <w:szCs w:val="22"/>
        </w:rPr>
        <w:t xml:space="preserve">a new form of atezolizumab </w:t>
      </w:r>
      <w:r w:rsidR="00D34EBA" w:rsidRPr="00BB3B34">
        <w:rPr>
          <w:rFonts w:asciiTheme="minorHAnsi" w:eastAsiaTheme="minorHAnsi" w:hAnsiTheme="minorHAnsi" w:cstheme="minorBidi"/>
          <w:snapToGrid/>
          <w:sz w:val="24"/>
          <w:szCs w:val="22"/>
        </w:rPr>
        <w:t>(</w:t>
      </w:r>
      <w:r w:rsidR="00F2350C" w:rsidRPr="00BB3B34">
        <w:rPr>
          <w:rFonts w:asciiTheme="minorHAnsi" w:eastAsiaTheme="minorHAnsi" w:hAnsiTheme="minorHAnsi" w:cstheme="minorBidi"/>
          <w:snapToGrid/>
          <w:sz w:val="24"/>
          <w:szCs w:val="22"/>
        </w:rPr>
        <w:t>840 mg/14 mL injection</w:t>
      </w:r>
      <w:r w:rsidR="00D34EBA" w:rsidRPr="00BB3B34">
        <w:rPr>
          <w:rFonts w:asciiTheme="minorHAnsi" w:eastAsiaTheme="minorHAnsi" w:hAnsiTheme="minorHAnsi" w:cstheme="minorBidi"/>
          <w:snapToGrid/>
          <w:sz w:val="24"/>
          <w:szCs w:val="22"/>
        </w:rPr>
        <w:t>)</w:t>
      </w:r>
      <w:r w:rsidR="00911180" w:rsidRPr="00BB3B34">
        <w:rPr>
          <w:rFonts w:asciiTheme="minorHAnsi" w:eastAsiaTheme="minorHAnsi" w:hAnsiTheme="minorHAnsi" w:cstheme="minorBidi"/>
          <w:snapToGrid/>
          <w:sz w:val="24"/>
          <w:szCs w:val="22"/>
        </w:rPr>
        <w:t xml:space="preserve"> </w:t>
      </w:r>
      <w:r w:rsidR="007245C7" w:rsidRPr="00BB3B34">
        <w:rPr>
          <w:rFonts w:asciiTheme="minorHAnsi" w:eastAsiaTheme="minorHAnsi" w:hAnsiTheme="minorHAnsi" w:cstheme="minorBidi"/>
          <w:snapToGrid/>
          <w:sz w:val="24"/>
          <w:szCs w:val="22"/>
        </w:rPr>
        <w:t>and</w:t>
      </w:r>
      <w:r w:rsidR="00345601" w:rsidRPr="00BB3B34">
        <w:rPr>
          <w:rFonts w:asciiTheme="minorHAnsi" w:eastAsiaTheme="minorHAnsi" w:hAnsiTheme="minorHAnsi" w:cstheme="minorBidi"/>
          <w:snapToGrid/>
          <w:sz w:val="24"/>
          <w:szCs w:val="22"/>
        </w:rPr>
        <w:t xml:space="preserve"> additional </w:t>
      </w:r>
      <w:r w:rsidR="00295B9E" w:rsidRPr="00BB3B34">
        <w:rPr>
          <w:rFonts w:asciiTheme="minorHAnsi" w:eastAsiaTheme="minorHAnsi" w:hAnsiTheme="minorHAnsi" w:cstheme="minorBidi"/>
          <w:snapToGrid/>
          <w:sz w:val="24"/>
          <w:szCs w:val="22"/>
        </w:rPr>
        <w:t>1680 mg every 4</w:t>
      </w:r>
      <w:r w:rsidR="00C306B1" w:rsidRPr="00BB3B34">
        <w:rPr>
          <w:rFonts w:asciiTheme="minorHAnsi" w:eastAsiaTheme="minorHAnsi" w:hAnsiTheme="minorHAnsi" w:cstheme="minorBidi"/>
          <w:snapToGrid/>
          <w:sz w:val="24"/>
          <w:szCs w:val="22"/>
        </w:rPr>
        <w:t xml:space="preserve"> weeks (Q4W)</w:t>
      </w:r>
      <w:r w:rsidR="00D34EBA" w:rsidRPr="00BB3B34">
        <w:rPr>
          <w:rFonts w:asciiTheme="minorHAnsi" w:eastAsiaTheme="minorHAnsi" w:hAnsiTheme="minorHAnsi" w:cstheme="minorBidi"/>
          <w:snapToGrid/>
          <w:sz w:val="24"/>
          <w:szCs w:val="22"/>
        </w:rPr>
        <w:t xml:space="preserve"> dosing regimen</w:t>
      </w:r>
      <w:r w:rsidR="00C306B1" w:rsidRPr="00BB3B34">
        <w:rPr>
          <w:rFonts w:asciiTheme="minorHAnsi" w:eastAsiaTheme="minorHAnsi" w:hAnsiTheme="minorHAnsi" w:cstheme="minorBidi"/>
          <w:snapToGrid/>
          <w:sz w:val="24"/>
          <w:szCs w:val="22"/>
        </w:rPr>
        <w:t xml:space="preserve"> </w:t>
      </w:r>
      <w:r w:rsidR="00736374" w:rsidRPr="00BB3B34">
        <w:rPr>
          <w:rFonts w:asciiTheme="minorHAnsi" w:eastAsiaTheme="minorHAnsi" w:hAnsiTheme="minorHAnsi" w:cstheme="minorBidi"/>
          <w:snapToGrid/>
          <w:sz w:val="24"/>
          <w:szCs w:val="22"/>
        </w:rPr>
        <w:t xml:space="preserve">to include </w:t>
      </w:r>
      <w:r w:rsidR="00212200" w:rsidRPr="00BB3B34">
        <w:rPr>
          <w:rFonts w:asciiTheme="minorHAnsi" w:eastAsiaTheme="minorHAnsi" w:hAnsiTheme="minorHAnsi" w:cstheme="minorBidi"/>
          <w:snapToGrid/>
          <w:sz w:val="24"/>
          <w:szCs w:val="22"/>
        </w:rPr>
        <w:t>the treatment of previously untreated patients with extensive stage small cell lung cancer (</w:t>
      </w:r>
      <w:r w:rsidR="005A2D28" w:rsidRPr="00BB3B34">
        <w:rPr>
          <w:rFonts w:asciiTheme="minorHAnsi" w:eastAsiaTheme="minorHAnsi" w:hAnsiTheme="minorHAnsi" w:cstheme="minorBidi"/>
          <w:snapToGrid/>
          <w:sz w:val="24"/>
          <w:szCs w:val="22"/>
        </w:rPr>
        <w:t>1L ES-</w:t>
      </w:r>
      <w:r w:rsidR="00212200" w:rsidRPr="00BB3B34">
        <w:rPr>
          <w:rFonts w:asciiTheme="minorHAnsi" w:eastAsiaTheme="minorHAnsi" w:hAnsiTheme="minorHAnsi" w:cstheme="minorBidi"/>
          <w:snapToGrid/>
          <w:sz w:val="24"/>
          <w:szCs w:val="22"/>
        </w:rPr>
        <w:t xml:space="preserve">SCLC) </w:t>
      </w:r>
      <w:r w:rsidR="00C306B1" w:rsidRPr="00BB3B34">
        <w:rPr>
          <w:rFonts w:asciiTheme="minorHAnsi" w:eastAsiaTheme="minorHAnsi" w:hAnsiTheme="minorHAnsi" w:cstheme="minorBidi"/>
          <w:snapToGrid/>
          <w:sz w:val="24"/>
          <w:szCs w:val="22"/>
        </w:rPr>
        <w:t>when atezolizumab monotherapy is used for</w:t>
      </w:r>
      <w:r w:rsidR="007E7F9B" w:rsidRPr="00BB3B34">
        <w:rPr>
          <w:rFonts w:asciiTheme="minorHAnsi" w:eastAsiaTheme="minorHAnsi" w:hAnsiTheme="minorHAnsi" w:cstheme="minorBidi"/>
          <w:snapToGrid/>
          <w:sz w:val="24"/>
          <w:szCs w:val="22"/>
        </w:rPr>
        <w:t xml:space="preserve"> continuing</w:t>
      </w:r>
      <w:r w:rsidR="00C306B1" w:rsidRPr="00BB3B34">
        <w:rPr>
          <w:rFonts w:asciiTheme="minorHAnsi" w:eastAsiaTheme="minorHAnsi" w:hAnsiTheme="minorHAnsi" w:cstheme="minorBidi"/>
          <w:snapToGrid/>
          <w:sz w:val="24"/>
          <w:szCs w:val="22"/>
        </w:rPr>
        <w:t xml:space="preserve"> treatment. </w:t>
      </w:r>
    </w:p>
    <w:p w:rsidR="00A9692F" w:rsidRPr="00BB3B34" w:rsidRDefault="00A9692F" w:rsidP="00CD4E65">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BB3B34">
        <w:rPr>
          <w:rFonts w:asciiTheme="minorHAnsi" w:eastAsiaTheme="minorHAnsi" w:hAnsiTheme="minorHAnsi" w:cstheme="minorBidi"/>
          <w:snapToGrid/>
          <w:sz w:val="24"/>
          <w:szCs w:val="22"/>
        </w:rPr>
        <w:t xml:space="preserve">The minor submission did not request the addition of </w:t>
      </w:r>
      <w:r w:rsidR="004B72C8" w:rsidRPr="00BB3B34">
        <w:rPr>
          <w:rFonts w:asciiTheme="minorHAnsi" w:eastAsiaTheme="minorHAnsi" w:hAnsiTheme="minorHAnsi" w:cstheme="minorBidi"/>
          <w:snapToGrid/>
          <w:sz w:val="24"/>
          <w:szCs w:val="22"/>
        </w:rPr>
        <w:t>the</w:t>
      </w:r>
      <w:r w:rsidRPr="00BB3B34">
        <w:rPr>
          <w:rFonts w:asciiTheme="minorHAnsi" w:eastAsiaTheme="minorHAnsi" w:hAnsiTheme="minorHAnsi" w:cstheme="minorBidi"/>
          <w:snapToGrid/>
          <w:sz w:val="24"/>
          <w:szCs w:val="22"/>
        </w:rPr>
        <w:t xml:space="preserve"> 1680 mg Q4W dosing regimen</w:t>
      </w:r>
      <w:r w:rsidR="00295B9E" w:rsidRPr="00BB3B34">
        <w:rPr>
          <w:rFonts w:asciiTheme="minorHAnsi" w:eastAsiaTheme="minorHAnsi" w:hAnsiTheme="minorHAnsi" w:cstheme="minorBidi"/>
          <w:snapToGrid/>
          <w:sz w:val="24"/>
          <w:szCs w:val="22"/>
        </w:rPr>
        <w:t xml:space="preserve"> to the 1200 mg every 3 weeks (Q3W) dosing regimen</w:t>
      </w:r>
      <w:r w:rsidR="00FB0CF7" w:rsidRPr="00BB3B34">
        <w:rPr>
          <w:rFonts w:asciiTheme="minorHAnsi" w:eastAsiaTheme="minorHAnsi" w:hAnsiTheme="minorHAnsi" w:cstheme="minorBidi"/>
          <w:snapToGrid/>
          <w:sz w:val="24"/>
          <w:szCs w:val="22"/>
        </w:rPr>
        <w:t xml:space="preserve"> for initial treatment</w:t>
      </w:r>
      <w:r w:rsidR="00295B9E" w:rsidRPr="00BB3B34">
        <w:rPr>
          <w:rFonts w:asciiTheme="minorHAnsi" w:eastAsiaTheme="minorHAnsi" w:hAnsiTheme="minorHAnsi" w:cstheme="minorBidi"/>
          <w:snapToGrid/>
          <w:sz w:val="24"/>
          <w:szCs w:val="22"/>
        </w:rPr>
        <w:t xml:space="preserve">, </w:t>
      </w:r>
      <w:r w:rsidRPr="00BB3B34">
        <w:rPr>
          <w:rFonts w:asciiTheme="minorHAnsi" w:eastAsiaTheme="minorHAnsi" w:hAnsiTheme="minorHAnsi" w:cstheme="minorBidi"/>
          <w:snapToGrid/>
          <w:sz w:val="24"/>
          <w:szCs w:val="22"/>
        </w:rPr>
        <w:t>given atezolizuma</w:t>
      </w:r>
      <w:r w:rsidR="00295B9E" w:rsidRPr="00BB3B34">
        <w:rPr>
          <w:rFonts w:asciiTheme="minorHAnsi" w:eastAsiaTheme="minorHAnsi" w:hAnsiTheme="minorHAnsi" w:cstheme="minorBidi"/>
          <w:snapToGrid/>
          <w:sz w:val="24"/>
          <w:szCs w:val="22"/>
        </w:rPr>
        <w:t xml:space="preserve">b </w:t>
      </w:r>
      <w:r w:rsidR="00071BC9" w:rsidRPr="00BB3B34">
        <w:rPr>
          <w:rFonts w:asciiTheme="minorHAnsi" w:eastAsiaTheme="minorHAnsi" w:hAnsiTheme="minorHAnsi" w:cstheme="minorBidi"/>
          <w:snapToGrid/>
          <w:sz w:val="24"/>
          <w:szCs w:val="22"/>
        </w:rPr>
        <w:t>is</w:t>
      </w:r>
      <w:r w:rsidR="00295B9E" w:rsidRPr="00BB3B34">
        <w:rPr>
          <w:rFonts w:asciiTheme="minorHAnsi" w:eastAsiaTheme="minorHAnsi" w:hAnsiTheme="minorHAnsi" w:cstheme="minorBidi"/>
          <w:snapToGrid/>
          <w:sz w:val="24"/>
          <w:szCs w:val="22"/>
        </w:rPr>
        <w:t xml:space="preserve"> administered every 3</w:t>
      </w:r>
      <w:r w:rsidRPr="00BB3B34">
        <w:rPr>
          <w:rFonts w:asciiTheme="minorHAnsi" w:eastAsiaTheme="minorHAnsi" w:hAnsiTheme="minorHAnsi" w:cstheme="minorBidi"/>
          <w:snapToGrid/>
          <w:sz w:val="24"/>
          <w:szCs w:val="22"/>
        </w:rPr>
        <w:t xml:space="preserve"> weeks for 4 cycles in combination with carboplatin and etoposide during the </w:t>
      </w:r>
      <w:r w:rsidR="008B68DC" w:rsidRPr="00BB3B34">
        <w:rPr>
          <w:rFonts w:asciiTheme="minorHAnsi" w:eastAsiaTheme="minorHAnsi" w:hAnsiTheme="minorHAnsi" w:cstheme="minorBidi"/>
          <w:snapToGrid/>
          <w:sz w:val="24"/>
          <w:szCs w:val="22"/>
        </w:rPr>
        <w:t>initial treatment</w:t>
      </w:r>
      <w:r w:rsidRPr="00BB3B34">
        <w:rPr>
          <w:rFonts w:asciiTheme="minorHAnsi" w:eastAsiaTheme="minorHAnsi" w:hAnsiTheme="minorHAnsi" w:cstheme="minorBidi"/>
          <w:snapToGrid/>
          <w:sz w:val="24"/>
          <w:szCs w:val="22"/>
        </w:rPr>
        <w:t xml:space="preserve"> phase</w:t>
      </w:r>
      <w:r w:rsidR="00CD4E65" w:rsidRPr="00BB3B34">
        <w:rPr>
          <w:rFonts w:asciiTheme="minorHAnsi" w:eastAsiaTheme="minorHAnsi" w:hAnsiTheme="minorHAnsi" w:cstheme="minorBidi"/>
          <w:snapToGrid/>
          <w:sz w:val="24"/>
          <w:szCs w:val="22"/>
        </w:rPr>
        <w:t xml:space="preserve"> for 1L ES-SCLC</w:t>
      </w:r>
      <w:r w:rsidRPr="00BB3B34">
        <w:rPr>
          <w:rFonts w:asciiTheme="minorHAnsi" w:eastAsiaTheme="minorHAnsi" w:hAnsiTheme="minorHAnsi" w:cstheme="minorBidi"/>
          <w:snapToGrid/>
          <w:sz w:val="24"/>
          <w:szCs w:val="22"/>
        </w:rPr>
        <w:t xml:space="preserve">. </w:t>
      </w:r>
    </w:p>
    <w:p w:rsidR="006A12A5" w:rsidRPr="00BB3B34" w:rsidRDefault="006A12A5" w:rsidP="003F0F10">
      <w:pPr>
        <w:pStyle w:val="2Sections"/>
        <w:spacing w:before="0"/>
        <w:jc w:val="both"/>
      </w:pPr>
      <w:r w:rsidRPr="00BB3B34">
        <w:t>Requested listing</w:t>
      </w:r>
    </w:p>
    <w:p w:rsidR="009D529E" w:rsidRPr="00BB3B34" w:rsidRDefault="009D529E" w:rsidP="00B52484">
      <w:pPr>
        <w:pStyle w:val="Bodytextitalics"/>
        <w:jc w:val="both"/>
        <w:rPr>
          <w:i w:val="0"/>
          <w:iCs/>
        </w:rPr>
      </w:pPr>
      <w:r w:rsidRPr="00BB3B34">
        <w:rPr>
          <w:i w:val="0"/>
          <w:iCs/>
        </w:rPr>
        <w:t xml:space="preserve">The minor submission requested </w:t>
      </w:r>
      <w:r w:rsidR="00C10A04" w:rsidRPr="00BB3B34">
        <w:rPr>
          <w:i w:val="0"/>
          <w:iCs/>
        </w:rPr>
        <w:t xml:space="preserve">the same restriction as the </w:t>
      </w:r>
      <w:r w:rsidR="00C66249" w:rsidRPr="00BB3B34">
        <w:rPr>
          <w:i w:val="0"/>
          <w:iCs/>
        </w:rPr>
        <w:t>existing</w:t>
      </w:r>
      <w:r w:rsidR="003A6C95" w:rsidRPr="00BB3B34">
        <w:rPr>
          <w:i w:val="0"/>
          <w:iCs/>
        </w:rPr>
        <w:t xml:space="preserve"> PBS </w:t>
      </w:r>
      <w:r w:rsidR="00E6053A" w:rsidRPr="00BB3B34">
        <w:rPr>
          <w:i w:val="0"/>
          <w:iCs/>
        </w:rPr>
        <w:t>listing for continuing treatment</w:t>
      </w:r>
      <w:r w:rsidR="00695704" w:rsidRPr="00BB3B34">
        <w:rPr>
          <w:i w:val="0"/>
          <w:iCs/>
        </w:rPr>
        <w:t xml:space="preserve"> of 1L ES-SCLC</w:t>
      </w:r>
      <w:r w:rsidR="00C10A04" w:rsidRPr="00BB3B34">
        <w:rPr>
          <w:i w:val="0"/>
          <w:iCs/>
        </w:rPr>
        <w:t xml:space="preserve"> </w:t>
      </w:r>
      <w:r w:rsidR="006B5D05" w:rsidRPr="00BB3B34">
        <w:rPr>
          <w:i w:val="0"/>
          <w:iCs/>
        </w:rPr>
        <w:t xml:space="preserve">with </w:t>
      </w:r>
      <w:r w:rsidR="003B63BC" w:rsidRPr="00BB3B34">
        <w:rPr>
          <w:i w:val="0"/>
          <w:iCs/>
        </w:rPr>
        <w:t xml:space="preserve">the </w:t>
      </w:r>
      <w:r w:rsidR="006B5D05" w:rsidRPr="00BB3B34">
        <w:rPr>
          <w:i w:val="0"/>
          <w:iCs/>
        </w:rPr>
        <w:t xml:space="preserve">exception of </w:t>
      </w:r>
      <w:r w:rsidR="009032B6" w:rsidRPr="00BB3B34">
        <w:rPr>
          <w:i w:val="0"/>
          <w:iCs/>
        </w:rPr>
        <w:t>a maximum</w:t>
      </w:r>
      <w:r w:rsidR="00C71803" w:rsidRPr="00BB3B34">
        <w:rPr>
          <w:i w:val="0"/>
          <w:iCs/>
        </w:rPr>
        <w:t xml:space="preserve"> amount of 1680 mg and</w:t>
      </w:r>
      <w:r w:rsidR="009032B6" w:rsidRPr="00BB3B34">
        <w:rPr>
          <w:i w:val="0"/>
          <w:iCs/>
        </w:rPr>
        <w:t xml:space="preserve"> </w:t>
      </w:r>
      <w:r w:rsidR="003B63BC" w:rsidRPr="00BB3B34">
        <w:rPr>
          <w:i w:val="0"/>
          <w:iCs/>
        </w:rPr>
        <w:t xml:space="preserve">number </w:t>
      </w:r>
      <w:r w:rsidR="009032B6" w:rsidRPr="00BB3B34">
        <w:rPr>
          <w:i w:val="0"/>
          <w:iCs/>
        </w:rPr>
        <w:t>of</w:t>
      </w:r>
      <w:r w:rsidR="003B63BC" w:rsidRPr="00BB3B34">
        <w:rPr>
          <w:i w:val="0"/>
          <w:iCs/>
        </w:rPr>
        <w:t xml:space="preserve"> </w:t>
      </w:r>
      <w:r w:rsidR="00C10A04" w:rsidRPr="00BB3B34">
        <w:rPr>
          <w:i w:val="0"/>
          <w:iCs/>
        </w:rPr>
        <w:t>repeats</w:t>
      </w:r>
      <w:r w:rsidR="006B05C1" w:rsidRPr="00BB3B34">
        <w:rPr>
          <w:i w:val="0"/>
          <w:iCs/>
        </w:rPr>
        <w:t xml:space="preserve"> </w:t>
      </w:r>
      <w:r w:rsidR="003B63BC" w:rsidRPr="00BB3B34">
        <w:rPr>
          <w:i w:val="0"/>
          <w:iCs/>
        </w:rPr>
        <w:t xml:space="preserve">(3) </w:t>
      </w:r>
      <w:r w:rsidR="005A2B3F" w:rsidRPr="00BB3B34">
        <w:rPr>
          <w:i w:val="0"/>
          <w:iCs/>
        </w:rPr>
        <w:t xml:space="preserve">to </w:t>
      </w:r>
      <w:r w:rsidR="006C26BC" w:rsidRPr="00BB3B34">
        <w:rPr>
          <w:i w:val="0"/>
          <w:iCs/>
        </w:rPr>
        <w:t>reflect the cha</w:t>
      </w:r>
      <w:r w:rsidR="00C71803" w:rsidRPr="00BB3B34">
        <w:rPr>
          <w:i w:val="0"/>
          <w:iCs/>
        </w:rPr>
        <w:t xml:space="preserve">nges in drug administration </w:t>
      </w:r>
      <w:r w:rsidR="006C26BC" w:rsidRPr="00BB3B34">
        <w:rPr>
          <w:i w:val="0"/>
          <w:iCs/>
        </w:rPr>
        <w:t xml:space="preserve">and duration of treatment </w:t>
      </w:r>
      <w:r w:rsidR="006C3AC7" w:rsidRPr="00BB3B34">
        <w:rPr>
          <w:i w:val="0"/>
          <w:iCs/>
        </w:rPr>
        <w:t xml:space="preserve">for the </w:t>
      </w:r>
      <w:r w:rsidR="00B52484" w:rsidRPr="00BB3B34">
        <w:rPr>
          <w:i w:val="0"/>
          <w:iCs/>
        </w:rPr>
        <w:t xml:space="preserve">continuing treatment </w:t>
      </w:r>
      <w:r w:rsidR="006C3AC7" w:rsidRPr="00BB3B34">
        <w:rPr>
          <w:i w:val="0"/>
          <w:iCs/>
        </w:rPr>
        <w:t>phase of 1L ES-SCLC.</w:t>
      </w:r>
      <w:r w:rsidR="005A2B3F" w:rsidRPr="00BB3B34">
        <w:rPr>
          <w:i w:val="0"/>
          <w:iCs/>
        </w:rPr>
        <w:t xml:space="preserve"> </w:t>
      </w:r>
    </w:p>
    <w:p w:rsidR="00BA2DA8" w:rsidRPr="00BB3B34" w:rsidRDefault="00B7431E" w:rsidP="003F0F10">
      <w:pPr>
        <w:pStyle w:val="Bodytextitalics"/>
        <w:jc w:val="both"/>
        <w:rPr>
          <w:i w:val="0"/>
          <w:iCs/>
        </w:rPr>
      </w:pPr>
      <w:r w:rsidRPr="00BB3B34">
        <w:rPr>
          <w:i w:val="0"/>
          <w:iCs/>
        </w:rPr>
        <w:t xml:space="preserve">The proposed restrictions </w:t>
      </w:r>
      <w:proofErr w:type="gramStart"/>
      <w:r w:rsidRPr="00BB3B34">
        <w:rPr>
          <w:i w:val="0"/>
          <w:iCs/>
        </w:rPr>
        <w:t>are provided</w:t>
      </w:r>
      <w:proofErr w:type="gramEnd"/>
      <w:r w:rsidRPr="00BB3B34">
        <w:rPr>
          <w:i w:val="0"/>
          <w:iCs/>
        </w:rPr>
        <w:t xml:space="preserve"> below with Secretariat suggested additions in italics and deletions in strikethrough.</w:t>
      </w:r>
    </w:p>
    <w:tbl>
      <w:tblPr>
        <w:tblW w:w="5000" w:type="pct"/>
        <w:tblLook w:val="0000" w:firstRow="0" w:lastRow="0" w:firstColumn="0" w:lastColumn="0" w:noHBand="0" w:noVBand="0"/>
      </w:tblPr>
      <w:tblGrid>
        <w:gridCol w:w="3057"/>
        <w:gridCol w:w="971"/>
        <w:gridCol w:w="1110"/>
        <w:gridCol w:w="1249"/>
        <w:gridCol w:w="2639"/>
      </w:tblGrid>
      <w:tr w:rsidR="005D398C" w:rsidRPr="00BB3B34" w:rsidTr="004C1808">
        <w:trPr>
          <w:cantSplit/>
        </w:trPr>
        <w:tc>
          <w:tcPr>
            <w:tcW w:w="1693" w:type="pct"/>
            <w:tcBorders>
              <w:bottom w:val="single" w:sz="4" w:space="0" w:color="auto"/>
            </w:tcBorders>
          </w:tcPr>
          <w:p w:rsidR="005D398C" w:rsidRPr="00BB3B34" w:rsidRDefault="005D398C" w:rsidP="005D398C">
            <w:pPr>
              <w:keepNext/>
              <w:jc w:val="both"/>
              <w:rPr>
                <w:rFonts w:ascii="Arial Narrow" w:hAnsi="Arial Narrow" w:cs="Arial"/>
                <w:b/>
                <w:sz w:val="20"/>
                <w:szCs w:val="20"/>
              </w:rPr>
            </w:pPr>
          </w:p>
          <w:p w:rsidR="008E7633" w:rsidRDefault="008E7633" w:rsidP="00EB1751">
            <w:pPr>
              <w:keepNext/>
              <w:ind w:left="-108"/>
              <w:jc w:val="both"/>
              <w:rPr>
                <w:rFonts w:ascii="Arial Narrow" w:hAnsi="Arial Narrow" w:cs="Arial"/>
                <w:b/>
                <w:sz w:val="20"/>
                <w:szCs w:val="20"/>
              </w:rPr>
            </w:pPr>
            <w:r>
              <w:rPr>
                <w:rFonts w:ascii="Arial Narrow" w:hAnsi="Arial Narrow" w:cs="Arial"/>
                <w:b/>
                <w:sz w:val="20"/>
                <w:szCs w:val="20"/>
              </w:rPr>
              <w:t xml:space="preserve">Name, Restriction, </w:t>
            </w:r>
          </w:p>
          <w:p w:rsidR="005D398C" w:rsidRPr="00BB3B34" w:rsidRDefault="005D398C" w:rsidP="00EB1751">
            <w:pPr>
              <w:keepNext/>
              <w:ind w:left="-108"/>
              <w:jc w:val="both"/>
              <w:rPr>
                <w:rFonts w:ascii="Arial Narrow" w:hAnsi="Arial Narrow" w:cs="Arial"/>
                <w:b/>
                <w:sz w:val="20"/>
                <w:szCs w:val="20"/>
              </w:rPr>
            </w:pPr>
            <w:r w:rsidRPr="00BB3B34">
              <w:rPr>
                <w:rFonts w:ascii="Arial Narrow" w:hAnsi="Arial Narrow" w:cs="Arial"/>
                <w:b/>
                <w:sz w:val="20"/>
                <w:szCs w:val="20"/>
              </w:rPr>
              <w:t>Manner of administration and form</w:t>
            </w:r>
          </w:p>
        </w:tc>
        <w:tc>
          <w:tcPr>
            <w:tcW w:w="538" w:type="pct"/>
            <w:tcBorders>
              <w:bottom w:val="single" w:sz="4" w:space="0" w:color="auto"/>
            </w:tcBorders>
          </w:tcPr>
          <w:p w:rsidR="008E7633" w:rsidRDefault="008E7633" w:rsidP="00EB1751">
            <w:pPr>
              <w:keepNext/>
              <w:ind w:left="-108"/>
              <w:jc w:val="center"/>
              <w:rPr>
                <w:rFonts w:ascii="Arial Narrow" w:hAnsi="Arial Narrow" w:cs="Arial"/>
                <w:b/>
                <w:sz w:val="20"/>
                <w:szCs w:val="20"/>
              </w:rPr>
            </w:pPr>
          </w:p>
          <w:p w:rsidR="005D398C" w:rsidRPr="00BB3B34" w:rsidRDefault="005D398C" w:rsidP="00EB1751">
            <w:pPr>
              <w:keepNext/>
              <w:ind w:left="-108"/>
              <w:jc w:val="center"/>
              <w:rPr>
                <w:rFonts w:ascii="Arial Narrow" w:hAnsi="Arial Narrow" w:cs="Arial"/>
                <w:b/>
                <w:sz w:val="20"/>
                <w:szCs w:val="20"/>
              </w:rPr>
            </w:pPr>
            <w:r w:rsidRPr="00BB3B34">
              <w:rPr>
                <w:rFonts w:ascii="Arial Narrow" w:hAnsi="Arial Narrow" w:cs="Arial"/>
                <w:b/>
                <w:sz w:val="20"/>
                <w:szCs w:val="20"/>
              </w:rPr>
              <w:t>Max.</w:t>
            </w:r>
          </w:p>
          <w:p w:rsidR="005D398C" w:rsidRPr="00BB3B34" w:rsidRDefault="005D398C" w:rsidP="00EB1751">
            <w:pPr>
              <w:keepNext/>
              <w:ind w:left="-108"/>
              <w:jc w:val="center"/>
              <w:rPr>
                <w:rFonts w:ascii="Arial Narrow" w:hAnsi="Arial Narrow" w:cs="Arial"/>
                <w:b/>
                <w:sz w:val="20"/>
                <w:szCs w:val="20"/>
              </w:rPr>
            </w:pPr>
            <w:r w:rsidRPr="00BB3B34">
              <w:rPr>
                <w:rFonts w:ascii="Arial Narrow" w:hAnsi="Arial Narrow" w:cs="Arial"/>
                <w:b/>
                <w:sz w:val="20"/>
                <w:szCs w:val="20"/>
              </w:rPr>
              <w:t>amount</w:t>
            </w:r>
          </w:p>
        </w:tc>
        <w:tc>
          <w:tcPr>
            <w:tcW w:w="615" w:type="pct"/>
            <w:tcBorders>
              <w:bottom w:val="single" w:sz="4" w:space="0" w:color="auto"/>
            </w:tcBorders>
          </w:tcPr>
          <w:p w:rsidR="008E7633" w:rsidRDefault="008E7633" w:rsidP="00EB1751">
            <w:pPr>
              <w:keepNext/>
              <w:ind w:left="-108"/>
              <w:jc w:val="center"/>
              <w:rPr>
                <w:rFonts w:ascii="Arial Narrow" w:hAnsi="Arial Narrow" w:cs="Arial"/>
                <w:b/>
                <w:sz w:val="20"/>
                <w:szCs w:val="20"/>
              </w:rPr>
            </w:pPr>
          </w:p>
          <w:p w:rsidR="005D398C" w:rsidRPr="00BB3B34" w:rsidRDefault="005D398C" w:rsidP="00EB1751">
            <w:pPr>
              <w:keepNext/>
              <w:ind w:left="-108"/>
              <w:jc w:val="center"/>
              <w:rPr>
                <w:rFonts w:ascii="Arial Narrow" w:hAnsi="Arial Narrow" w:cs="Arial"/>
                <w:b/>
                <w:sz w:val="20"/>
                <w:szCs w:val="20"/>
              </w:rPr>
            </w:pPr>
            <w:r w:rsidRPr="00BB3B34">
              <w:rPr>
                <w:rFonts w:ascii="Arial Narrow" w:hAnsi="Arial Narrow" w:cs="Arial"/>
                <w:b/>
                <w:sz w:val="20"/>
                <w:szCs w:val="20"/>
              </w:rPr>
              <w:t>№.of</w:t>
            </w:r>
          </w:p>
          <w:p w:rsidR="005D398C" w:rsidRPr="00BB3B34" w:rsidRDefault="005D398C" w:rsidP="00EB1751">
            <w:pPr>
              <w:keepNext/>
              <w:ind w:left="-108"/>
              <w:jc w:val="center"/>
              <w:rPr>
                <w:rFonts w:ascii="Arial Narrow" w:hAnsi="Arial Narrow" w:cs="Arial"/>
                <w:b/>
                <w:sz w:val="20"/>
                <w:szCs w:val="20"/>
              </w:rPr>
            </w:pPr>
            <w:r w:rsidRPr="00BB3B34">
              <w:rPr>
                <w:rFonts w:ascii="Arial Narrow" w:hAnsi="Arial Narrow" w:cs="Arial"/>
                <w:b/>
                <w:sz w:val="20"/>
                <w:szCs w:val="20"/>
              </w:rPr>
              <w:t>Rpts</w:t>
            </w:r>
          </w:p>
        </w:tc>
        <w:tc>
          <w:tcPr>
            <w:tcW w:w="2154" w:type="pct"/>
            <w:gridSpan w:val="2"/>
            <w:tcBorders>
              <w:bottom w:val="single" w:sz="4" w:space="0" w:color="auto"/>
            </w:tcBorders>
          </w:tcPr>
          <w:p w:rsidR="008E7633" w:rsidRDefault="008E7633" w:rsidP="00EB1751">
            <w:pPr>
              <w:keepNext/>
              <w:jc w:val="both"/>
              <w:rPr>
                <w:rFonts w:ascii="Arial Narrow" w:hAnsi="Arial Narrow" w:cs="Arial"/>
                <w:b/>
                <w:sz w:val="20"/>
                <w:szCs w:val="20"/>
              </w:rPr>
            </w:pPr>
          </w:p>
          <w:p w:rsidR="005D398C" w:rsidRPr="003F0C78" w:rsidRDefault="005D398C" w:rsidP="00EB1751">
            <w:pPr>
              <w:keepNext/>
              <w:jc w:val="both"/>
              <w:rPr>
                <w:rFonts w:ascii="Arial Narrow" w:hAnsi="Arial Narrow" w:cs="Arial"/>
                <w:b/>
                <w:sz w:val="20"/>
                <w:szCs w:val="20"/>
              </w:rPr>
            </w:pPr>
            <w:r w:rsidRPr="00BB3B34">
              <w:rPr>
                <w:rFonts w:ascii="Arial Narrow" w:hAnsi="Arial Narrow" w:cs="Arial"/>
                <w:b/>
                <w:sz w:val="20"/>
                <w:szCs w:val="20"/>
              </w:rPr>
              <w:t>Proprietary Name and Manufacturer</w:t>
            </w:r>
          </w:p>
        </w:tc>
      </w:tr>
      <w:tr w:rsidR="005D398C" w:rsidRPr="00BB3B34" w:rsidTr="004C1808">
        <w:trPr>
          <w:cantSplit/>
        </w:trPr>
        <w:tc>
          <w:tcPr>
            <w:tcW w:w="1693" w:type="pct"/>
          </w:tcPr>
          <w:p w:rsidR="005D398C" w:rsidRPr="00BB3B34" w:rsidRDefault="005D398C" w:rsidP="00EB1751">
            <w:pPr>
              <w:keepNext/>
              <w:ind w:left="-108"/>
              <w:jc w:val="both"/>
              <w:rPr>
                <w:rFonts w:ascii="Arial Narrow" w:hAnsi="Arial Narrow" w:cs="Arial"/>
                <w:sz w:val="20"/>
                <w:szCs w:val="20"/>
              </w:rPr>
            </w:pPr>
            <w:r w:rsidRPr="00BB3B34">
              <w:rPr>
                <w:rFonts w:ascii="Arial Narrow" w:hAnsi="Arial Narrow" w:cs="Arial"/>
                <w:smallCaps/>
                <w:sz w:val="20"/>
                <w:szCs w:val="20"/>
              </w:rPr>
              <w:t>atezolizumab</w:t>
            </w:r>
          </w:p>
          <w:p w:rsidR="005D398C" w:rsidRPr="00BB3B34" w:rsidRDefault="005D398C" w:rsidP="005D398C">
            <w:pPr>
              <w:keepNext/>
              <w:ind w:left="-108"/>
              <w:jc w:val="both"/>
              <w:rPr>
                <w:rFonts w:ascii="Arial Narrow" w:hAnsi="Arial Narrow" w:cs="Arial"/>
                <w:sz w:val="20"/>
                <w:szCs w:val="20"/>
              </w:rPr>
            </w:pPr>
            <w:r w:rsidRPr="00BB3B34">
              <w:rPr>
                <w:rFonts w:ascii="Arial Narrow" w:hAnsi="Arial Narrow" w:cs="Arial"/>
                <w:sz w:val="20"/>
                <w:szCs w:val="20"/>
              </w:rPr>
              <w:t xml:space="preserve">840 mg/14 mL injection, </w:t>
            </w:r>
            <w:r w:rsidRPr="00BB3B34">
              <w:rPr>
                <w:rFonts w:ascii="Arial Narrow" w:hAnsi="Arial Narrow" w:cs="Arial"/>
                <w:strike/>
                <w:sz w:val="20"/>
                <w:szCs w:val="20"/>
              </w:rPr>
              <w:t>1 x</w:t>
            </w:r>
            <w:r w:rsidRPr="00BB3B34">
              <w:rPr>
                <w:rFonts w:ascii="Arial Narrow" w:hAnsi="Arial Narrow" w:cs="Arial"/>
                <w:sz w:val="20"/>
                <w:szCs w:val="20"/>
              </w:rPr>
              <w:t xml:space="preserve"> 14 mL vial </w:t>
            </w:r>
            <w:r w:rsidRPr="00BB3B34">
              <w:rPr>
                <w:rFonts w:ascii="Arial Narrow" w:hAnsi="Arial Narrow" w:cs="Arial"/>
                <w:sz w:val="18"/>
                <w:szCs w:val="18"/>
              </w:rPr>
              <w:t>[</w:t>
            </w:r>
            <w:r w:rsidRPr="00BB3B34">
              <w:rPr>
                <w:rFonts w:ascii="Arial Narrow" w:hAnsi="Arial Narrow" w:cs="Arial"/>
                <w:i/>
                <w:sz w:val="18"/>
                <w:szCs w:val="18"/>
              </w:rPr>
              <w:t>new MPP</w:t>
            </w:r>
            <w:r w:rsidRPr="00BB3B34">
              <w:rPr>
                <w:rFonts w:ascii="Arial Narrow" w:hAnsi="Arial Narrow" w:cs="Arial"/>
                <w:sz w:val="18"/>
                <w:szCs w:val="18"/>
              </w:rPr>
              <w:t>]</w:t>
            </w:r>
          </w:p>
        </w:tc>
        <w:tc>
          <w:tcPr>
            <w:tcW w:w="538" w:type="pct"/>
          </w:tcPr>
          <w:p w:rsidR="005D398C" w:rsidRPr="00BB3B34" w:rsidRDefault="005D398C" w:rsidP="00EB1751">
            <w:pPr>
              <w:keepNext/>
              <w:ind w:left="-108"/>
              <w:jc w:val="center"/>
              <w:rPr>
                <w:rFonts w:ascii="Arial Narrow" w:hAnsi="Arial Narrow" w:cs="Arial"/>
                <w:sz w:val="20"/>
                <w:szCs w:val="20"/>
              </w:rPr>
            </w:pPr>
          </w:p>
          <w:p w:rsidR="005D398C" w:rsidRPr="00BB3B34" w:rsidRDefault="005D398C" w:rsidP="00EB1751">
            <w:pPr>
              <w:keepNext/>
              <w:ind w:left="-108"/>
              <w:jc w:val="center"/>
              <w:rPr>
                <w:rFonts w:ascii="Arial Narrow" w:hAnsi="Arial Narrow" w:cs="Arial"/>
                <w:sz w:val="20"/>
                <w:szCs w:val="20"/>
              </w:rPr>
            </w:pPr>
            <w:r w:rsidRPr="00BB3B34">
              <w:rPr>
                <w:rFonts w:ascii="Arial Narrow" w:hAnsi="Arial Narrow" w:cs="Arial"/>
                <w:sz w:val="20"/>
                <w:szCs w:val="20"/>
              </w:rPr>
              <w:t>1680 mg</w:t>
            </w:r>
          </w:p>
        </w:tc>
        <w:tc>
          <w:tcPr>
            <w:tcW w:w="615" w:type="pct"/>
          </w:tcPr>
          <w:p w:rsidR="005D398C" w:rsidRPr="00BB3B34" w:rsidRDefault="005D398C" w:rsidP="00EB1751">
            <w:pPr>
              <w:keepNext/>
              <w:ind w:left="-108"/>
              <w:jc w:val="center"/>
              <w:rPr>
                <w:rFonts w:ascii="Arial Narrow" w:hAnsi="Arial Narrow" w:cs="Arial"/>
                <w:sz w:val="20"/>
                <w:szCs w:val="20"/>
              </w:rPr>
            </w:pPr>
          </w:p>
          <w:p w:rsidR="005D398C" w:rsidRPr="00BB3B34" w:rsidRDefault="005D398C" w:rsidP="00EB1751">
            <w:pPr>
              <w:keepNext/>
              <w:ind w:left="-108"/>
              <w:jc w:val="center"/>
              <w:rPr>
                <w:rFonts w:ascii="Arial Narrow" w:hAnsi="Arial Narrow" w:cs="Arial"/>
                <w:sz w:val="20"/>
                <w:szCs w:val="20"/>
              </w:rPr>
            </w:pPr>
            <w:r w:rsidRPr="00BB3B34">
              <w:rPr>
                <w:rFonts w:ascii="Arial Narrow" w:hAnsi="Arial Narrow" w:cs="Arial"/>
                <w:sz w:val="20"/>
                <w:szCs w:val="20"/>
              </w:rPr>
              <w:t>3</w:t>
            </w:r>
          </w:p>
        </w:tc>
        <w:tc>
          <w:tcPr>
            <w:tcW w:w="692" w:type="pct"/>
          </w:tcPr>
          <w:p w:rsidR="005D398C" w:rsidRPr="00BB3B34" w:rsidRDefault="005D398C" w:rsidP="00EB1751">
            <w:pPr>
              <w:keepNext/>
              <w:jc w:val="both"/>
              <w:rPr>
                <w:rFonts w:ascii="Arial Narrow" w:hAnsi="Arial Narrow" w:cs="Arial"/>
                <w:sz w:val="20"/>
                <w:szCs w:val="20"/>
              </w:rPr>
            </w:pPr>
            <w:r w:rsidRPr="00BB3B34">
              <w:rPr>
                <w:rFonts w:ascii="Arial Narrow" w:hAnsi="Arial Narrow" w:cs="Arial"/>
                <w:sz w:val="20"/>
                <w:szCs w:val="20"/>
              </w:rPr>
              <w:t>Tecentriq®</w:t>
            </w:r>
          </w:p>
        </w:tc>
        <w:tc>
          <w:tcPr>
            <w:tcW w:w="1461" w:type="pct"/>
          </w:tcPr>
          <w:p w:rsidR="005D398C" w:rsidRPr="00BB3B34" w:rsidRDefault="005D398C" w:rsidP="00EB1751">
            <w:pPr>
              <w:keepNext/>
              <w:jc w:val="both"/>
              <w:rPr>
                <w:rFonts w:ascii="Arial Narrow" w:hAnsi="Arial Narrow" w:cs="Arial"/>
                <w:sz w:val="20"/>
                <w:szCs w:val="20"/>
              </w:rPr>
            </w:pPr>
            <w:r w:rsidRPr="00BB3B34">
              <w:rPr>
                <w:rFonts w:ascii="Arial Narrow" w:hAnsi="Arial Narrow" w:cs="Arial"/>
                <w:sz w:val="20"/>
                <w:szCs w:val="20"/>
              </w:rPr>
              <w:t>Roche Products Pty Ltd</w:t>
            </w:r>
          </w:p>
        </w:tc>
      </w:tr>
    </w:tbl>
    <w:p w:rsidR="00E4096E" w:rsidRPr="00BB3B34" w:rsidRDefault="006328CA" w:rsidP="00C21D1A">
      <w:pPr>
        <w:spacing w:line="259" w:lineRule="auto"/>
        <w:rPr>
          <w:rFonts w:ascii="Arial Narrow" w:eastAsia="Calibri" w:hAnsi="Arial Narrow"/>
          <w:b/>
          <w:sz w:val="18"/>
          <w:szCs w:val="18"/>
          <w:lang w:eastAsia="en-US"/>
        </w:rPr>
      </w:pPr>
      <w:r w:rsidRPr="00BB3B34">
        <w:rPr>
          <w:rFonts w:ascii="Arial Narrow" w:eastAsia="Calibri" w:hAnsi="Arial Narrow"/>
          <w:b/>
          <w:sz w:val="18"/>
          <w:szCs w:val="18"/>
          <w:lang w:eastAsia="en-US"/>
        </w:rPr>
        <w:t>New 4-weekly continuing</w:t>
      </w:r>
      <w:r w:rsidR="00CF33C1" w:rsidRPr="00BB3B34">
        <w:rPr>
          <w:rFonts w:ascii="Arial Narrow" w:eastAsia="Calibri" w:hAnsi="Arial Narrow"/>
          <w:b/>
          <w:sz w:val="18"/>
          <w:szCs w:val="18"/>
          <w:lang w:eastAsia="en-US"/>
        </w:rPr>
        <w:t xml:space="preserve"> treatment</w:t>
      </w:r>
      <w:r w:rsidR="00E4096E" w:rsidRPr="00BB3B34">
        <w:rPr>
          <w:rFonts w:ascii="Arial Narrow" w:eastAsia="Calibri" w:hAnsi="Arial Narrow"/>
          <w:b/>
          <w:sz w:val="18"/>
          <w:szCs w:val="18"/>
          <w:lang w:eastAsia="en-US"/>
        </w:rPr>
        <w:t xml:space="preserve">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8"/>
        <w:gridCol w:w="8078"/>
      </w:tblGrid>
      <w:tr w:rsidR="00E4096E" w:rsidRPr="00BB3B34" w:rsidTr="004C1808">
        <w:tc>
          <w:tcPr>
            <w:tcW w:w="520" w:type="pct"/>
            <w:tcBorders>
              <w:top w:val="single" w:sz="4" w:space="0" w:color="auto"/>
              <w:left w:val="single" w:sz="4" w:space="0" w:color="auto"/>
              <w:bottom w:val="single" w:sz="4" w:space="0" w:color="auto"/>
              <w:right w:val="single" w:sz="4" w:space="0" w:color="auto"/>
            </w:tcBorders>
          </w:tcPr>
          <w:p w:rsidR="00E4096E" w:rsidRPr="00BB3B34" w:rsidRDefault="00E4096E" w:rsidP="00E4096E">
            <w:pPr>
              <w:jc w:val="center"/>
              <w:rPr>
                <w:rFonts w:ascii="Arial Narrow" w:eastAsia="Calibri" w:hAnsi="Arial Narrow" w:cs="Arial"/>
                <w:b/>
                <w:sz w:val="18"/>
                <w:szCs w:val="18"/>
                <w:lang w:eastAsia="en-US"/>
              </w:rPr>
            </w:pPr>
            <w:r w:rsidRPr="00BB3B34">
              <w:rPr>
                <w:rFonts w:ascii="Arial Narrow" w:eastAsia="Calibri" w:hAnsi="Arial Narrow" w:cs="Arial"/>
                <w:b/>
                <w:sz w:val="18"/>
                <w:szCs w:val="18"/>
                <w:lang w:eastAsia="en-US"/>
              </w:rPr>
              <w:t>Concept ID</w:t>
            </w:r>
          </w:p>
        </w:tc>
        <w:tc>
          <w:tcPr>
            <w:tcW w:w="4480" w:type="pct"/>
            <w:tcBorders>
              <w:top w:val="single" w:sz="4" w:space="0" w:color="auto"/>
              <w:left w:val="single" w:sz="4" w:space="0" w:color="auto"/>
              <w:bottom w:val="single" w:sz="4" w:space="0" w:color="auto"/>
              <w:right w:val="single" w:sz="4" w:space="0" w:color="auto"/>
            </w:tcBorders>
          </w:tcPr>
          <w:p w:rsidR="00E4096E" w:rsidRPr="00BB3B34" w:rsidRDefault="00E4096E" w:rsidP="00E4096E">
            <w:pPr>
              <w:jc w:val="both"/>
              <w:rPr>
                <w:rFonts w:ascii="Arial Narrow" w:eastAsia="Calibri" w:hAnsi="Arial Narrow" w:cs="Arial"/>
                <w:sz w:val="18"/>
                <w:szCs w:val="18"/>
                <w:lang w:eastAsia="en-US"/>
              </w:rPr>
            </w:pPr>
            <w:r w:rsidRPr="00BB3B34">
              <w:rPr>
                <w:rFonts w:ascii="Arial Narrow" w:eastAsia="Calibri" w:hAnsi="Arial Narrow" w:cs="Arial"/>
                <w:b/>
                <w:sz w:val="18"/>
                <w:szCs w:val="18"/>
                <w:lang w:eastAsia="en-US"/>
              </w:rPr>
              <w:t xml:space="preserve">Category / Program: </w:t>
            </w:r>
            <w:r w:rsidRPr="00BB3B34">
              <w:rPr>
                <w:rFonts w:ascii="Arial Narrow" w:eastAsia="Calibri" w:hAnsi="Arial Narrow" w:cs="Arial"/>
                <w:sz w:val="18"/>
                <w:szCs w:val="18"/>
                <w:lang w:eastAsia="en-US"/>
              </w:rPr>
              <w:t>Section 100 – Efficient Funding of Chemotherapy - Public hospitals / Private hospitals</w:t>
            </w:r>
          </w:p>
        </w:tc>
      </w:tr>
      <w:tr w:rsidR="00E4096E" w:rsidRPr="00BB3B34" w:rsidTr="004C1808">
        <w:trPr>
          <w:trHeight w:val="240"/>
        </w:trPr>
        <w:tc>
          <w:tcPr>
            <w:tcW w:w="520" w:type="pct"/>
            <w:tcBorders>
              <w:top w:val="single" w:sz="4" w:space="0" w:color="auto"/>
              <w:left w:val="single" w:sz="4" w:space="0" w:color="auto"/>
              <w:bottom w:val="single" w:sz="4" w:space="0" w:color="auto"/>
              <w:right w:val="single" w:sz="4" w:space="0" w:color="auto"/>
            </w:tcBorders>
          </w:tcPr>
          <w:p w:rsidR="00E4096E" w:rsidRPr="00BB3B34" w:rsidRDefault="00E4096E" w:rsidP="00E4096E">
            <w:pPr>
              <w:jc w:val="both"/>
              <w:rPr>
                <w:rFonts w:ascii="Arial Narrow" w:eastAsia="Calibri" w:hAnsi="Arial Narrow" w:cs="Arial"/>
                <w:sz w:val="18"/>
                <w:szCs w:val="18"/>
                <w:lang w:eastAsia="en-US"/>
              </w:rPr>
            </w:pPr>
          </w:p>
        </w:tc>
        <w:tc>
          <w:tcPr>
            <w:tcW w:w="4480" w:type="pct"/>
            <w:tcBorders>
              <w:top w:val="single" w:sz="4" w:space="0" w:color="auto"/>
              <w:left w:val="single" w:sz="4" w:space="0" w:color="auto"/>
              <w:bottom w:val="single" w:sz="4" w:space="0" w:color="auto"/>
              <w:right w:val="single" w:sz="4" w:space="0" w:color="auto"/>
            </w:tcBorders>
          </w:tcPr>
          <w:p w:rsidR="00E4096E" w:rsidRPr="00BB3B34" w:rsidRDefault="00E4096E" w:rsidP="00E4096E">
            <w:pPr>
              <w:jc w:val="both"/>
              <w:rPr>
                <w:rFonts w:ascii="Arial Narrow" w:eastAsia="Calibri" w:hAnsi="Arial Narrow" w:cs="Arial"/>
                <w:b/>
                <w:sz w:val="18"/>
                <w:szCs w:val="18"/>
                <w:lang w:eastAsia="en-US"/>
              </w:rPr>
            </w:pPr>
            <w:r w:rsidRPr="00BB3B34">
              <w:rPr>
                <w:rFonts w:ascii="Arial Narrow" w:eastAsia="Calibri" w:hAnsi="Arial Narrow" w:cs="Arial"/>
                <w:b/>
                <w:sz w:val="18"/>
                <w:szCs w:val="18"/>
                <w:lang w:eastAsia="en-US"/>
              </w:rPr>
              <w:t xml:space="preserve">Prescriber type: </w:t>
            </w:r>
            <w:r w:rsidRPr="003F0C78">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Dental </w:t>
            </w:r>
            <w:r w:rsidRPr="003F0C78">
              <w:rPr>
                <w:rFonts w:ascii="Arial Narrow" w:eastAsia="Calibri" w:hAnsi="Arial Narrow" w:cs="Arial"/>
                <w:sz w:val="18"/>
                <w:szCs w:val="18"/>
                <w:lang w:eastAsia="en-US"/>
              </w:rPr>
              <w:fldChar w:fldCharType="begin">
                <w:ffData>
                  <w:name w:val=""/>
                  <w:enabled/>
                  <w:calcOnExit w:val="0"/>
                  <w:checkBox>
                    <w:sizeAuto/>
                    <w:default w:val="1"/>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Medical Practitioners </w:t>
            </w:r>
            <w:r w:rsidRPr="003F0C78">
              <w:rPr>
                <w:rFonts w:ascii="Arial Narrow" w:eastAsia="Calibri" w:hAnsi="Arial Narrow" w:cs="Arial"/>
                <w:sz w:val="18"/>
                <w:szCs w:val="18"/>
                <w:lang w:eastAsia="en-US"/>
              </w:rPr>
              <w:fldChar w:fldCharType="begin">
                <w:ffData>
                  <w:name w:val="Check3"/>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Nurse practitioners </w:t>
            </w:r>
            <w:r w:rsidRPr="003F0C78">
              <w:rPr>
                <w:rFonts w:ascii="Arial Narrow" w:eastAsia="Calibri" w:hAnsi="Arial Narrow" w:cs="Arial"/>
                <w:sz w:val="18"/>
                <w:szCs w:val="18"/>
                <w:lang w:eastAsia="en-US"/>
              </w:rPr>
              <w:fldChar w:fldCharType="begin">
                <w:ffData>
                  <w:name w:val=""/>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Optometrists </w:t>
            </w:r>
            <w:r w:rsidRPr="003F0C78">
              <w:rPr>
                <w:rFonts w:ascii="Arial Narrow" w:eastAsia="Calibri" w:hAnsi="Arial Narrow" w:cs="Arial"/>
                <w:sz w:val="18"/>
                <w:szCs w:val="18"/>
                <w:lang w:eastAsia="en-US"/>
              </w:rPr>
              <w:fldChar w:fldCharType="begin">
                <w:ffData>
                  <w:name w:val="Check5"/>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Midwives</w:t>
            </w:r>
          </w:p>
        </w:tc>
      </w:tr>
      <w:tr w:rsidR="00E4096E" w:rsidRPr="00BB3B34" w:rsidTr="004C1808">
        <w:tc>
          <w:tcPr>
            <w:tcW w:w="520" w:type="pct"/>
            <w:tcBorders>
              <w:top w:val="single" w:sz="4" w:space="0" w:color="auto"/>
              <w:left w:val="single" w:sz="4" w:space="0" w:color="auto"/>
              <w:bottom w:val="single" w:sz="4" w:space="0" w:color="auto"/>
              <w:right w:val="single" w:sz="4" w:space="0" w:color="auto"/>
            </w:tcBorders>
          </w:tcPr>
          <w:p w:rsidR="00E4096E" w:rsidRPr="00BB3B34" w:rsidRDefault="00E4096E" w:rsidP="00E4096E">
            <w:pPr>
              <w:jc w:val="both"/>
              <w:rPr>
                <w:rFonts w:ascii="Arial Narrow" w:eastAsia="Calibri" w:hAnsi="Arial Narrow" w:cs="Arial"/>
                <w:i/>
                <w:sz w:val="18"/>
                <w:szCs w:val="18"/>
                <w:lang w:eastAsia="en-US"/>
              </w:rPr>
            </w:pPr>
          </w:p>
          <w:p w:rsidR="00E4096E" w:rsidRPr="00BB3B34" w:rsidRDefault="00E4096E" w:rsidP="00E4096E">
            <w:pPr>
              <w:jc w:val="both"/>
              <w:rPr>
                <w:rFonts w:ascii="Arial Narrow" w:eastAsia="Calibri" w:hAnsi="Arial Narrow" w:cs="Arial"/>
                <w:i/>
                <w:sz w:val="18"/>
                <w:szCs w:val="18"/>
                <w:lang w:eastAsia="en-US"/>
              </w:rPr>
            </w:pPr>
          </w:p>
          <w:p w:rsidR="00E4096E" w:rsidRPr="00BB3B34" w:rsidRDefault="00E4096E" w:rsidP="00E4096E">
            <w:pPr>
              <w:jc w:val="both"/>
              <w:rPr>
                <w:rFonts w:ascii="Arial Narrow" w:eastAsia="Calibri" w:hAnsi="Arial Narrow" w:cs="Arial"/>
                <w:sz w:val="18"/>
                <w:szCs w:val="18"/>
                <w:lang w:eastAsia="en-US"/>
              </w:rPr>
            </w:pPr>
          </w:p>
        </w:tc>
        <w:tc>
          <w:tcPr>
            <w:tcW w:w="4480" w:type="pct"/>
            <w:tcBorders>
              <w:top w:val="single" w:sz="4" w:space="0" w:color="auto"/>
              <w:left w:val="single" w:sz="4" w:space="0" w:color="auto"/>
              <w:bottom w:val="single" w:sz="4" w:space="0" w:color="auto"/>
              <w:right w:val="single" w:sz="4" w:space="0" w:color="auto"/>
            </w:tcBorders>
          </w:tcPr>
          <w:p w:rsidR="00E4096E" w:rsidRPr="00BB3B34" w:rsidRDefault="00E4096E" w:rsidP="00E4096E">
            <w:pPr>
              <w:jc w:val="both"/>
              <w:rPr>
                <w:rFonts w:ascii="Arial Narrow" w:eastAsia="Calibri" w:hAnsi="Arial Narrow" w:cs="Arial"/>
                <w:b/>
                <w:sz w:val="18"/>
                <w:szCs w:val="18"/>
                <w:lang w:eastAsia="en-US"/>
              </w:rPr>
            </w:pPr>
            <w:r w:rsidRPr="00BB3B34">
              <w:rPr>
                <w:rFonts w:ascii="Arial Narrow" w:eastAsia="Calibri" w:hAnsi="Arial Narrow" w:cs="Arial"/>
                <w:b/>
                <w:sz w:val="18"/>
                <w:szCs w:val="18"/>
                <w:lang w:eastAsia="en-US"/>
              </w:rPr>
              <w:t>Restriction Level / Method:</w:t>
            </w:r>
          </w:p>
          <w:p w:rsidR="00E4096E" w:rsidRPr="00BB3B34" w:rsidRDefault="00E4096E" w:rsidP="00E4096E">
            <w:pPr>
              <w:jc w:val="both"/>
              <w:rPr>
                <w:rFonts w:ascii="Arial Narrow" w:eastAsia="Calibri" w:hAnsi="Arial Narrow" w:cs="Arial"/>
                <w:sz w:val="18"/>
                <w:szCs w:val="18"/>
                <w:lang w:eastAsia="en-US"/>
              </w:rPr>
            </w:pPr>
            <w:r w:rsidRPr="003F0C78">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Unrestricted benefit</w:t>
            </w:r>
          </w:p>
          <w:p w:rsidR="00E4096E" w:rsidRPr="00BB3B34" w:rsidRDefault="00E4096E" w:rsidP="00E4096E">
            <w:pPr>
              <w:jc w:val="both"/>
              <w:rPr>
                <w:rFonts w:ascii="Arial Narrow" w:eastAsia="Calibri" w:hAnsi="Arial Narrow" w:cs="Arial"/>
                <w:sz w:val="18"/>
                <w:szCs w:val="18"/>
                <w:lang w:eastAsia="en-US"/>
              </w:rPr>
            </w:pPr>
            <w:r w:rsidRPr="003F0C78">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Restricted benefit</w:t>
            </w:r>
          </w:p>
          <w:p w:rsidR="00E4096E" w:rsidRPr="00BB3B34" w:rsidRDefault="00E4096E" w:rsidP="00E4096E">
            <w:pPr>
              <w:jc w:val="both"/>
              <w:rPr>
                <w:rFonts w:ascii="Arial Narrow" w:eastAsia="Calibri" w:hAnsi="Arial Narrow" w:cs="Arial"/>
                <w:sz w:val="18"/>
                <w:szCs w:val="18"/>
                <w:lang w:eastAsia="en-US"/>
              </w:rPr>
            </w:pPr>
            <w:r w:rsidRPr="003F0C78">
              <w:rPr>
                <w:rFonts w:ascii="Arial Narrow" w:eastAsia="Calibri" w:hAnsi="Arial Narrow" w:cs="Arial"/>
                <w:sz w:val="18"/>
                <w:szCs w:val="18"/>
                <w:lang w:eastAsia="en-US"/>
              </w:rPr>
              <w:fldChar w:fldCharType="begin">
                <w:ffData>
                  <w:name w:val=""/>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Authority Required – In Writing</w:t>
            </w:r>
          </w:p>
          <w:p w:rsidR="00E4096E" w:rsidRPr="00BB3B34" w:rsidRDefault="00E4096E" w:rsidP="00E4096E">
            <w:pPr>
              <w:jc w:val="both"/>
              <w:rPr>
                <w:rFonts w:ascii="Arial Narrow" w:eastAsia="Calibri" w:hAnsi="Arial Narrow" w:cs="Arial"/>
                <w:sz w:val="18"/>
                <w:szCs w:val="18"/>
                <w:lang w:eastAsia="en-US"/>
              </w:rPr>
            </w:pPr>
            <w:r w:rsidRPr="003F0C78">
              <w:rPr>
                <w:rFonts w:ascii="Arial Narrow" w:eastAsia="Calibri" w:hAnsi="Arial Narrow" w:cs="Arial"/>
                <w:sz w:val="18"/>
                <w:szCs w:val="18"/>
                <w:lang w:eastAsia="en-US"/>
              </w:rPr>
              <w:fldChar w:fldCharType="begin">
                <w:ffData>
                  <w:name w:val="Check3"/>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Authority Required – Telephone/Electronic/Emergency</w:t>
            </w:r>
          </w:p>
          <w:p w:rsidR="00E4096E" w:rsidRPr="00BB3B34" w:rsidRDefault="00E4096E" w:rsidP="00E4096E">
            <w:pPr>
              <w:jc w:val="both"/>
              <w:rPr>
                <w:rFonts w:ascii="Arial Narrow" w:eastAsia="Calibri" w:hAnsi="Arial Narrow" w:cs="Arial"/>
                <w:sz w:val="18"/>
                <w:szCs w:val="18"/>
                <w:lang w:eastAsia="en-US"/>
              </w:rPr>
            </w:pPr>
            <w:r w:rsidRPr="003F0C78">
              <w:rPr>
                <w:rFonts w:ascii="Arial Narrow" w:eastAsia="Calibri" w:hAnsi="Arial Narrow" w:cs="Arial"/>
                <w:sz w:val="18"/>
                <w:szCs w:val="18"/>
                <w:lang w:eastAsia="en-US"/>
              </w:rPr>
              <w:fldChar w:fldCharType="begin">
                <w:ffData>
                  <w:name w:val=""/>
                  <w:enabled/>
                  <w:calcOnExit w:val="0"/>
                  <w:checkBox>
                    <w:sizeAuto/>
                    <w:default w:val="1"/>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3F0C78">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Authority Required </w:t>
            </w:r>
            <w:r w:rsidR="001100B6" w:rsidRPr="00BB3B34">
              <w:rPr>
                <w:rFonts w:ascii="Arial Narrow" w:eastAsia="Calibri" w:hAnsi="Arial Narrow" w:cs="Arial"/>
                <w:sz w:val="18"/>
                <w:szCs w:val="18"/>
                <w:lang w:eastAsia="en-US"/>
              </w:rPr>
              <w:t>–</w:t>
            </w:r>
            <w:r w:rsidRPr="00BB3B34">
              <w:rPr>
                <w:rFonts w:ascii="Arial Narrow" w:eastAsia="Calibri" w:hAnsi="Arial Narrow" w:cs="Arial"/>
                <w:sz w:val="18"/>
                <w:szCs w:val="18"/>
                <w:lang w:eastAsia="en-US"/>
              </w:rPr>
              <w:t xml:space="preserve"> Streamlined</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p>
        </w:tc>
        <w:tc>
          <w:tcPr>
            <w:tcW w:w="4480" w:type="pct"/>
            <w:vAlign w:val="center"/>
          </w:tcPr>
          <w:p w:rsidR="00E4096E" w:rsidRPr="00BB3B34" w:rsidRDefault="00E4096E" w:rsidP="00E4096E">
            <w:pPr>
              <w:rPr>
                <w:rFonts w:ascii="Arial Narrow" w:hAnsi="Arial Narrow"/>
                <w:b/>
                <w:bCs/>
                <w:color w:val="333333"/>
                <w:sz w:val="18"/>
                <w:szCs w:val="18"/>
              </w:rPr>
            </w:pPr>
            <w:r w:rsidRPr="00BB3B34">
              <w:rPr>
                <w:rFonts w:ascii="Arial Narrow" w:hAnsi="Arial Narrow"/>
                <w:b/>
                <w:bCs/>
                <w:color w:val="333333"/>
                <w:sz w:val="18"/>
                <w:szCs w:val="18"/>
              </w:rPr>
              <w:t xml:space="preserve">Severity: </w:t>
            </w:r>
            <w:r w:rsidRPr="00BB3B34">
              <w:rPr>
                <w:rFonts w:ascii="Arial Narrow" w:hAnsi="Arial Narrow"/>
                <w:bCs/>
                <w:color w:val="333333"/>
                <w:sz w:val="18"/>
                <w:szCs w:val="18"/>
              </w:rPr>
              <w:t xml:space="preserve">Extensive-stage </w:t>
            </w:r>
            <w:r w:rsidR="00112A65" w:rsidRPr="00BB3B34">
              <w:rPr>
                <w:rFonts w:ascii="Arial Narrow" w:hAnsi="Arial Narrow"/>
                <w:bCs/>
                <w:strike/>
                <w:color w:val="333333"/>
                <w:sz w:val="18"/>
                <w:szCs w:val="18"/>
              </w:rPr>
              <w:t>primary</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p>
        </w:tc>
        <w:tc>
          <w:tcPr>
            <w:tcW w:w="4480" w:type="pct"/>
            <w:vAlign w:val="center"/>
          </w:tcPr>
          <w:p w:rsidR="00E4096E" w:rsidRPr="00BB3B34" w:rsidRDefault="00E4096E" w:rsidP="00112A65">
            <w:pPr>
              <w:rPr>
                <w:rFonts w:ascii="Arial Narrow" w:hAnsi="Arial Narrow"/>
                <w:b/>
                <w:bCs/>
                <w:color w:val="333333"/>
                <w:sz w:val="18"/>
                <w:szCs w:val="18"/>
              </w:rPr>
            </w:pPr>
            <w:r w:rsidRPr="00BB3B34">
              <w:rPr>
                <w:rFonts w:ascii="Arial Narrow" w:hAnsi="Arial Narrow"/>
                <w:b/>
                <w:bCs/>
                <w:color w:val="333333"/>
                <w:sz w:val="18"/>
                <w:szCs w:val="18"/>
              </w:rPr>
              <w:t xml:space="preserve">Condition: </w:t>
            </w:r>
            <w:r w:rsidR="00112A65" w:rsidRPr="00BB3B34">
              <w:rPr>
                <w:rFonts w:ascii="Arial Narrow" w:hAnsi="Arial Narrow"/>
                <w:strike/>
                <w:sz w:val="18"/>
                <w:szCs w:val="18"/>
              </w:rPr>
              <w:t>Small cell carcinoma of lung</w:t>
            </w:r>
            <w:r w:rsidR="00645626" w:rsidRPr="00BB3B34">
              <w:rPr>
                <w:rFonts w:ascii="Arial Narrow" w:hAnsi="Arial Narrow"/>
                <w:strike/>
                <w:sz w:val="18"/>
                <w:szCs w:val="18"/>
              </w:rPr>
              <w:t xml:space="preserve"> </w:t>
            </w:r>
            <w:r w:rsidR="00645626" w:rsidRPr="00BB3B34">
              <w:rPr>
                <w:rFonts w:ascii="Arial Narrow" w:hAnsi="Arial Narrow"/>
                <w:i/>
                <w:iCs/>
                <w:sz w:val="18"/>
                <w:szCs w:val="18"/>
              </w:rPr>
              <w:t>small cell lung cancer</w:t>
            </w:r>
          </w:p>
        </w:tc>
      </w:tr>
      <w:tr w:rsidR="00E4096E" w:rsidRPr="00BB3B34" w:rsidTr="004C1808">
        <w:trPr>
          <w:trHeight w:val="266"/>
        </w:trPr>
        <w:tc>
          <w:tcPr>
            <w:tcW w:w="520" w:type="pct"/>
            <w:vAlign w:val="center"/>
            <w:hideMark/>
          </w:tcPr>
          <w:p w:rsidR="00E4096E" w:rsidRPr="00BB3B34" w:rsidRDefault="00E4096E" w:rsidP="00CF33C1">
            <w:pPr>
              <w:jc w:val="center"/>
              <w:rPr>
                <w:rFonts w:ascii="Arial Narrow" w:hAnsi="Arial Narrow"/>
                <w:color w:val="333333"/>
                <w:sz w:val="18"/>
                <w:szCs w:val="18"/>
              </w:rPr>
            </w:pPr>
            <w:r w:rsidRPr="00BB3B34">
              <w:rPr>
                <w:rFonts w:ascii="Arial Narrow" w:hAnsi="Arial Narrow"/>
                <w:color w:val="333333"/>
                <w:sz w:val="18"/>
                <w:szCs w:val="18"/>
              </w:rPr>
              <w:t>24247</w:t>
            </w: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Indication:</w:t>
            </w:r>
            <w:r w:rsidRPr="00BB3B34">
              <w:rPr>
                <w:rFonts w:ascii="Arial Narrow" w:hAnsi="Arial Narrow"/>
                <w:color w:val="333333"/>
                <w:sz w:val="18"/>
                <w:szCs w:val="18"/>
              </w:rPr>
              <w:t xml:space="preserve"> </w:t>
            </w:r>
            <w:r w:rsidR="00645626" w:rsidRPr="00BB3B34">
              <w:rPr>
                <w:rFonts w:ascii="Arial Narrow" w:hAnsi="Arial Narrow"/>
                <w:strike/>
                <w:sz w:val="18"/>
                <w:szCs w:val="18"/>
              </w:rPr>
              <w:t>Extensive-stage primary small cell carcinoma of lung</w:t>
            </w:r>
            <w:r w:rsidR="00645626" w:rsidRPr="00BB3B34">
              <w:rPr>
                <w:rFonts w:ascii="Arial Narrow" w:hAnsi="Arial Narrow"/>
                <w:color w:val="333333"/>
                <w:sz w:val="18"/>
                <w:szCs w:val="18"/>
              </w:rPr>
              <w:t xml:space="preserve"> </w:t>
            </w:r>
            <w:r w:rsidRPr="00BB3B34">
              <w:rPr>
                <w:rFonts w:ascii="Arial Narrow" w:hAnsi="Arial Narrow"/>
                <w:i/>
                <w:iCs/>
                <w:color w:val="333333"/>
                <w:sz w:val="18"/>
                <w:szCs w:val="18"/>
              </w:rPr>
              <w:t>Extensive-stage small cell lung cancer</w:t>
            </w:r>
          </w:p>
        </w:tc>
      </w:tr>
      <w:tr w:rsidR="00E4096E" w:rsidRPr="00BB3B34" w:rsidTr="00EA0DF6">
        <w:trPr>
          <w:trHeight w:val="148"/>
        </w:trPr>
        <w:tc>
          <w:tcPr>
            <w:tcW w:w="520" w:type="pct"/>
            <w:vAlign w:val="center"/>
            <w:hideMark/>
          </w:tcPr>
          <w:p w:rsidR="00E4096E" w:rsidRPr="00BB3B34" w:rsidRDefault="00E4096E" w:rsidP="00E4096E">
            <w:pPr>
              <w:jc w:val="center"/>
              <w:rPr>
                <w:rFonts w:ascii="Arial Narrow" w:hAnsi="Arial Narrow"/>
                <w:color w:val="333333"/>
                <w:sz w:val="18"/>
                <w:szCs w:val="18"/>
              </w:rPr>
            </w:pPr>
          </w:p>
        </w:tc>
        <w:tc>
          <w:tcPr>
            <w:tcW w:w="4480" w:type="pct"/>
            <w:vAlign w:val="center"/>
            <w:hideMark/>
          </w:tcPr>
          <w:p w:rsidR="00E4096E" w:rsidRPr="00BB3B34" w:rsidRDefault="00E4096E" w:rsidP="00EA0DF6">
            <w:pPr>
              <w:rPr>
                <w:rFonts w:ascii="Arial Narrow" w:hAnsi="Arial Narrow"/>
                <w:i/>
                <w:color w:val="333333"/>
                <w:sz w:val="18"/>
                <w:szCs w:val="18"/>
              </w:rPr>
            </w:pPr>
            <w:r w:rsidRPr="00BB3B34">
              <w:rPr>
                <w:rFonts w:ascii="Arial Narrow" w:hAnsi="Arial Narrow"/>
                <w:b/>
                <w:bCs/>
                <w:color w:val="333333"/>
                <w:sz w:val="18"/>
                <w:szCs w:val="18"/>
              </w:rPr>
              <w:t>Treatment Phase:</w:t>
            </w:r>
            <w:r w:rsidRPr="00BB3B34">
              <w:rPr>
                <w:rFonts w:ascii="Arial Narrow" w:hAnsi="Arial Narrow"/>
                <w:color w:val="333333"/>
                <w:sz w:val="18"/>
                <w:szCs w:val="18"/>
              </w:rPr>
              <w:t xml:space="preserve"> </w:t>
            </w:r>
            <w:r w:rsidR="00CF33C1" w:rsidRPr="00BB3B34">
              <w:rPr>
                <w:rFonts w:ascii="Arial Narrow" w:hAnsi="Arial Narrow"/>
                <w:color w:val="333333"/>
                <w:sz w:val="18"/>
                <w:szCs w:val="18"/>
              </w:rPr>
              <w:t>Continuing treatment</w:t>
            </w:r>
          </w:p>
        </w:tc>
      </w:tr>
      <w:tr w:rsidR="00E4096E" w:rsidRPr="00BB3B34" w:rsidTr="004C1808">
        <w:tc>
          <w:tcPr>
            <w:tcW w:w="520" w:type="pct"/>
            <w:vAlign w:val="center"/>
            <w:hideMark/>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7910</w:t>
            </w: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Clinical criteria:</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7909</w:t>
            </w:r>
          </w:p>
        </w:tc>
        <w:tc>
          <w:tcPr>
            <w:tcW w:w="4480" w:type="pct"/>
            <w:vAlign w:val="center"/>
          </w:tcPr>
          <w:p w:rsidR="00E4096E" w:rsidRPr="00BB3B34" w:rsidRDefault="00E4096E" w:rsidP="00E4096E">
            <w:pPr>
              <w:rPr>
                <w:rFonts w:ascii="Arial Narrow" w:hAnsi="Arial Narrow"/>
                <w:color w:val="333333"/>
                <w:sz w:val="18"/>
                <w:szCs w:val="18"/>
              </w:rPr>
            </w:pPr>
            <w:r w:rsidRPr="00BB3B34">
              <w:rPr>
                <w:rFonts w:ascii="Arial Narrow" w:hAnsi="Arial Narrow"/>
                <w:color w:val="333333"/>
                <w:sz w:val="18"/>
                <w:szCs w:val="18"/>
              </w:rPr>
              <w:t>The treatment must be as monotherapy</w:t>
            </w:r>
          </w:p>
        </w:tc>
      </w:tr>
      <w:tr w:rsidR="00E4096E" w:rsidRPr="00BB3B34" w:rsidTr="004C1808">
        <w:tc>
          <w:tcPr>
            <w:tcW w:w="520" w:type="pct"/>
            <w:vAlign w:val="center"/>
            <w:hideMark/>
          </w:tcPr>
          <w:p w:rsidR="00E4096E" w:rsidRPr="00BB3B34" w:rsidRDefault="00E4096E" w:rsidP="00E4096E">
            <w:pPr>
              <w:jc w:val="center"/>
              <w:rPr>
                <w:rFonts w:ascii="Arial Narrow" w:hAnsi="Arial Narrow"/>
                <w:color w:val="333333"/>
                <w:sz w:val="18"/>
                <w:szCs w:val="18"/>
              </w:rPr>
            </w:pP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AND</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11365</w:t>
            </w: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Clinical criteria:</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11364</w:t>
            </w:r>
          </w:p>
        </w:tc>
        <w:tc>
          <w:tcPr>
            <w:tcW w:w="4480" w:type="pct"/>
            <w:vAlign w:val="center"/>
          </w:tcPr>
          <w:p w:rsidR="00E4096E" w:rsidRPr="00BB3B34" w:rsidRDefault="00E4096E" w:rsidP="00E4096E">
            <w:pPr>
              <w:rPr>
                <w:rFonts w:ascii="Arial Narrow" w:hAnsi="Arial Narrow"/>
                <w:color w:val="333333"/>
                <w:sz w:val="18"/>
                <w:szCs w:val="18"/>
              </w:rPr>
            </w:pPr>
            <w:r w:rsidRPr="00BB3B34">
              <w:rPr>
                <w:rFonts w:ascii="Arial Narrow" w:hAnsi="Arial Narrow"/>
                <w:iCs/>
                <w:color w:val="333333"/>
                <w:sz w:val="18"/>
                <w:szCs w:val="18"/>
              </w:rPr>
              <w:t>Patient must have previously received PBS-subsidised treatment with this drug for this condition</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AND</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23679</w:t>
            </w: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Clinical criteria:</w:t>
            </w:r>
          </w:p>
        </w:tc>
      </w:tr>
      <w:tr w:rsidR="00E4096E" w:rsidRPr="00BB3B34" w:rsidTr="004C1808">
        <w:tc>
          <w:tcPr>
            <w:tcW w:w="520" w:type="pct"/>
            <w:vAlign w:val="center"/>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23678</w:t>
            </w:r>
          </w:p>
        </w:tc>
        <w:tc>
          <w:tcPr>
            <w:tcW w:w="4480" w:type="pct"/>
            <w:vAlign w:val="center"/>
          </w:tcPr>
          <w:p w:rsidR="00E4096E" w:rsidRPr="00BB3B34" w:rsidRDefault="00E4096E" w:rsidP="00E4096E">
            <w:pPr>
              <w:rPr>
                <w:rFonts w:ascii="Arial Narrow" w:hAnsi="Arial Narrow"/>
                <w:color w:val="333333"/>
                <w:sz w:val="18"/>
                <w:szCs w:val="18"/>
              </w:rPr>
            </w:pPr>
            <w:r w:rsidRPr="00BB3B34">
              <w:rPr>
                <w:rFonts w:ascii="Arial Narrow" w:hAnsi="Arial Narrow"/>
                <w:color w:val="333333"/>
                <w:sz w:val="18"/>
                <w:szCs w:val="18"/>
              </w:rPr>
              <w:t>Patient must not have developed disease progression while being treated with this drug for this condition</w:t>
            </w:r>
          </w:p>
        </w:tc>
      </w:tr>
      <w:tr w:rsidR="00E4096E" w:rsidRPr="00BB3B34" w:rsidTr="004C1808">
        <w:tc>
          <w:tcPr>
            <w:tcW w:w="520" w:type="pct"/>
            <w:vAlign w:val="center"/>
            <w:hideMark/>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7606</w:t>
            </w:r>
          </w:p>
        </w:tc>
        <w:tc>
          <w:tcPr>
            <w:tcW w:w="4480" w:type="pct"/>
            <w:vAlign w:val="center"/>
            <w:hideMark/>
          </w:tcPr>
          <w:p w:rsidR="00E4096E" w:rsidRPr="00BB3B34" w:rsidRDefault="00E4096E" w:rsidP="00E4096E">
            <w:pPr>
              <w:rPr>
                <w:rFonts w:ascii="Arial Narrow" w:hAnsi="Arial Narrow"/>
                <w:b/>
                <w:bCs/>
                <w:color w:val="333333"/>
                <w:sz w:val="18"/>
                <w:szCs w:val="18"/>
              </w:rPr>
            </w:pPr>
            <w:r w:rsidRPr="00BB3B34">
              <w:rPr>
                <w:rFonts w:ascii="Arial Narrow" w:hAnsi="Arial Narrow"/>
                <w:b/>
                <w:bCs/>
                <w:color w:val="333333"/>
                <w:sz w:val="18"/>
                <w:szCs w:val="18"/>
              </w:rPr>
              <w:t xml:space="preserve">Administrative Advice: </w:t>
            </w:r>
            <w:r w:rsidRPr="00BB3B34">
              <w:rPr>
                <w:rFonts w:ascii="Arial Narrow" w:hAnsi="Arial Narrow"/>
                <w:bCs/>
                <w:color w:val="333333"/>
                <w:sz w:val="18"/>
                <w:szCs w:val="18"/>
              </w:rPr>
              <w:t>No increase in the maximum quantity or number of units may be authorised</w:t>
            </w:r>
          </w:p>
        </w:tc>
      </w:tr>
      <w:tr w:rsidR="00E4096E" w:rsidRPr="00BB3B34" w:rsidTr="004C1808">
        <w:tc>
          <w:tcPr>
            <w:tcW w:w="520" w:type="pct"/>
            <w:vAlign w:val="center"/>
            <w:hideMark/>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7607</w:t>
            </w:r>
          </w:p>
        </w:tc>
        <w:tc>
          <w:tcPr>
            <w:tcW w:w="4480" w:type="pct"/>
            <w:vAlign w:val="center"/>
            <w:hideMark/>
          </w:tcPr>
          <w:p w:rsidR="00E4096E" w:rsidRPr="00BB3B34" w:rsidRDefault="00E4096E" w:rsidP="00E4096E">
            <w:pPr>
              <w:rPr>
                <w:rFonts w:ascii="Arial Narrow" w:hAnsi="Arial Narrow"/>
                <w:b/>
                <w:bCs/>
                <w:color w:val="333333"/>
                <w:sz w:val="18"/>
                <w:szCs w:val="18"/>
              </w:rPr>
            </w:pPr>
            <w:r w:rsidRPr="00BB3B34">
              <w:rPr>
                <w:rFonts w:ascii="Arial Narrow" w:hAnsi="Arial Narrow"/>
                <w:b/>
                <w:bCs/>
                <w:color w:val="333333"/>
                <w:sz w:val="18"/>
                <w:szCs w:val="18"/>
              </w:rPr>
              <w:t xml:space="preserve">Administrative Advice: </w:t>
            </w:r>
            <w:r w:rsidRPr="00BB3B34">
              <w:rPr>
                <w:rFonts w:ascii="Arial Narrow" w:hAnsi="Arial Narrow"/>
                <w:bCs/>
                <w:color w:val="333333"/>
                <w:sz w:val="18"/>
                <w:szCs w:val="18"/>
              </w:rPr>
              <w:t>No increase in the maximum number of repeats may be authorised</w:t>
            </w:r>
          </w:p>
        </w:tc>
      </w:tr>
      <w:tr w:rsidR="00E4096E" w:rsidRPr="00BB3B34" w:rsidTr="004C1808">
        <w:trPr>
          <w:trHeight w:val="238"/>
        </w:trPr>
        <w:tc>
          <w:tcPr>
            <w:tcW w:w="520" w:type="pct"/>
            <w:vAlign w:val="center"/>
            <w:hideMark/>
          </w:tcPr>
          <w:p w:rsidR="00E4096E" w:rsidRPr="00BB3B34" w:rsidRDefault="00E4096E" w:rsidP="00E4096E">
            <w:pPr>
              <w:jc w:val="center"/>
              <w:rPr>
                <w:rFonts w:ascii="Arial Narrow" w:hAnsi="Arial Narrow"/>
                <w:color w:val="333333"/>
                <w:sz w:val="18"/>
                <w:szCs w:val="18"/>
              </w:rPr>
            </w:pPr>
            <w:r w:rsidRPr="00BB3B34">
              <w:rPr>
                <w:rFonts w:ascii="Arial Narrow" w:hAnsi="Arial Narrow"/>
                <w:color w:val="333333"/>
                <w:sz w:val="18"/>
                <w:szCs w:val="18"/>
              </w:rPr>
              <w:t>7608</w:t>
            </w:r>
          </w:p>
        </w:tc>
        <w:tc>
          <w:tcPr>
            <w:tcW w:w="4480" w:type="pct"/>
            <w:vAlign w:val="center"/>
            <w:hideMark/>
          </w:tcPr>
          <w:p w:rsidR="00E4096E" w:rsidRPr="00BB3B34" w:rsidRDefault="00E4096E" w:rsidP="00E4096E">
            <w:pPr>
              <w:rPr>
                <w:rFonts w:ascii="Arial Narrow" w:hAnsi="Arial Narrow"/>
                <w:color w:val="333333"/>
                <w:sz w:val="18"/>
                <w:szCs w:val="18"/>
              </w:rPr>
            </w:pPr>
            <w:r w:rsidRPr="00BB3B34">
              <w:rPr>
                <w:rFonts w:ascii="Arial Narrow" w:hAnsi="Arial Narrow"/>
                <w:b/>
                <w:bCs/>
                <w:color w:val="333333"/>
                <w:sz w:val="18"/>
                <w:szCs w:val="18"/>
              </w:rPr>
              <w:t>Administrative Advice:</w:t>
            </w:r>
            <w:r w:rsidRPr="00BB3B34">
              <w:rPr>
                <w:rFonts w:ascii="Arial Narrow" w:hAnsi="Arial Narrow"/>
                <w:color w:val="333333"/>
                <w:sz w:val="18"/>
                <w:szCs w:val="18"/>
              </w:rPr>
              <w:t xml:space="preserve"> Special Pricing Arrangements apply</w:t>
            </w:r>
          </w:p>
        </w:tc>
      </w:tr>
    </w:tbl>
    <w:p w:rsidR="00CC5E0C" w:rsidRPr="00BB3B34" w:rsidRDefault="00CC5E0C" w:rsidP="00F7509B">
      <w:pPr>
        <w:pStyle w:val="3Bodytext"/>
        <w:spacing w:before="120"/>
        <w:ind w:left="720"/>
        <w:jc w:val="both"/>
        <w:rPr>
          <w:rFonts w:cstheme="minorHAnsi"/>
          <w:i/>
          <w:color w:val="000000" w:themeColor="text1"/>
          <w:szCs w:val="24"/>
        </w:rPr>
      </w:pPr>
      <w:r w:rsidRPr="00BB3B34">
        <w:rPr>
          <w:rFonts w:cstheme="minorHAnsi"/>
          <w:i/>
          <w:color w:val="000000" w:themeColor="text1"/>
          <w:szCs w:val="24"/>
        </w:rPr>
        <w:t>For more detail</w:t>
      </w:r>
      <w:r w:rsidR="00AA295F" w:rsidRPr="00BB3B34">
        <w:rPr>
          <w:rFonts w:cstheme="minorHAnsi"/>
          <w:i/>
          <w:color w:val="000000" w:themeColor="text1"/>
          <w:szCs w:val="24"/>
        </w:rPr>
        <w:t xml:space="preserve"> on PBAC’s view, see section 6</w:t>
      </w:r>
      <w:r w:rsidRPr="00BB3B34">
        <w:rPr>
          <w:rFonts w:cstheme="minorHAnsi"/>
          <w:i/>
          <w:color w:val="000000" w:themeColor="text1"/>
          <w:szCs w:val="24"/>
        </w:rPr>
        <w:t xml:space="preserve"> PBAC outcome.</w:t>
      </w:r>
    </w:p>
    <w:p w:rsidR="00C603D4" w:rsidRPr="00BB3B34" w:rsidRDefault="00CE10C4" w:rsidP="00367223">
      <w:pPr>
        <w:pStyle w:val="2Sections"/>
      </w:pPr>
      <w:r w:rsidRPr="00BB3B34">
        <w:t>Background</w:t>
      </w:r>
      <w:r w:rsidR="00771D07" w:rsidRPr="00BB3B34">
        <w:t xml:space="preserve"> </w:t>
      </w:r>
    </w:p>
    <w:p w:rsidR="009855A8" w:rsidRPr="00BB3B34" w:rsidRDefault="009855A8" w:rsidP="003F0F10">
      <w:pPr>
        <w:pStyle w:val="Heading2"/>
        <w:spacing w:after="120"/>
        <w:rPr>
          <w:rFonts w:asciiTheme="minorHAnsi" w:hAnsiTheme="minorHAnsi" w:cstheme="minorHAnsi"/>
          <w:sz w:val="28"/>
          <w:szCs w:val="28"/>
        </w:rPr>
      </w:pPr>
      <w:r w:rsidRPr="00BB3B34">
        <w:rPr>
          <w:rFonts w:asciiTheme="minorHAnsi" w:hAnsiTheme="minorHAnsi" w:cstheme="minorHAnsi"/>
          <w:sz w:val="28"/>
          <w:szCs w:val="28"/>
        </w:rPr>
        <w:t>Registration status</w:t>
      </w:r>
    </w:p>
    <w:p w:rsidR="005C6D5B" w:rsidRPr="00BB3B34" w:rsidRDefault="00C569F6" w:rsidP="001F02DF">
      <w:pPr>
        <w:pStyle w:val="Bodytextitalics"/>
        <w:jc w:val="both"/>
        <w:rPr>
          <w:i w:val="0"/>
        </w:rPr>
      </w:pPr>
      <w:r w:rsidRPr="00BB3B34">
        <w:rPr>
          <w:i w:val="0"/>
          <w:iCs/>
        </w:rPr>
        <w:t xml:space="preserve">Atezolizumab 840 mg in 14 mL injection for </w:t>
      </w:r>
      <w:r w:rsidR="00CF0A3E" w:rsidRPr="00BB3B34">
        <w:rPr>
          <w:i w:val="0"/>
          <w:iCs/>
        </w:rPr>
        <w:t xml:space="preserve">the </w:t>
      </w:r>
      <w:r w:rsidRPr="00BB3B34">
        <w:rPr>
          <w:i w:val="0"/>
          <w:iCs/>
        </w:rPr>
        <w:t>1680 mg Q4W</w:t>
      </w:r>
      <w:r w:rsidR="00D830AF" w:rsidRPr="00BB3B34">
        <w:rPr>
          <w:i w:val="0"/>
          <w:iCs/>
        </w:rPr>
        <w:t xml:space="preserve"> </w:t>
      </w:r>
      <w:r w:rsidRPr="00BB3B34">
        <w:rPr>
          <w:i w:val="0"/>
          <w:iCs/>
        </w:rPr>
        <w:t>dosing regimen is currently TGA registered for the following indications:</w:t>
      </w:r>
      <w:r w:rsidR="007A0699" w:rsidRPr="00BB3B34">
        <w:rPr>
          <w:rFonts w:cstheme="minorHAnsi"/>
          <w:i w:val="0"/>
          <w:color w:val="000000" w:themeColor="text1"/>
          <w:szCs w:val="24"/>
        </w:rPr>
        <w:t xml:space="preserve"> </w:t>
      </w:r>
    </w:p>
    <w:p w:rsidR="00CE5EBA" w:rsidRPr="00BB3B34" w:rsidRDefault="004E19EB" w:rsidP="00BB54BD">
      <w:pPr>
        <w:pStyle w:val="3Bodytext"/>
        <w:numPr>
          <w:ilvl w:val="0"/>
          <w:numId w:val="8"/>
        </w:numPr>
        <w:ind w:left="714" w:hanging="357"/>
        <w:jc w:val="both"/>
        <w:rPr>
          <w:rFonts w:cstheme="minorHAnsi"/>
          <w:color w:val="000000" w:themeColor="text1"/>
          <w:szCs w:val="24"/>
        </w:rPr>
      </w:pPr>
      <w:r w:rsidRPr="00BB3B34">
        <w:rPr>
          <w:rFonts w:cstheme="minorHAnsi"/>
          <w:color w:val="000000" w:themeColor="text1"/>
          <w:szCs w:val="24"/>
        </w:rPr>
        <w:t xml:space="preserve">Second-line treatment </w:t>
      </w:r>
      <w:r w:rsidR="001222EB" w:rsidRPr="00BB3B34">
        <w:rPr>
          <w:rFonts w:cstheme="minorHAnsi"/>
          <w:color w:val="000000" w:themeColor="text1"/>
          <w:szCs w:val="24"/>
        </w:rPr>
        <w:t xml:space="preserve">as monotherapy for </w:t>
      </w:r>
      <w:r w:rsidR="00666E4D" w:rsidRPr="00BB3B34">
        <w:rPr>
          <w:rFonts w:cstheme="minorHAnsi"/>
          <w:color w:val="000000" w:themeColor="text1"/>
          <w:szCs w:val="24"/>
        </w:rPr>
        <w:t>p</w:t>
      </w:r>
      <w:r w:rsidRPr="00BB3B34">
        <w:rPr>
          <w:rFonts w:cstheme="minorHAnsi"/>
          <w:color w:val="000000" w:themeColor="text1"/>
          <w:szCs w:val="24"/>
        </w:rPr>
        <w:t xml:space="preserve">atients with locally advanced or metastatic </w:t>
      </w:r>
      <w:proofErr w:type="gramStart"/>
      <w:r w:rsidR="001222EB" w:rsidRPr="00BB3B34">
        <w:rPr>
          <w:rFonts w:cstheme="minorHAnsi"/>
          <w:color w:val="000000" w:themeColor="text1"/>
          <w:szCs w:val="24"/>
        </w:rPr>
        <w:t>non-small cell lung cancer</w:t>
      </w:r>
      <w:proofErr w:type="gramEnd"/>
      <w:r w:rsidR="001222EB" w:rsidRPr="00BB3B34">
        <w:rPr>
          <w:rFonts w:cstheme="minorHAnsi"/>
          <w:color w:val="000000" w:themeColor="text1"/>
          <w:szCs w:val="24"/>
        </w:rPr>
        <w:t xml:space="preserve"> (</w:t>
      </w:r>
      <w:r w:rsidRPr="00BB3B34">
        <w:rPr>
          <w:rFonts w:cstheme="minorHAnsi"/>
          <w:color w:val="000000" w:themeColor="text1"/>
          <w:szCs w:val="24"/>
        </w:rPr>
        <w:t>NSCLC</w:t>
      </w:r>
      <w:r w:rsidR="001222EB" w:rsidRPr="00BB3B34">
        <w:rPr>
          <w:rFonts w:cstheme="minorHAnsi"/>
          <w:color w:val="000000" w:themeColor="text1"/>
          <w:szCs w:val="24"/>
        </w:rPr>
        <w:t>)</w:t>
      </w:r>
      <w:r w:rsidRPr="00BB3B34">
        <w:rPr>
          <w:rFonts w:cstheme="minorHAnsi"/>
          <w:color w:val="000000" w:themeColor="text1"/>
          <w:szCs w:val="24"/>
        </w:rPr>
        <w:t xml:space="preserve"> after prior chemotherapy</w:t>
      </w:r>
      <w:r w:rsidR="00666E4D" w:rsidRPr="00BB3B34">
        <w:rPr>
          <w:rFonts w:cstheme="minorHAnsi"/>
          <w:color w:val="000000" w:themeColor="text1"/>
          <w:szCs w:val="24"/>
        </w:rPr>
        <w:t xml:space="preserve">. </w:t>
      </w:r>
    </w:p>
    <w:p w:rsidR="001222EB" w:rsidRPr="00BB3B34" w:rsidRDefault="001222EB" w:rsidP="00BB54BD">
      <w:pPr>
        <w:pStyle w:val="Bodytextitalics"/>
        <w:numPr>
          <w:ilvl w:val="0"/>
          <w:numId w:val="8"/>
        </w:numPr>
        <w:ind w:left="714" w:hanging="357"/>
        <w:jc w:val="both"/>
        <w:rPr>
          <w:rFonts w:cstheme="minorHAnsi"/>
          <w:i w:val="0"/>
          <w:iCs/>
          <w:szCs w:val="24"/>
        </w:rPr>
      </w:pPr>
      <w:r w:rsidRPr="00BB3B34">
        <w:rPr>
          <w:rFonts w:cstheme="minorHAnsi"/>
          <w:i w:val="0"/>
          <w:iCs/>
          <w:szCs w:val="24"/>
        </w:rPr>
        <w:t xml:space="preserve">First-line treatment of patients with metastatic </w:t>
      </w:r>
      <w:r w:rsidRPr="00BB3B34">
        <w:rPr>
          <w:rFonts w:cstheme="minorHAnsi"/>
          <w:i w:val="0"/>
          <w:iCs/>
          <w:color w:val="000000" w:themeColor="text1"/>
          <w:szCs w:val="24"/>
        </w:rPr>
        <w:t xml:space="preserve">non-squamous </w:t>
      </w:r>
      <w:r w:rsidRPr="00BB3B34">
        <w:rPr>
          <w:rFonts w:cstheme="minorHAnsi"/>
          <w:i w:val="0"/>
          <w:iCs/>
          <w:szCs w:val="24"/>
        </w:rPr>
        <w:t xml:space="preserve">NSCLC in combination with bevacizumab, paclitaxel and carboplatin. </w:t>
      </w:r>
      <w:r w:rsidR="00740A79" w:rsidRPr="00BB3B34">
        <w:rPr>
          <w:rFonts w:cstheme="minorHAnsi"/>
          <w:i w:val="0"/>
          <w:iCs/>
          <w:szCs w:val="24"/>
        </w:rPr>
        <w:t xml:space="preserve">Atezolizumab 840 mg injection </w:t>
      </w:r>
      <w:proofErr w:type="gramStart"/>
      <w:r w:rsidR="00740A79" w:rsidRPr="00BB3B34">
        <w:rPr>
          <w:rFonts w:cstheme="minorHAnsi"/>
          <w:i w:val="0"/>
          <w:iCs/>
          <w:szCs w:val="24"/>
        </w:rPr>
        <w:t>can be administered</w:t>
      </w:r>
      <w:proofErr w:type="gramEnd"/>
      <w:r w:rsidR="00740A79" w:rsidRPr="00BB3B34">
        <w:rPr>
          <w:rFonts w:cstheme="minorHAnsi"/>
          <w:i w:val="0"/>
          <w:iCs/>
          <w:szCs w:val="24"/>
        </w:rPr>
        <w:t xml:space="preserve"> as monotherapy when bevacizumab is discontinued during the maintenance phase. </w:t>
      </w:r>
    </w:p>
    <w:p w:rsidR="003D785F" w:rsidRPr="00BB3B34" w:rsidRDefault="008605E5" w:rsidP="00BB54BD">
      <w:pPr>
        <w:pStyle w:val="Bodytextitalics"/>
        <w:numPr>
          <w:ilvl w:val="0"/>
          <w:numId w:val="8"/>
        </w:numPr>
        <w:ind w:left="714" w:hanging="357"/>
        <w:jc w:val="both"/>
        <w:rPr>
          <w:i w:val="0"/>
          <w:iCs/>
        </w:rPr>
      </w:pPr>
      <w:proofErr w:type="gramStart"/>
      <w:r w:rsidRPr="00BB3B34">
        <w:rPr>
          <w:i w:val="0"/>
          <w:iCs/>
        </w:rPr>
        <w:t>First-</w:t>
      </w:r>
      <w:r w:rsidR="003D785F" w:rsidRPr="00BB3B34">
        <w:rPr>
          <w:i w:val="0"/>
          <w:iCs/>
        </w:rPr>
        <w:t xml:space="preserve">line treatment of patients with </w:t>
      </w:r>
      <w:r w:rsidRPr="00BB3B34">
        <w:rPr>
          <w:i w:val="0"/>
          <w:iCs/>
        </w:rPr>
        <w:t xml:space="preserve">ES-SCLC </w:t>
      </w:r>
      <w:r w:rsidR="002D74B0" w:rsidRPr="00BB3B34">
        <w:rPr>
          <w:i w:val="0"/>
          <w:iCs/>
        </w:rPr>
        <w:t>in</w:t>
      </w:r>
      <w:r w:rsidR="00A96E76" w:rsidRPr="00BB3B34">
        <w:rPr>
          <w:i w:val="0"/>
          <w:iCs/>
        </w:rPr>
        <w:t xml:space="preserve"> </w:t>
      </w:r>
      <w:r w:rsidR="00A4755B" w:rsidRPr="00BB3B34">
        <w:rPr>
          <w:i w:val="0"/>
          <w:iCs/>
        </w:rPr>
        <w:t>combination</w:t>
      </w:r>
      <w:r w:rsidRPr="00BB3B34">
        <w:rPr>
          <w:i w:val="0"/>
          <w:iCs/>
        </w:rPr>
        <w:t xml:space="preserve"> with carboplatin and etoposide, and that atezolizumab </w:t>
      </w:r>
      <w:r w:rsidR="00F53F79" w:rsidRPr="00BB3B34">
        <w:rPr>
          <w:i w:val="0"/>
          <w:iCs/>
        </w:rPr>
        <w:t>840 mg be administered</w:t>
      </w:r>
      <w:proofErr w:type="gramEnd"/>
      <w:r w:rsidR="00F53F79" w:rsidRPr="00BB3B34">
        <w:rPr>
          <w:i w:val="0"/>
          <w:iCs/>
        </w:rPr>
        <w:t xml:space="preserve"> as monotherapy during the maintenance phase without chemotherapy.</w:t>
      </w:r>
    </w:p>
    <w:p w:rsidR="001222EB" w:rsidRPr="00BB3B34" w:rsidRDefault="001C05CE" w:rsidP="00BB54BD">
      <w:pPr>
        <w:pStyle w:val="Bodytextitalics"/>
        <w:numPr>
          <w:ilvl w:val="0"/>
          <w:numId w:val="8"/>
        </w:numPr>
        <w:ind w:left="714" w:hanging="357"/>
        <w:jc w:val="both"/>
        <w:rPr>
          <w:i w:val="0"/>
          <w:iCs/>
        </w:rPr>
      </w:pPr>
      <w:r w:rsidRPr="00BB3B34">
        <w:rPr>
          <w:i w:val="0"/>
          <w:iCs/>
        </w:rPr>
        <w:t>Treatment as monotherapy for</w:t>
      </w:r>
      <w:r w:rsidR="001222EB" w:rsidRPr="00BB3B34">
        <w:rPr>
          <w:i w:val="0"/>
          <w:iCs/>
        </w:rPr>
        <w:t xml:space="preserve"> patients with locally advanced or metastatic urothelial carcinoma (mUC) who are considered cisplatin ineligible and whose tumours express PD-L1, as determined by a validated test, or are considered ineligible for any other platinum-containing chemotherapy regardless of the level of tumour PD-L1 expression.</w:t>
      </w:r>
    </w:p>
    <w:p w:rsidR="001222EB" w:rsidRPr="00BB3B34" w:rsidRDefault="00440FC1" w:rsidP="00BB54BD">
      <w:pPr>
        <w:pStyle w:val="Bodytextitalics"/>
        <w:numPr>
          <w:ilvl w:val="0"/>
          <w:numId w:val="8"/>
        </w:numPr>
        <w:jc w:val="both"/>
        <w:rPr>
          <w:i w:val="0"/>
          <w:iCs/>
        </w:rPr>
      </w:pPr>
      <w:r w:rsidRPr="00BB3B34">
        <w:rPr>
          <w:i w:val="0"/>
          <w:iCs/>
        </w:rPr>
        <w:t>Treatment of patients with unresectable locally advanced or metastatic triple-negative breast cancer (TNBC) in combination with paclitaxel protein-bound, whose tumours express PD-L1 as determined by a validated test and who have not received prior chemotherapy for metastatic disease.</w:t>
      </w:r>
      <w:r w:rsidR="00C12EF6" w:rsidRPr="00BB3B34">
        <w:rPr>
          <w:i w:val="0"/>
          <w:iCs/>
        </w:rPr>
        <w:t xml:space="preserve"> </w:t>
      </w:r>
      <w:r w:rsidR="00F97D35" w:rsidRPr="00BB3B34">
        <w:rPr>
          <w:i w:val="0"/>
          <w:iCs/>
        </w:rPr>
        <w:t xml:space="preserve">Atezolizumab 840 mg injection </w:t>
      </w:r>
      <w:proofErr w:type="gramStart"/>
      <w:r w:rsidR="00C12EF6" w:rsidRPr="00BB3B34">
        <w:rPr>
          <w:i w:val="0"/>
          <w:iCs/>
        </w:rPr>
        <w:t xml:space="preserve">is </w:t>
      </w:r>
      <w:r w:rsidR="00F97D35" w:rsidRPr="00BB3B34">
        <w:rPr>
          <w:i w:val="0"/>
          <w:iCs/>
        </w:rPr>
        <w:t>administered</w:t>
      </w:r>
      <w:proofErr w:type="gramEnd"/>
      <w:r w:rsidR="00C12EF6" w:rsidRPr="00BB3B34">
        <w:rPr>
          <w:i w:val="0"/>
          <w:iCs/>
        </w:rPr>
        <w:t xml:space="preserve"> on days 1 and 15</w:t>
      </w:r>
      <w:r w:rsidR="00F97D35" w:rsidRPr="00BB3B34">
        <w:rPr>
          <w:i w:val="0"/>
          <w:iCs/>
        </w:rPr>
        <w:t>, followed by 100 mg/m</w:t>
      </w:r>
      <w:r w:rsidR="00F97D35" w:rsidRPr="00BB3B34">
        <w:rPr>
          <w:i w:val="0"/>
          <w:iCs/>
          <w:vertAlign w:val="superscript"/>
        </w:rPr>
        <w:t>2</w:t>
      </w:r>
      <w:r w:rsidR="00F97D35" w:rsidRPr="00BB3B34">
        <w:rPr>
          <w:i w:val="0"/>
          <w:iCs/>
        </w:rPr>
        <w:t xml:space="preserve"> nab-paclitaxel (nanopar</w:t>
      </w:r>
      <w:r w:rsidR="00C12EF6" w:rsidRPr="00BB3B34">
        <w:rPr>
          <w:i w:val="0"/>
          <w:iCs/>
        </w:rPr>
        <w:t>ticle albumin-bound paclitaxel)</w:t>
      </w:r>
      <w:r w:rsidR="00F97D35" w:rsidRPr="00BB3B34">
        <w:rPr>
          <w:i w:val="0"/>
          <w:iCs/>
        </w:rPr>
        <w:t xml:space="preserve"> </w:t>
      </w:r>
      <w:r w:rsidR="00C12EF6" w:rsidRPr="00BB3B34">
        <w:rPr>
          <w:i w:val="0"/>
          <w:iCs/>
        </w:rPr>
        <w:t>on days 1, 8 and 15 f</w:t>
      </w:r>
      <w:r w:rsidR="00F97D35" w:rsidRPr="00BB3B34">
        <w:rPr>
          <w:i w:val="0"/>
          <w:iCs/>
        </w:rPr>
        <w:t>or each 28-day cycle</w:t>
      </w:r>
      <w:r w:rsidR="00C12EF6" w:rsidRPr="00BB3B34">
        <w:rPr>
          <w:i w:val="0"/>
          <w:iCs/>
        </w:rPr>
        <w:t xml:space="preserve">. </w:t>
      </w:r>
    </w:p>
    <w:p w:rsidR="002050A2" w:rsidRPr="00BB3B34" w:rsidRDefault="00436A01" w:rsidP="003F0F10">
      <w:pPr>
        <w:pStyle w:val="Heading2"/>
        <w:spacing w:after="120"/>
        <w:rPr>
          <w:rFonts w:asciiTheme="minorHAnsi" w:hAnsiTheme="minorHAnsi" w:cstheme="minorHAnsi"/>
          <w:sz w:val="28"/>
          <w:szCs w:val="28"/>
        </w:rPr>
      </w:pPr>
      <w:r w:rsidRPr="00BB3B34">
        <w:rPr>
          <w:rFonts w:asciiTheme="minorHAnsi" w:hAnsiTheme="minorHAnsi" w:cstheme="minorHAnsi"/>
          <w:sz w:val="28"/>
          <w:szCs w:val="28"/>
        </w:rPr>
        <w:t>Previous PBAC consideration</w:t>
      </w:r>
    </w:p>
    <w:p w:rsidR="00C91BE6" w:rsidRPr="00BB3B34" w:rsidRDefault="00C91BE6" w:rsidP="003F0F10">
      <w:pPr>
        <w:pStyle w:val="Bodytextitalics"/>
        <w:jc w:val="both"/>
        <w:rPr>
          <w:rFonts w:cstheme="minorHAnsi"/>
          <w:i w:val="0"/>
          <w:iCs/>
          <w:szCs w:val="24"/>
        </w:rPr>
      </w:pPr>
      <w:r w:rsidRPr="00BB3B34">
        <w:rPr>
          <w:rFonts w:cstheme="minorHAnsi"/>
          <w:i w:val="0"/>
          <w:iCs/>
          <w:szCs w:val="24"/>
        </w:rPr>
        <w:t xml:space="preserve">Atezolizumab </w:t>
      </w:r>
      <w:r w:rsidR="00FE2A46" w:rsidRPr="00BB3B34">
        <w:rPr>
          <w:rFonts w:cstheme="minorHAnsi"/>
          <w:i w:val="0"/>
          <w:iCs/>
          <w:szCs w:val="24"/>
        </w:rPr>
        <w:t xml:space="preserve">1200 mg/20 mL injection </w:t>
      </w:r>
      <w:r w:rsidRPr="00BB3B34">
        <w:rPr>
          <w:rFonts w:cstheme="minorHAnsi"/>
          <w:i w:val="0"/>
          <w:iCs/>
          <w:szCs w:val="24"/>
        </w:rPr>
        <w:t xml:space="preserve">is currently listed on the PBS for the treatment of locally advanced or metastatic NSCLC as monotherapy (2L NSCLC) and Stage IV (metastatic) NSCLC in combination treatment with bevacizumab and platinum-doublet chemotherapy (1L NSCLC). </w:t>
      </w:r>
    </w:p>
    <w:p w:rsidR="00C409CF" w:rsidRPr="00BB3B34" w:rsidRDefault="00C409CF" w:rsidP="003126A4">
      <w:pPr>
        <w:pStyle w:val="3Bodytext"/>
        <w:numPr>
          <w:ilvl w:val="1"/>
          <w:numId w:val="1"/>
        </w:numPr>
        <w:jc w:val="both"/>
      </w:pPr>
      <w:r w:rsidRPr="00BB3B34">
        <w:lastRenderedPageBreak/>
        <w:t>At its November 2019 meeting, the PBAC recommended the Section 100 (Efficient Funding of Chemotherapy Program), Authority Required (STREAMLINED) listing of atezolizumab for the treatment of previously untreated patients with ES-SCLC when used as combination therapy with carboplatin and etoposide initially, then as monotherapy for</w:t>
      </w:r>
      <w:r w:rsidR="003126A4" w:rsidRPr="00BB3B34">
        <w:t xml:space="preserve"> continuing treatment</w:t>
      </w:r>
      <w:r w:rsidRPr="00BB3B34">
        <w:t xml:space="preserve">. </w:t>
      </w:r>
      <w:r w:rsidR="00351200" w:rsidRPr="00BB3B34">
        <w:t xml:space="preserve">Atezolizumab was PBS listed for </w:t>
      </w:r>
      <w:proofErr w:type="gramStart"/>
      <w:r w:rsidR="00351200" w:rsidRPr="00BB3B34">
        <w:t>1L</w:t>
      </w:r>
      <w:proofErr w:type="gramEnd"/>
      <w:r w:rsidR="00351200" w:rsidRPr="00BB3B34">
        <w:t xml:space="preserve"> ES-SCLC on 1 March 2020. </w:t>
      </w:r>
    </w:p>
    <w:p w:rsidR="00C409CF" w:rsidRPr="00BB3B34" w:rsidRDefault="002671F7" w:rsidP="003F0F10">
      <w:pPr>
        <w:pStyle w:val="Bodytextitalics"/>
        <w:jc w:val="both"/>
        <w:rPr>
          <w:i w:val="0"/>
          <w:iCs/>
          <w:szCs w:val="24"/>
        </w:rPr>
      </w:pPr>
      <w:r w:rsidRPr="00BB3B34">
        <w:rPr>
          <w:i w:val="0"/>
          <w:iCs/>
          <w:szCs w:val="24"/>
        </w:rPr>
        <w:t xml:space="preserve">At its November 2019 meeting, the PBAC also recommended the Section 100 (Efficient Funding of Chemotherapy), Authority Required (STREAMLINED) listing of atezolizumab </w:t>
      </w:r>
      <w:r w:rsidR="0091058C" w:rsidRPr="00BB3B34">
        <w:rPr>
          <w:i w:val="0"/>
          <w:iCs/>
          <w:szCs w:val="24"/>
        </w:rPr>
        <w:t>840 mg/</w:t>
      </w:r>
      <w:r w:rsidRPr="00BB3B34">
        <w:rPr>
          <w:i w:val="0"/>
          <w:iCs/>
          <w:szCs w:val="24"/>
        </w:rPr>
        <w:t xml:space="preserve">14 mL </w:t>
      </w:r>
      <w:r w:rsidR="0091058C" w:rsidRPr="00BB3B34">
        <w:rPr>
          <w:i w:val="0"/>
          <w:iCs/>
          <w:szCs w:val="24"/>
        </w:rPr>
        <w:t xml:space="preserve">injection </w:t>
      </w:r>
      <w:r w:rsidRPr="00BB3B34">
        <w:rPr>
          <w:i w:val="0"/>
          <w:iCs/>
          <w:szCs w:val="24"/>
        </w:rPr>
        <w:t>and additional 1680 mg Q4W dosing regimen for the existing PBS indications</w:t>
      </w:r>
      <w:r w:rsidR="00B13973" w:rsidRPr="00BB3B34">
        <w:rPr>
          <w:i w:val="0"/>
          <w:iCs/>
          <w:szCs w:val="24"/>
        </w:rPr>
        <w:t xml:space="preserve"> for</w:t>
      </w:r>
      <w:r w:rsidR="00617FC6" w:rsidRPr="00BB3B34">
        <w:rPr>
          <w:i w:val="0"/>
          <w:iCs/>
          <w:szCs w:val="24"/>
        </w:rPr>
        <w:t xml:space="preserve"> </w:t>
      </w:r>
      <w:r w:rsidRPr="00BB3B34">
        <w:rPr>
          <w:i w:val="0"/>
          <w:iCs/>
          <w:szCs w:val="24"/>
        </w:rPr>
        <w:t>2L NSCLC and 1L NSCLC where atezolizumab is administered as monotherapy.</w:t>
      </w:r>
    </w:p>
    <w:p w:rsidR="008647B5" w:rsidRPr="00BB3B34" w:rsidRDefault="00335C7A" w:rsidP="003F0F10">
      <w:pPr>
        <w:pStyle w:val="Bodytextitalics"/>
        <w:jc w:val="both"/>
        <w:rPr>
          <w:i w:val="0"/>
          <w:iCs/>
        </w:rPr>
      </w:pPr>
      <w:r w:rsidRPr="00BB3B34">
        <w:rPr>
          <w:i w:val="0"/>
          <w:iCs/>
        </w:rPr>
        <w:t>Atezolizumab</w:t>
      </w:r>
      <w:r w:rsidR="003F5FFA" w:rsidRPr="00BB3B34">
        <w:rPr>
          <w:i w:val="0"/>
          <w:iCs/>
        </w:rPr>
        <w:t xml:space="preserve"> 840 mg/</w:t>
      </w:r>
      <w:r w:rsidRPr="00BB3B34">
        <w:rPr>
          <w:i w:val="0"/>
          <w:iCs/>
        </w:rPr>
        <w:t xml:space="preserve">14 mL </w:t>
      </w:r>
      <w:r w:rsidR="0048642B" w:rsidRPr="00BB3B34">
        <w:rPr>
          <w:i w:val="0"/>
          <w:iCs/>
        </w:rPr>
        <w:t xml:space="preserve">injection </w:t>
      </w:r>
      <w:r w:rsidR="00D0085C" w:rsidRPr="00BB3B34">
        <w:rPr>
          <w:i w:val="0"/>
          <w:iCs/>
        </w:rPr>
        <w:t xml:space="preserve">and </w:t>
      </w:r>
      <w:r w:rsidRPr="00BB3B34">
        <w:rPr>
          <w:i w:val="0"/>
          <w:iCs/>
        </w:rPr>
        <w:t xml:space="preserve">the </w:t>
      </w:r>
      <w:r w:rsidR="00DC27A1" w:rsidRPr="00BB3B34">
        <w:rPr>
          <w:i w:val="0"/>
          <w:iCs/>
        </w:rPr>
        <w:t xml:space="preserve">1680 mg </w:t>
      </w:r>
      <w:r w:rsidRPr="00BB3B34">
        <w:rPr>
          <w:i w:val="0"/>
          <w:iCs/>
        </w:rPr>
        <w:t xml:space="preserve">Q4W dosing regimen </w:t>
      </w:r>
      <w:r w:rsidR="00285A4B" w:rsidRPr="00BB3B34">
        <w:rPr>
          <w:i w:val="0"/>
          <w:iCs/>
        </w:rPr>
        <w:t xml:space="preserve">for </w:t>
      </w:r>
      <w:proofErr w:type="gramStart"/>
      <w:r w:rsidR="006D625A" w:rsidRPr="00BB3B34">
        <w:rPr>
          <w:i w:val="0"/>
          <w:iCs/>
        </w:rPr>
        <w:t>1L</w:t>
      </w:r>
      <w:proofErr w:type="gramEnd"/>
      <w:r w:rsidR="006D625A" w:rsidRPr="00BB3B34">
        <w:rPr>
          <w:i w:val="0"/>
          <w:iCs/>
        </w:rPr>
        <w:t xml:space="preserve"> </w:t>
      </w:r>
      <w:r w:rsidR="00285A4B" w:rsidRPr="00BB3B34">
        <w:rPr>
          <w:i w:val="0"/>
          <w:iCs/>
        </w:rPr>
        <w:t xml:space="preserve">ES-SCLC </w:t>
      </w:r>
      <w:r w:rsidR="008647B5" w:rsidRPr="00BB3B34">
        <w:rPr>
          <w:i w:val="0"/>
          <w:iCs/>
        </w:rPr>
        <w:t xml:space="preserve">has not been </w:t>
      </w:r>
      <w:r w:rsidR="00506A06" w:rsidRPr="00BB3B34">
        <w:rPr>
          <w:i w:val="0"/>
          <w:iCs/>
        </w:rPr>
        <w:t xml:space="preserve">previously </w:t>
      </w:r>
      <w:r w:rsidR="008647B5" w:rsidRPr="00BB3B34">
        <w:rPr>
          <w:i w:val="0"/>
          <w:iCs/>
        </w:rPr>
        <w:t>considered by the PBAC</w:t>
      </w:r>
      <w:r w:rsidR="00A31B13" w:rsidRPr="00BB3B34">
        <w:rPr>
          <w:i w:val="0"/>
          <w:iCs/>
        </w:rPr>
        <w:t>.</w:t>
      </w:r>
    </w:p>
    <w:p w:rsidR="00CC5E0C" w:rsidRPr="00BB3B34" w:rsidRDefault="00CC5E0C" w:rsidP="00CC5E0C">
      <w:pPr>
        <w:pStyle w:val="Bodytextitalics"/>
        <w:numPr>
          <w:ilvl w:val="0"/>
          <w:numId w:val="0"/>
        </w:numPr>
        <w:ind w:left="720"/>
        <w:jc w:val="both"/>
      </w:pPr>
      <w:r w:rsidRPr="00BB3B34">
        <w:t>For more detail</w:t>
      </w:r>
      <w:r w:rsidR="00AA295F" w:rsidRPr="00BB3B34">
        <w:t xml:space="preserve"> on PBAC’s view, see section 6</w:t>
      </w:r>
      <w:r w:rsidRPr="00BB3B34">
        <w:t xml:space="preserve"> PBAC outcome.</w:t>
      </w:r>
    </w:p>
    <w:p w:rsidR="00F7509B" w:rsidRPr="00BB3B34" w:rsidRDefault="005A3173" w:rsidP="00F7509B">
      <w:pPr>
        <w:pStyle w:val="2Sections"/>
        <w:rPr>
          <w:color w:val="FF0000"/>
        </w:rPr>
      </w:pPr>
      <w:r w:rsidRPr="00BB3B34">
        <w:t>Comparator</w:t>
      </w:r>
      <w:r w:rsidR="0099465B" w:rsidRPr="00BB3B34">
        <w:t xml:space="preserve"> </w:t>
      </w:r>
    </w:p>
    <w:p w:rsidR="00EF67D8" w:rsidRPr="00BB3B34" w:rsidRDefault="00432C3A" w:rsidP="0096403F">
      <w:pPr>
        <w:pStyle w:val="Bodytextitalics"/>
        <w:keepNext/>
        <w:keepLines/>
        <w:widowControl w:val="0"/>
        <w:jc w:val="both"/>
        <w:rPr>
          <w:i w:val="0"/>
          <w:iCs/>
          <w:szCs w:val="24"/>
        </w:rPr>
      </w:pPr>
      <w:r w:rsidRPr="00BB3B34">
        <w:rPr>
          <w:i w:val="0"/>
          <w:iCs/>
          <w:szCs w:val="24"/>
        </w:rPr>
        <w:t xml:space="preserve">The proposed comparator, </w:t>
      </w:r>
      <w:r w:rsidR="00DE2881" w:rsidRPr="00BB3B34">
        <w:rPr>
          <w:i w:val="0"/>
          <w:iCs/>
          <w:szCs w:val="24"/>
        </w:rPr>
        <w:t>atezolizumab 1200 mg Q3W</w:t>
      </w:r>
      <w:r w:rsidRPr="00BB3B34">
        <w:rPr>
          <w:i w:val="0"/>
          <w:iCs/>
          <w:szCs w:val="24"/>
        </w:rPr>
        <w:t>, was previously considered</w:t>
      </w:r>
      <w:r w:rsidR="00B13973" w:rsidRPr="00BB3B34">
        <w:rPr>
          <w:i w:val="0"/>
          <w:iCs/>
          <w:szCs w:val="24"/>
        </w:rPr>
        <w:t xml:space="preserve"> by PBAC to be </w:t>
      </w:r>
      <w:r w:rsidR="000D14BF" w:rsidRPr="00BB3B34">
        <w:rPr>
          <w:i w:val="0"/>
          <w:iCs/>
          <w:szCs w:val="24"/>
        </w:rPr>
        <w:t xml:space="preserve">the </w:t>
      </w:r>
      <w:r w:rsidRPr="00BB3B34">
        <w:rPr>
          <w:i w:val="0"/>
          <w:iCs/>
          <w:szCs w:val="24"/>
        </w:rPr>
        <w:t>appropriate main comparator</w:t>
      </w:r>
      <w:r w:rsidR="00B13973" w:rsidRPr="00BB3B34">
        <w:rPr>
          <w:i w:val="0"/>
          <w:iCs/>
          <w:szCs w:val="24"/>
        </w:rPr>
        <w:t xml:space="preserve"> in its November 2019 consideration of</w:t>
      </w:r>
      <w:r w:rsidRPr="00BB3B34">
        <w:rPr>
          <w:i w:val="0"/>
          <w:iCs/>
          <w:szCs w:val="24"/>
        </w:rPr>
        <w:t xml:space="preserve"> atezolizumab 1680 mg Q4W </w:t>
      </w:r>
      <w:r w:rsidR="00955427" w:rsidRPr="00BB3B34">
        <w:rPr>
          <w:i w:val="0"/>
          <w:iCs/>
          <w:szCs w:val="24"/>
        </w:rPr>
        <w:t>for 2L and 1L NSCLC</w:t>
      </w:r>
      <w:r w:rsidR="004E1266" w:rsidRPr="00BB3B34">
        <w:rPr>
          <w:i w:val="0"/>
          <w:iCs/>
          <w:szCs w:val="24"/>
        </w:rPr>
        <w:t xml:space="preserve"> indications</w:t>
      </w:r>
      <w:r w:rsidRPr="00BB3B34">
        <w:rPr>
          <w:i w:val="0"/>
          <w:iCs/>
          <w:szCs w:val="24"/>
        </w:rPr>
        <w:t xml:space="preserve"> (paragraph 6.3, atezolizumab</w:t>
      </w:r>
      <w:r w:rsidR="0096403F" w:rsidRPr="00BB3B34">
        <w:rPr>
          <w:i w:val="0"/>
          <w:iCs/>
          <w:szCs w:val="24"/>
        </w:rPr>
        <w:t xml:space="preserve"> Public Summary Document (PSD)</w:t>
      </w:r>
      <w:r w:rsidRPr="00BB3B34">
        <w:rPr>
          <w:i w:val="0"/>
          <w:iCs/>
          <w:szCs w:val="24"/>
        </w:rPr>
        <w:t xml:space="preserve">, </w:t>
      </w:r>
      <w:r w:rsidR="004E1266" w:rsidRPr="00BB3B34">
        <w:rPr>
          <w:i w:val="0"/>
          <w:iCs/>
          <w:szCs w:val="24"/>
        </w:rPr>
        <w:t>November</w:t>
      </w:r>
      <w:r w:rsidR="0096403F" w:rsidRPr="00BB3B34">
        <w:rPr>
          <w:i w:val="0"/>
          <w:iCs/>
          <w:szCs w:val="24"/>
        </w:rPr>
        <w:t xml:space="preserve"> </w:t>
      </w:r>
      <w:r w:rsidRPr="00BB3B34">
        <w:rPr>
          <w:i w:val="0"/>
          <w:iCs/>
          <w:szCs w:val="24"/>
        </w:rPr>
        <w:t>2019)</w:t>
      </w:r>
      <w:r w:rsidR="00055B00" w:rsidRPr="00BB3B34">
        <w:rPr>
          <w:i w:val="0"/>
          <w:iCs/>
          <w:szCs w:val="24"/>
        </w:rPr>
        <w:t>.</w:t>
      </w:r>
    </w:p>
    <w:p w:rsidR="00CC5E0C" w:rsidRPr="00BB3B34" w:rsidRDefault="00CC5E0C" w:rsidP="00CC5E0C">
      <w:pPr>
        <w:pStyle w:val="Bodytextitalics"/>
        <w:numPr>
          <w:ilvl w:val="0"/>
          <w:numId w:val="0"/>
        </w:numPr>
        <w:ind w:left="720"/>
        <w:jc w:val="both"/>
      </w:pPr>
      <w:r w:rsidRPr="00BB3B34">
        <w:t>For more detail</w:t>
      </w:r>
      <w:r w:rsidR="00AA295F" w:rsidRPr="00BB3B34">
        <w:t xml:space="preserve"> on PBAC’s view, see section 6</w:t>
      </w:r>
      <w:r w:rsidRPr="00BB3B34">
        <w:t xml:space="preserve"> PBAC outcome.</w:t>
      </w:r>
    </w:p>
    <w:p w:rsidR="000B558D" w:rsidRPr="00BB3B34" w:rsidRDefault="008D7A41" w:rsidP="00367223">
      <w:pPr>
        <w:pStyle w:val="2Sections"/>
      </w:pPr>
      <w:r w:rsidRPr="00BB3B34">
        <w:t>C</w:t>
      </w:r>
      <w:r w:rsidR="00D84934" w:rsidRPr="00BB3B34">
        <w:t>onsideration of the evidence</w:t>
      </w:r>
    </w:p>
    <w:p w:rsidR="00D26354" w:rsidRPr="00BB3B34" w:rsidRDefault="00D26354" w:rsidP="00D26354">
      <w:pPr>
        <w:pStyle w:val="Heading2"/>
        <w:keepLines/>
        <w:spacing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Sponsor hearing</w:t>
      </w:r>
    </w:p>
    <w:p w:rsidR="00D26354" w:rsidRPr="00BB3B34" w:rsidRDefault="00D26354" w:rsidP="00D26354">
      <w:pPr>
        <w:pStyle w:val="Bodytextitalics"/>
        <w:jc w:val="both"/>
        <w:rPr>
          <w:i w:val="0"/>
        </w:rPr>
      </w:pPr>
      <w:r w:rsidRPr="00BB3B34">
        <w:rPr>
          <w:i w:val="0"/>
        </w:rPr>
        <w:t>There was no hearing for this item as it was a minor submission.</w:t>
      </w:r>
    </w:p>
    <w:p w:rsidR="00D26354" w:rsidRPr="00BB3B34" w:rsidRDefault="00D26354" w:rsidP="00D26354">
      <w:pPr>
        <w:pStyle w:val="Heading2"/>
        <w:keepLines/>
        <w:spacing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Consumer comments</w:t>
      </w:r>
    </w:p>
    <w:p w:rsidR="00B70BCF" w:rsidRPr="00BB3B34" w:rsidRDefault="00107DD9" w:rsidP="00B70BCF">
      <w:pPr>
        <w:pStyle w:val="Bodytextitalics"/>
        <w:jc w:val="both"/>
        <w:rPr>
          <w:rFonts w:eastAsiaTheme="majorEastAsia" w:cstheme="majorBidi"/>
          <w:sz w:val="28"/>
          <w:szCs w:val="28"/>
          <w:lang w:eastAsia="en-US"/>
        </w:rPr>
      </w:pPr>
      <w:r w:rsidRPr="00BB3B34">
        <w:rPr>
          <w:i w:val="0"/>
          <w:szCs w:val="24"/>
        </w:rPr>
        <w:t>The</w:t>
      </w:r>
      <w:r w:rsidRPr="00BB3B34">
        <w:rPr>
          <w:i w:val="0"/>
        </w:rPr>
        <w:t xml:space="preserve"> PBAC noted and welcomed the input from organisations (1) via the Consumer Comments facility on the PBS website. </w:t>
      </w:r>
      <w:r w:rsidR="00F102CB" w:rsidRPr="00BB3B34">
        <w:rPr>
          <w:i w:val="0"/>
        </w:rPr>
        <w:t xml:space="preserve">Lung Foundation Australia </w:t>
      </w:r>
      <w:r w:rsidR="004E1266" w:rsidRPr="00BB3B34">
        <w:rPr>
          <w:i w:val="0"/>
        </w:rPr>
        <w:t xml:space="preserve">indicated its support for </w:t>
      </w:r>
      <w:r w:rsidR="00FA710F" w:rsidRPr="00BB3B34">
        <w:rPr>
          <w:i w:val="0"/>
        </w:rPr>
        <w:t xml:space="preserve">the addition of </w:t>
      </w:r>
      <w:r w:rsidR="004E1266" w:rsidRPr="00BB3B34">
        <w:rPr>
          <w:i w:val="0"/>
        </w:rPr>
        <w:t>a</w:t>
      </w:r>
      <w:r w:rsidR="00A952A1" w:rsidRPr="00BB3B34">
        <w:rPr>
          <w:i w:val="0"/>
        </w:rPr>
        <w:t xml:space="preserve"> </w:t>
      </w:r>
      <w:r w:rsidR="00FA710F" w:rsidRPr="00BB3B34">
        <w:rPr>
          <w:i w:val="0"/>
        </w:rPr>
        <w:t xml:space="preserve">1680 mg Q4W </w:t>
      </w:r>
      <w:r w:rsidR="004E1266" w:rsidRPr="00BB3B34">
        <w:rPr>
          <w:i w:val="0"/>
        </w:rPr>
        <w:t xml:space="preserve">flat </w:t>
      </w:r>
      <w:r w:rsidR="00FA710F" w:rsidRPr="00BB3B34">
        <w:rPr>
          <w:i w:val="0"/>
        </w:rPr>
        <w:t xml:space="preserve">dosing regimen </w:t>
      </w:r>
      <w:r w:rsidR="00A952A1" w:rsidRPr="00BB3B34">
        <w:rPr>
          <w:i w:val="0"/>
        </w:rPr>
        <w:t xml:space="preserve">as </w:t>
      </w:r>
      <w:r w:rsidR="00DE6F5F" w:rsidRPr="00BB3B34">
        <w:rPr>
          <w:i w:val="0"/>
        </w:rPr>
        <w:t xml:space="preserve">the less frequent dosing option would provide greater flexibility and </w:t>
      </w:r>
      <w:r w:rsidR="00811042" w:rsidRPr="00BB3B34">
        <w:rPr>
          <w:i w:val="0"/>
        </w:rPr>
        <w:t>reduce</w:t>
      </w:r>
      <w:r w:rsidR="00B70BCF" w:rsidRPr="00BB3B34">
        <w:rPr>
          <w:i w:val="0"/>
        </w:rPr>
        <w:t xml:space="preserve"> </w:t>
      </w:r>
      <w:r w:rsidR="00811042" w:rsidRPr="00BB3B34">
        <w:rPr>
          <w:i w:val="0"/>
        </w:rPr>
        <w:t xml:space="preserve">any </w:t>
      </w:r>
      <w:r w:rsidR="00FA710F" w:rsidRPr="00BB3B34">
        <w:rPr>
          <w:i w:val="0"/>
        </w:rPr>
        <w:t>burden on patients</w:t>
      </w:r>
      <w:r w:rsidR="009F51FD" w:rsidRPr="00BB3B34">
        <w:rPr>
          <w:i w:val="0"/>
        </w:rPr>
        <w:t xml:space="preserve"> associated with treatment</w:t>
      </w:r>
      <w:r w:rsidR="00DD4999" w:rsidRPr="00BB3B34">
        <w:rPr>
          <w:i w:val="0"/>
        </w:rPr>
        <w:t>.</w:t>
      </w:r>
      <w:r w:rsidR="00B70BCF" w:rsidRPr="00BB3B34">
        <w:rPr>
          <w:rFonts w:eastAsiaTheme="majorEastAsia" w:cstheme="majorBidi"/>
          <w:sz w:val="28"/>
          <w:szCs w:val="28"/>
          <w:lang w:eastAsia="en-US"/>
        </w:rPr>
        <w:t xml:space="preserve"> </w:t>
      </w:r>
    </w:p>
    <w:p w:rsidR="00D84934" w:rsidRPr="00BB3B34" w:rsidRDefault="00D84934" w:rsidP="00B70BCF">
      <w:pPr>
        <w:pStyle w:val="Heading2"/>
        <w:keepLines/>
        <w:spacing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Clinical trials</w:t>
      </w:r>
    </w:p>
    <w:p w:rsidR="00255601" w:rsidRPr="00BB3B34" w:rsidRDefault="00255601" w:rsidP="003F0F10">
      <w:pPr>
        <w:pStyle w:val="Bodytextitalics"/>
        <w:jc w:val="both"/>
        <w:rPr>
          <w:i w:val="0"/>
        </w:rPr>
      </w:pPr>
      <w:r w:rsidRPr="00BB3B34">
        <w:rPr>
          <w:i w:val="0"/>
        </w:rPr>
        <w:t>The minor submis</w:t>
      </w:r>
      <w:r w:rsidR="0094012F" w:rsidRPr="00BB3B34">
        <w:rPr>
          <w:i w:val="0"/>
        </w:rPr>
        <w:t xml:space="preserve">sion </w:t>
      </w:r>
      <w:r w:rsidR="00CB30D3" w:rsidRPr="00BB3B34">
        <w:rPr>
          <w:i w:val="0"/>
        </w:rPr>
        <w:t xml:space="preserve">presented </w:t>
      </w:r>
      <w:r w:rsidR="00266E06" w:rsidRPr="00BB3B34">
        <w:rPr>
          <w:i w:val="0"/>
        </w:rPr>
        <w:t>pharmacokinetics</w:t>
      </w:r>
      <w:r w:rsidR="005C0712" w:rsidRPr="00BB3B34">
        <w:rPr>
          <w:i w:val="0"/>
        </w:rPr>
        <w:t xml:space="preserve"> (PK)</w:t>
      </w:r>
      <w:r w:rsidR="00C61BCE" w:rsidRPr="00BB3B34">
        <w:rPr>
          <w:i w:val="0"/>
        </w:rPr>
        <w:t xml:space="preserve"> modelling</w:t>
      </w:r>
      <w:r w:rsidR="00266E06" w:rsidRPr="00BB3B34">
        <w:rPr>
          <w:i w:val="0"/>
        </w:rPr>
        <w:t xml:space="preserve"> </w:t>
      </w:r>
      <w:r w:rsidR="000C6065" w:rsidRPr="00BB3B34">
        <w:rPr>
          <w:i w:val="0"/>
        </w:rPr>
        <w:t xml:space="preserve">of atezolizumab dosing regimens </w:t>
      </w:r>
      <w:r w:rsidR="00266E06" w:rsidRPr="00BB3B34">
        <w:rPr>
          <w:i w:val="0"/>
        </w:rPr>
        <w:t xml:space="preserve">and </w:t>
      </w:r>
      <w:r w:rsidR="005F0A8B" w:rsidRPr="00BB3B34">
        <w:rPr>
          <w:i w:val="0"/>
        </w:rPr>
        <w:t xml:space="preserve">an </w:t>
      </w:r>
      <w:r w:rsidR="00266E06" w:rsidRPr="00BB3B34">
        <w:rPr>
          <w:i w:val="0"/>
        </w:rPr>
        <w:t>exposure-response</w:t>
      </w:r>
      <w:r w:rsidR="005C0712" w:rsidRPr="00BB3B34">
        <w:rPr>
          <w:i w:val="0"/>
        </w:rPr>
        <w:t xml:space="preserve"> (E-R)</w:t>
      </w:r>
      <w:r w:rsidR="0072388D" w:rsidRPr="00BB3B34">
        <w:rPr>
          <w:i w:val="0"/>
        </w:rPr>
        <w:t xml:space="preserve"> </w:t>
      </w:r>
      <w:r w:rsidR="005F0A8B" w:rsidRPr="00BB3B34">
        <w:rPr>
          <w:i w:val="0"/>
        </w:rPr>
        <w:t xml:space="preserve">analysis, based </w:t>
      </w:r>
      <w:proofErr w:type="gramStart"/>
      <w:r w:rsidR="005F0A8B" w:rsidRPr="00BB3B34">
        <w:rPr>
          <w:i w:val="0"/>
        </w:rPr>
        <w:t xml:space="preserve">on </w:t>
      </w:r>
      <w:r w:rsidR="00106ED8" w:rsidRPr="00BB3B34">
        <w:rPr>
          <w:i w:val="0"/>
        </w:rPr>
        <w:t xml:space="preserve">pooled </w:t>
      </w:r>
      <w:r w:rsidR="005F0A8B" w:rsidRPr="00BB3B34">
        <w:rPr>
          <w:i w:val="0"/>
        </w:rPr>
        <w:t>data from 3 clinical studies in patients with</w:t>
      </w:r>
      <w:r w:rsidR="005C0712" w:rsidRPr="00BB3B34">
        <w:rPr>
          <w:i w:val="0"/>
        </w:rPr>
        <w:t xml:space="preserve"> mUC and NSCLC</w:t>
      </w:r>
      <w:proofErr w:type="gramEnd"/>
      <w:r w:rsidR="005F0A8B" w:rsidRPr="00BB3B34">
        <w:rPr>
          <w:i w:val="0"/>
        </w:rPr>
        <w:t xml:space="preserve">. </w:t>
      </w:r>
      <w:r w:rsidR="00106ED8" w:rsidRPr="00BB3B34">
        <w:rPr>
          <w:i w:val="0"/>
          <w:iCs/>
        </w:rPr>
        <w:t xml:space="preserve">The Secretariat noted that the same PK modelling and E-R analysis </w:t>
      </w:r>
      <w:proofErr w:type="gramStart"/>
      <w:r w:rsidR="00106ED8" w:rsidRPr="00BB3B34">
        <w:rPr>
          <w:i w:val="0"/>
          <w:iCs/>
        </w:rPr>
        <w:t>were considered</w:t>
      </w:r>
      <w:proofErr w:type="gramEnd"/>
      <w:r w:rsidR="00106ED8" w:rsidRPr="00BB3B34">
        <w:rPr>
          <w:i w:val="0"/>
          <w:iCs/>
        </w:rPr>
        <w:t xml:space="preserve"> for </w:t>
      </w:r>
      <w:r w:rsidR="00217784" w:rsidRPr="00BB3B34">
        <w:rPr>
          <w:i w:val="0"/>
          <w:iCs/>
        </w:rPr>
        <w:t xml:space="preserve">the </w:t>
      </w:r>
      <w:r w:rsidR="00436A01" w:rsidRPr="00BB3B34">
        <w:rPr>
          <w:i w:val="0"/>
          <w:iCs/>
        </w:rPr>
        <w:t>168</w:t>
      </w:r>
      <w:r w:rsidR="00106ED8" w:rsidRPr="00BB3B34">
        <w:rPr>
          <w:i w:val="0"/>
          <w:iCs/>
        </w:rPr>
        <w:t xml:space="preserve">0 mg Q4W dosing regimen </w:t>
      </w:r>
      <w:r w:rsidR="001109E5" w:rsidRPr="00BB3B34">
        <w:rPr>
          <w:i w:val="0"/>
          <w:iCs/>
        </w:rPr>
        <w:t>for</w:t>
      </w:r>
      <w:r w:rsidR="00106ED8" w:rsidRPr="00BB3B34">
        <w:rPr>
          <w:i w:val="0"/>
          <w:iCs/>
        </w:rPr>
        <w:t xml:space="preserve"> NSCLC by the PBAC in November 2019. </w:t>
      </w:r>
      <w:r w:rsidR="00106ED8" w:rsidRPr="00BB3B34">
        <w:rPr>
          <w:i w:val="0"/>
        </w:rPr>
        <w:t xml:space="preserve">No new evidence for </w:t>
      </w:r>
      <w:proofErr w:type="gramStart"/>
      <w:r w:rsidR="00436A01" w:rsidRPr="00BB3B34">
        <w:rPr>
          <w:i w:val="0"/>
        </w:rPr>
        <w:t>1L</w:t>
      </w:r>
      <w:proofErr w:type="gramEnd"/>
      <w:r w:rsidR="00436A01" w:rsidRPr="00BB3B34">
        <w:rPr>
          <w:i w:val="0"/>
        </w:rPr>
        <w:t xml:space="preserve"> </w:t>
      </w:r>
      <w:r w:rsidR="00106ED8" w:rsidRPr="00BB3B34">
        <w:rPr>
          <w:i w:val="0"/>
        </w:rPr>
        <w:t xml:space="preserve">ES-SCLC was </w:t>
      </w:r>
      <w:r w:rsidR="00217784" w:rsidRPr="00BB3B34">
        <w:rPr>
          <w:i w:val="0"/>
        </w:rPr>
        <w:t>included</w:t>
      </w:r>
      <w:r w:rsidR="00106ED8" w:rsidRPr="00BB3B34">
        <w:rPr>
          <w:i w:val="0"/>
        </w:rPr>
        <w:t xml:space="preserve"> in </w:t>
      </w:r>
      <w:r w:rsidR="00415996" w:rsidRPr="00BB3B34">
        <w:rPr>
          <w:i w:val="0"/>
        </w:rPr>
        <w:t xml:space="preserve">this </w:t>
      </w:r>
      <w:r w:rsidR="00106ED8" w:rsidRPr="00BB3B34">
        <w:rPr>
          <w:i w:val="0"/>
        </w:rPr>
        <w:t>submission.</w:t>
      </w:r>
    </w:p>
    <w:p w:rsidR="00DA54B5" w:rsidRPr="00BB3B34" w:rsidRDefault="00DA54B5" w:rsidP="003F0F10">
      <w:pPr>
        <w:pStyle w:val="Bodytextitalics"/>
        <w:jc w:val="both"/>
        <w:rPr>
          <w:i w:val="0"/>
          <w:szCs w:val="24"/>
        </w:rPr>
      </w:pPr>
      <w:r w:rsidRPr="00BB3B34">
        <w:rPr>
          <w:i w:val="0"/>
          <w:szCs w:val="24"/>
        </w:rPr>
        <w:lastRenderedPageBreak/>
        <w:t xml:space="preserve">In the November 2019 submission for NSCLC, </w:t>
      </w:r>
      <w:r w:rsidR="001540C6" w:rsidRPr="00BB3B34">
        <w:rPr>
          <w:i w:val="0"/>
          <w:szCs w:val="24"/>
        </w:rPr>
        <w:t>the results of the PK simulations and E</w:t>
      </w:r>
      <w:r w:rsidR="001109E5" w:rsidRPr="00BB3B34">
        <w:rPr>
          <w:i w:val="0"/>
          <w:szCs w:val="24"/>
        </w:rPr>
        <w:noBreakHyphen/>
      </w:r>
      <w:r w:rsidR="001540C6" w:rsidRPr="00BB3B34">
        <w:rPr>
          <w:i w:val="0"/>
          <w:szCs w:val="24"/>
        </w:rPr>
        <w:t>R analys</w:t>
      </w:r>
      <w:r w:rsidR="00F23D4B" w:rsidRPr="00BB3B34">
        <w:rPr>
          <w:i w:val="0"/>
          <w:szCs w:val="24"/>
        </w:rPr>
        <w:t>is</w:t>
      </w:r>
      <w:r w:rsidR="001540C6" w:rsidRPr="00BB3B34">
        <w:rPr>
          <w:i w:val="0"/>
          <w:szCs w:val="24"/>
        </w:rPr>
        <w:t xml:space="preserve"> showed that no clinically meaningful E-R relationships </w:t>
      </w:r>
      <w:r w:rsidR="00CB762F" w:rsidRPr="00BB3B34">
        <w:rPr>
          <w:i w:val="0"/>
          <w:szCs w:val="24"/>
        </w:rPr>
        <w:t xml:space="preserve">for </w:t>
      </w:r>
      <w:r w:rsidR="001540C6" w:rsidRPr="00BB3B34">
        <w:rPr>
          <w:i w:val="0"/>
          <w:szCs w:val="24"/>
        </w:rPr>
        <w:t xml:space="preserve">efficacy and safety </w:t>
      </w:r>
      <w:proofErr w:type="gramStart"/>
      <w:r w:rsidR="00122808" w:rsidRPr="00BB3B34">
        <w:rPr>
          <w:i w:val="0"/>
          <w:szCs w:val="24"/>
        </w:rPr>
        <w:t xml:space="preserve">were </w:t>
      </w:r>
      <w:r w:rsidR="001540C6" w:rsidRPr="00BB3B34">
        <w:rPr>
          <w:i w:val="0"/>
          <w:szCs w:val="24"/>
        </w:rPr>
        <w:t>identified</w:t>
      </w:r>
      <w:proofErr w:type="gramEnd"/>
      <w:r w:rsidR="001540C6" w:rsidRPr="00BB3B34">
        <w:rPr>
          <w:i w:val="0"/>
          <w:szCs w:val="24"/>
        </w:rPr>
        <w:t xml:space="preserve"> for atezolizumab monotherapy in mUC or NSCLC patients</w:t>
      </w:r>
      <w:r w:rsidR="00122808" w:rsidRPr="00BB3B34">
        <w:rPr>
          <w:i w:val="0"/>
          <w:szCs w:val="24"/>
        </w:rPr>
        <w:t xml:space="preserve">, and the additional 1680 mg Q4W dosing regimen was expected to achieve comparable overall exposure to that of the 1200 mg Q3W regimen. </w:t>
      </w:r>
    </w:p>
    <w:p w:rsidR="00813387" w:rsidRPr="00BB3B34" w:rsidRDefault="00CC425B" w:rsidP="00813387">
      <w:pPr>
        <w:pStyle w:val="Bodytextitalics"/>
        <w:numPr>
          <w:ilvl w:val="1"/>
          <w:numId w:val="1"/>
        </w:numPr>
        <w:jc w:val="both"/>
        <w:rPr>
          <w:i w:val="0"/>
          <w:iCs/>
        </w:rPr>
      </w:pPr>
      <w:r w:rsidRPr="00BB3B34">
        <w:rPr>
          <w:i w:val="0"/>
          <w:iCs/>
        </w:rPr>
        <w:t xml:space="preserve">The PBAC </w:t>
      </w:r>
      <w:r w:rsidR="00415996" w:rsidRPr="00BB3B34">
        <w:rPr>
          <w:i w:val="0"/>
          <w:iCs/>
        </w:rPr>
        <w:t xml:space="preserve">previously </w:t>
      </w:r>
      <w:r w:rsidRPr="00BB3B34">
        <w:rPr>
          <w:i w:val="0"/>
          <w:iCs/>
        </w:rPr>
        <w:t xml:space="preserve">considered that based on the evidence presented, </w:t>
      </w:r>
      <w:r w:rsidR="006F1C89" w:rsidRPr="00BB3B34">
        <w:rPr>
          <w:i w:val="0"/>
          <w:iCs/>
        </w:rPr>
        <w:t>the 1680 mg Q4W dosing regimen was</w:t>
      </w:r>
      <w:r w:rsidRPr="00BB3B34">
        <w:rPr>
          <w:i w:val="0"/>
          <w:iCs/>
        </w:rPr>
        <w:t xml:space="preserve"> likely comparable to the 1200 mg Q3W dosing regimen</w:t>
      </w:r>
      <w:r w:rsidR="00472B5F" w:rsidRPr="00BB3B34">
        <w:rPr>
          <w:i w:val="0"/>
          <w:iCs/>
        </w:rPr>
        <w:t xml:space="preserve"> when used as monotherapy for NSCLC, </w:t>
      </w:r>
      <w:r w:rsidR="00335D4F" w:rsidRPr="00BB3B34">
        <w:rPr>
          <w:i w:val="0"/>
          <w:iCs/>
        </w:rPr>
        <w:t xml:space="preserve">in the absence of new </w:t>
      </w:r>
      <w:r w:rsidRPr="00BB3B34">
        <w:rPr>
          <w:i w:val="0"/>
          <w:iCs/>
        </w:rPr>
        <w:t>clinical data to support the claim of non-inferiority in terms of efficacy and s</w:t>
      </w:r>
      <w:r w:rsidR="0067310D" w:rsidRPr="00BB3B34">
        <w:rPr>
          <w:i w:val="0"/>
          <w:iCs/>
        </w:rPr>
        <w:t>afety (paragraph 6.2, atezolizu</w:t>
      </w:r>
      <w:r w:rsidRPr="00BB3B34">
        <w:rPr>
          <w:i w:val="0"/>
          <w:iCs/>
        </w:rPr>
        <w:t>m</w:t>
      </w:r>
      <w:r w:rsidR="0067310D" w:rsidRPr="00BB3B34">
        <w:rPr>
          <w:i w:val="0"/>
          <w:iCs/>
        </w:rPr>
        <w:t>a</w:t>
      </w:r>
      <w:r w:rsidRPr="00BB3B34">
        <w:rPr>
          <w:i w:val="0"/>
          <w:iCs/>
        </w:rPr>
        <w:t>b</w:t>
      </w:r>
      <w:r w:rsidR="0096403F" w:rsidRPr="00BB3B34">
        <w:rPr>
          <w:i w:val="0"/>
          <w:iCs/>
        </w:rPr>
        <w:t xml:space="preserve"> PSD</w:t>
      </w:r>
      <w:r w:rsidRPr="00BB3B34">
        <w:rPr>
          <w:i w:val="0"/>
          <w:iCs/>
        </w:rPr>
        <w:t xml:space="preserve">, </w:t>
      </w:r>
      <w:r w:rsidR="00007B1C" w:rsidRPr="00BB3B34">
        <w:rPr>
          <w:i w:val="0"/>
          <w:iCs/>
        </w:rPr>
        <w:t>November</w:t>
      </w:r>
      <w:r w:rsidRPr="00BB3B34">
        <w:rPr>
          <w:i w:val="0"/>
          <w:iCs/>
        </w:rPr>
        <w:t xml:space="preserve"> 2019)</w:t>
      </w:r>
      <w:r w:rsidR="00813387" w:rsidRPr="00BB3B34">
        <w:rPr>
          <w:i w:val="0"/>
          <w:iCs/>
        </w:rPr>
        <w:t>.</w:t>
      </w:r>
    </w:p>
    <w:p w:rsidR="00DC4E6B" w:rsidRPr="00BB3B34" w:rsidRDefault="00CB356A" w:rsidP="00813387">
      <w:pPr>
        <w:pStyle w:val="Bodytextitalics"/>
        <w:numPr>
          <w:ilvl w:val="1"/>
          <w:numId w:val="1"/>
        </w:numPr>
        <w:jc w:val="both"/>
        <w:rPr>
          <w:i w:val="0"/>
          <w:iCs/>
        </w:rPr>
      </w:pPr>
      <w:r w:rsidRPr="00BB3B34">
        <w:rPr>
          <w:i w:val="0"/>
          <w:iCs/>
        </w:rPr>
        <w:t>A</w:t>
      </w:r>
      <w:r w:rsidR="007C2443" w:rsidRPr="00BB3B34">
        <w:rPr>
          <w:i w:val="0"/>
          <w:iCs/>
        </w:rPr>
        <w:t>s</w:t>
      </w:r>
      <w:r w:rsidRPr="00BB3B34">
        <w:rPr>
          <w:i w:val="0"/>
          <w:iCs/>
        </w:rPr>
        <w:t xml:space="preserve"> a minor submission, the </w:t>
      </w:r>
      <w:r w:rsidR="00283204" w:rsidRPr="00BB3B34">
        <w:rPr>
          <w:i w:val="0"/>
          <w:iCs/>
        </w:rPr>
        <w:t xml:space="preserve">analyses </w:t>
      </w:r>
      <w:r w:rsidR="001109E5" w:rsidRPr="00BB3B34">
        <w:rPr>
          <w:i w:val="0"/>
          <w:iCs/>
        </w:rPr>
        <w:t xml:space="preserve">were </w:t>
      </w:r>
      <w:proofErr w:type="gramStart"/>
      <w:r w:rsidR="007C2443" w:rsidRPr="00BB3B34">
        <w:rPr>
          <w:i w:val="0"/>
          <w:iCs/>
        </w:rPr>
        <w:t xml:space="preserve">not </w:t>
      </w:r>
      <w:r w:rsidRPr="00BB3B34">
        <w:rPr>
          <w:i w:val="0"/>
          <w:iCs/>
        </w:rPr>
        <w:t>independently</w:t>
      </w:r>
      <w:proofErr w:type="gramEnd"/>
      <w:r w:rsidRPr="00BB3B34">
        <w:rPr>
          <w:i w:val="0"/>
          <w:iCs/>
        </w:rPr>
        <w:t xml:space="preserve"> evaluated. </w:t>
      </w:r>
    </w:p>
    <w:p w:rsidR="003C2FB5" w:rsidRPr="00BB3B34" w:rsidRDefault="005A3173" w:rsidP="003F0F10">
      <w:pPr>
        <w:pStyle w:val="Heading2"/>
        <w:keepLines/>
        <w:spacing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Clinical claim</w:t>
      </w:r>
    </w:p>
    <w:p w:rsidR="00F57A6D" w:rsidRPr="00BB3B34" w:rsidRDefault="00FF2801" w:rsidP="003F0F10">
      <w:pPr>
        <w:pStyle w:val="Bodytextitalics"/>
        <w:jc w:val="both"/>
        <w:rPr>
          <w:i w:val="0"/>
          <w:iCs/>
        </w:rPr>
      </w:pPr>
      <w:r w:rsidRPr="00BB3B34">
        <w:rPr>
          <w:i w:val="0"/>
          <w:iCs/>
        </w:rPr>
        <w:t xml:space="preserve">The </w:t>
      </w:r>
      <w:r w:rsidR="006D6E4C" w:rsidRPr="00BB3B34">
        <w:rPr>
          <w:i w:val="0"/>
          <w:iCs/>
        </w:rPr>
        <w:t xml:space="preserve">minor </w:t>
      </w:r>
      <w:r w:rsidRPr="00BB3B34">
        <w:rPr>
          <w:i w:val="0"/>
          <w:iCs/>
        </w:rPr>
        <w:t xml:space="preserve">submission </w:t>
      </w:r>
      <w:r w:rsidR="00187D1D" w:rsidRPr="00BB3B34">
        <w:rPr>
          <w:i w:val="0"/>
          <w:iCs/>
        </w:rPr>
        <w:t xml:space="preserve">claimed </w:t>
      </w:r>
      <w:r w:rsidR="00FB0A12" w:rsidRPr="00BB3B34">
        <w:rPr>
          <w:i w:val="0"/>
          <w:iCs/>
        </w:rPr>
        <w:t xml:space="preserve">that </w:t>
      </w:r>
      <w:r w:rsidR="00D61F6D" w:rsidRPr="00BB3B34">
        <w:rPr>
          <w:i w:val="0"/>
          <w:iCs/>
        </w:rPr>
        <w:t xml:space="preserve">based on the PK modelling and the </w:t>
      </w:r>
      <w:r w:rsidR="0005766E" w:rsidRPr="00BB3B34">
        <w:rPr>
          <w:i w:val="0"/>
          <w:iCs/>
        </w:rPr>
        <w:t>E-R</w:t>
      </w:r>
      <w:r w:rsidR="00D61F6D" w:rsidRPr="00BB3B34">
        <w:rPr>
          <w:i w:val="0"/>
          <w:iCs/>
        </w:rPr>
        <w:t xml:space="preserve"> analysis</w:t>
      </w:r>
      <w:r w:rsidR="00AD19F4" w:rsidRPr="00BB3B34">
        <w:rPr>
          <w:i w:val="0"/>
          <w:iCs/>
        </w:rPr>
        <w:t>,</w:t>
      </w:r>
      <w:r w:rsidR="00D61F6D" w:rsidRPr="00BB3B34">
        <w:rPr>
          <w:i w:val="0"/>
          <w:iCs/>
        </w:rPr>
        <w:t xml:space="preserve"> </w:t>
      </w:r>
      <w:r w:rsidR="00FB0A12" w:rsidRPr="00BB3B34">
        <w:rPr>
          <w:i w:val="0"/>
          <w:iCs/>
        </w:rPr>
        <w:t xml:space="preserve">atezolizumab 1680 mg </w:t>
      </w:r>
      <w:r w:rsidR="0067310D" w:rsidRPr="00BB3B34">
        <w:rPr>
          <w:i w:val="0"/>
          <w:iCs/>
        </w:rPr>
        <w:t>admin</w:t>
      </w:r>
      <w:r w:rsidR="0091231A" w:rsidRPr="00BB3B34">
        <w:rPr>
          <w:i w:val="0"/>
          <w:iCs/>
        </w:rPr>
        <w:t xml:space="preserve">istered </w:t>
      </w:r>
      <w:r w:rsidR="00FB0A12" w:rsidRPr="00BB3B34">
        <w:rPr>
          <w:i w:val="0"/>
          <w:iCs/>
        </w:rPr>
        <w:t xml:space="preserve">Q4W is </w:t>
      </w:r>
      <w:r w:rsidR="00187D1D" w:rsidRPr="00BB3B34">
        <w:rPr>
          <w:i w:val="0"/>
          <w:iCs/>
        </w:rPr>
        <w:t xml:space="preserve">equally </w:t>
      </w:r>
      <w:r w:rsidR="0091231A" w:rsidRPr="00BB3B34">
        <w:rPr>
          <w:i w:val="0"/>
          <w:iCs/>
        </w:rPr>
        <w:t xml:space="preserve">effective and safe as </w:t>
      </w:r>
      <w:r w:rsidR="0019748B" w:rsidRPr="00BB3B34">
        <w:rPr>
          <w:i w:val="0"/>
          <w:iCs/>
        </w:rPr>
        <w:t xml:space="preserve">atezolizumab 1200 mg </w:t>
      </w:r>
      <w:r w:rsidR="0091231A" w:rsidRPr="00BB3B34">
        <w:rPr>
          <w:i w:val="0"/>
          <w:iCs/>
        </w:rPr>
        <w:t xml:space="preserve">administered </w:t>
      </w:r>
      <w:r w:rsidR="0019748B" w:rsidRPr="00BB3B34">
        <w:rPr>
          <w:i w:val="0"/>
          <w:iCs/>
        </w:rPr>
        <w:t>Q3W</w:t>
      </w:r>
      <w:r w:rsidR="0091231A" w:rsidRPr="00BB3B34">
        <w:rPr>
          <w:i w:val="0"/>
          <w:iCs/>
        </w:rPr>
        <w:t>.</w:t>
      </w:r>
    </w:p>
    <w:p w:rsidR="00713BBC" w:rsidRPr="00BB3B34" w:rsidRDefault="002257C6" w:rsidP="00AE781A">
      <w:pPr>
        <w:pStyle w:val="Bodytextitalics"/>
        <w:jc w:val="both"/>
        <w:rPr>
          <w:i w:val="0"/>
          <w:iCs/>
        </w:rPr>
      </w:pPr>
      <w:r w:rsidRPr="00BB3B34">
        <w:rPr>
          <w:i w:val="0"/>
          <w:iCs/>
        </w:rPr>
        <w:t xml:space="preserve">While the PBAC noted that no clinical evidence </w:t>
      </w:r>
      <w:proofErr w:type="gramStart"/>
      <w:r w:rsidRPr="00BB3B34">
        <w:rPr>
          <w:i w:val="0"/>
          <w:iCs/>
        </w:rPr>
        <w:t>was provided</w:t>
      </w:r>
      <w:proofErr w:type="gramEnd"/>
      <w:r w:rsidRPr="00BB3B34">
        <w:rPr>
          <w:i w:val="0"/>
          <w:iCs/>
        </w:rPr>
        <w:t>, t</w:t>
      </w:r>
      <w:r w:rsidR="007D6591" w:rsidRPr="00BB3B34">
        <w:rPr>
          <w:i w:val="0"/>
          <w:iCs/>
        </w:rPr>
        <w:t>he PBAC considered that the 1680 mg Q4W dosing regimen is likely comparable to the 1200 mg Q3W dosing regimen in terms of effectiveness and safety</w:t>
      </w:r>
      <w:r w:rsidR="003E395D" w:rsidRPr="00BB3B34">
        <w:rPr>
          <w:i w:val="0"/>
          <w:iCs/>
        </w:rPr>
        <w:t>,</w:t>
      </w:r>
      <w:r w:rsidR="007D6591" w:rsidRPr="00BB3B34">
        <w:rPr>
          <w:i w:val="0"/>
          <w:iCs/>
        </w:rPr>
        <w:t xml:space="preserve"> based on the available </w:t>
      </w:r>
      <w:r w:rsidR="007A0426" w:rsidRPr="00BB3B34">
        <w:rPr>
          <w:i w:val="0"/>
          <w:iCs/>
        </w:rPr>
        <w:t>data</w:t>
      </w:r>
      <w:r w:rsidRPr="00BB3B34">
        <w:rPr>
          <w:i w:val="0"/>
          <w:iCs/>
        </w:rPr>
        <w:t>.</w:t>
      </w:r>
    </w:p>
    <w:p w:rsidR="005A3173" w:rsidRPr="00BB3B34" w:rsidRDefault="005A3173" w:rsidP="00CC1ED0">
      <w:pPr>
        <w:pStyle w:val="Heading2"/>
        <w:keepLines/>
        <w:spacing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Economic analysis</w:t>
      </w:r>
      <w:r w:rsidR="009803E4" w:rsidRPr="00BB3B34">
        <w:rPr>
          <w:rFonts w:asciiTheme="minorHAnsi" w:eastAsiaTheme="majorEastAsia" w:hAnsiTheme="minorHAnsi" w:cstheme="majorBidi"/>
          <w:sz w:val="28"/>
          <w:szCs w:val="28"/>
          <w:lang w:eastAsia="en-US"/>
        </w:rPr>
        <w:t xml:space="preserve"> </w:t>
      </w:r>
    </w:p>
    <w:p w:rsidR="00A3567C" w:rsidRPr="00BB3B34" w:rsidRDefault="001458FE" w:rsidP="00FD2B48">
      <w:pPr>
        <w:pStyle w:val="Bodytextitalics"/>
        <w:jc w:val="both"/>
        <w:rPr>
          <w:rFonts w:cstheme="minorHAnsi"/>
          <w:i w:val="0"/>
          <w:iCs/>
          <w:szCs w:val="24"/>
        </w:rPr>
      </w:pPr>
      <w:r w:rsidRPr="00BB3B34">
        <w:rPr>
          <w:rFonts w:cstheme="minorHAnsi"/>
          <w:i w:val="0"/>
          <w:iCs/>
          <w:szCs w:val="24"/>
        </w:rPr>
        <w:t>The minor submission presented a cost-minimisation analysis</w:t>
      </w:r>
      <w:r w:rsidR="00A3783B" w:rsidRPr="00BB3B34">
        <w:rPr>
          <w:rFonts w:cstheme="minorHAnsi"/>
          <w:i w:val="0"/>
          <w:iCs/>
          <w:szCs w:val="24"/>
        </w:rPr>
        <w:t xml:space="preserve"> (CMA)</w:t>
      </w:r>
      <w:r w:rsidRPr="00BB3B34">
        <w:rPr>
          <w:rFonts w:cstheme="minorHAnsi"/>
          <w:i w:val="0"/>
          <w:iCs/>
          <w:szCs w:val="24"/>
        </w:rPr>
        <w:t xml:space="preserve"> comparing the 1680 mg Q4W dosing regimen to the 1200 mg Q3W</w:t>
      </w:r>
      <w:r w:rsidR="00155F1A" w:rsidRPr="00BB3B34">
        <w:rPr>
          <w:rFonts w:cstheme="minorHAnsi"/>
          <w:i w:val="0"/>
          <w:iCs/>
          <w:szCs w:val="24"/>
        </w:rPr>
        <w:t xml:space="preserve"> </w:t>
      </w:r>
      <w:r w:rsidR="007539CB" w:rsidRPr="00BB3B34">
        <w:rPr>
          <w:rFonts w:cstheme="minorHAnsi"/>
          <w:i w:val="0"/>
          <w:iCs/>
          <w:szCs w:val="24"/>
        </w:rPr>
        <w:t xml:space="preserve">dosing </w:t>
      </w:r>
      <w:r w:rsidR="00155F1A" w:rsidRPr="00BB3B34">
        <w:rPr>
          <w:rFonts w:cstheme="minorHAnsi"/>
          <w:i w:val="0"/>
          <w:iCs/>
          <w:szCs w:val="24"/>
        </w:rPr>
        <w:t>regimen</w:t>
      </w:r>
      <w:r w:rsidR="005D26F0" w:rsidRPr="00BB3B34">
        <w:rPr>
          <w:rFonts w:cstheme="minorHAnsi"/>
          <w:i w:val="0"/>
          <w:iCs/>
          <w:szCs w:val="24"/>
        </w:rPr>
        <w:t>, based on the proposed effective ex-manufacturer price (EEMP) of $</w:t>
      </w:r>
      <w:r w:rsidR="00CE0CAB">
        <w:rPr>
          <w:rFonts w:cstheme="minorHAnsi"/>
          <w:i w:val="0"/>
          <w:iCs/>
          <w:noProof/>
          <w:color w:val="000000"/>
          <w:szCs w:val="24"/>
          <w:highlight w:val="black"/>
        </w:rPr>
        <w:t>''''''''''''''''</w:t>
      </w:r>
      <w:r w:rsidR="005D26F0" w:rsidRPr="00BB3B34">
        <w:rPr>
          <w:rFonts w:cstheme="minorHAnsi"/>
          <w:i w:val="0"/>
          <w:iCs/>
          <w:szCs w:val="24"/>
        </w:rPr>
        <w:t xml:space="preserve"> (</w:t>
      </w:r>
      <w:r w:rsidR="00CE0CAB">
        <w:rPr>
          <w:rFonts w:cstheme="minorHAnsi"/>
          <w:i w:val="0"/>
          <w:iCs/>
          <w:noProof/>
          <w:color w:val="000000"/>
          <w:szCs w:val="24"/>
          <w:highlight w:val="black"/>
        </w:rPr>
        <w:t>''''''''''</w:t>
      </w:r>
      <w:r w:rsidR="005D26F0" w:rsidRPr="00BB3B34">
        <w:rPr>
          <w:rFonts w:cstheme="minorHAnsi"/>
          <w:i w:val="0"/>
          <w:iCs/>
          <w:szCs w:val="24"/>
        </w:rPr>
        <w:t>% rebate</w:t>
      </w:r>
      <w:r w:rsidR="00014480" w:rsidRPr="00BB3B34">
        <w:rPr>
          <w:rFonts w:cstheme="minorHAnsi"/>
          <w:i w:val="0"/>
          <w:iCs/>
          <w:szCs w:val="24"/>
        </w:rPr>
        <w:t xml:space="preserve"> </w:t>
      </w:r>
      <w:r w:rsidR="0004129D" w:rsidRPr="00BB3B34">
        <w:rPr>
          <w:rFonts w:cstheme="minorHAnsi"/>
          <w:i w:val="0"/>
          <w:iCs/>
          <w:szCs w:val="24"/>
        </w:rPr>
        <w:t>on</w:t>
      </w:r>
      <w:r w:rsidR="00014480" w:rsidRPr="00BB3B34">
        <w:rPr>
          <w:rFonts w:cstheme="minorHAnsi"/>
          <w:i w:val="0"/>
          <w:iCs/>
          <w:szCs w:val="24"/>
        </w:rPr>
        <w:t xml:space="preserve"> the proposed published price of $5,233.41</w:t>
      </w:r>
      <w:r w:rsidR="005D26F0" w:rsidRPr="00BB3B34">
        <w:rPr>
          <w:rFonts w:cstheme="minorHAnsi"/>
          <w:i w:val="0"/>
          <w:iCs/>
          <w:szCs w:val="24"/>
        </w:rPr>
        <w:t xml:space="preserve">) </w:t>
      </w:r>
      <w:r w:rsidR="00DB66C6" w:rsidRPr="00BB3B34">
        <w:rPr>
          <w:rFonts w:cstheme="minorHAnsi"/>
          <w:i w:val="0"/>
          <w:iCs/>
          <w:szCs w:val="24"/>
        </w:rPr>
        <w:t xml:space="preserve">per </w:t>
      </w:r>
      <w:r w:rsidR="005D26F0" w:rsidRPr="00BB3B34">
        <w:rPr>
          <w:rFonts w:cstheme="minorHAnsi"/>
          <w:i w:val="0"/>
          <w:iCs/>
          <w:szCs w:val="24"/>
        </w:rPr>
        <w:t xml:space="preserve">840 </w:t>
      </w:r>
      <w:r w:rsidR="00911FAA" w:rsidRPr="00BB3B34">
        <w:rPr>
          <w:rFonts w:cstheme="minorHAnsi"/>
          <w:i w:val="0"/>
          <w:iCs/>
          <w:szCs w:val="24"/>
        </w:rPr>
        <w:t>mg vial in</w:t>
      </w:r>
      <w:r w:rsidR="005D26F0" w:rsidRPr="00BB3B34">
        <w:rPr>
          <w:rFonts w:cstheme="minorHAnsi"/>
          <w:i w:val="0"/>
          <w:iCs/>
          <w:szCs w:val="24"/>
        </w:rPr>
        <w:t xml:space="preserve"> 1L ES-SCLC</w:t>
      </w:r>
      <w:r w:rsidRPr="00BB3B34">
        <w:rPr>
          <w:rFonts w:cstheme="minorHAnsi"/>
          <w:i w:val="0"/>
          <w:iCs/>
          <w:szCs w:val="24"/>
        </w:rPr>
        <w:t xml:space="preserve">. </w:t>
      </w:r>
      <w:r w:rsidR="00995CAC" w:rsidRPr="00BB3B34">
        <w:rPr>
          <w:rFonts w:cstheme="minorHAnsi"/>
          <w:i w:val="0"/>
          <w:iCs/>
          <w:szCs w:val="24"/>
        </w:rPr>
        <w:t xml:space="preserve">A comparison of </w:t>
      </w:r>
      <w:r w:rsidR="000C367F" w:rsidRPr="00BB3B34">
        <w:rPr>
          <w:rFonts w:cstheme="minorHAnsi"/>
          <w:i w:val="0"/>
          <w:iCs/>
          <w:szCs w:val="24"/>
        </w:rPr>
        <w:t xml:space="preserve">the </w:t>
      </w:r>
      <w:r w:rsidR="00995CAC" w:rsidRPr="00BB3B34">
        <w:rPr>
          <w:rFonts w:cstheme="minorHAnsi"/>
          <w:i w:val="0"/>
          <w:iCs/>
          <w:szCs w:val="24"/>
        </w:rPr>
        <w:t>cost</w:t>
      </w:r>
      <w:r w:rsidR="00DB66C6" w:rsidRPr="00BB3B34">
        <w:rPr>
          <w:rFonts w:cstheme="minorHAnsi"/>
          <w:i w:val="0"/>
          <w:iCs/>
          <w:szCs w:val="24"/>
        </w:rPr>
        <w:t>s</w:t>
      </w:r>
      <w:r w:rsidR="00EA2EAF" w:rsidRPr="00BB3B34">
        <w:rPr>
          <w:rFonts w:cstheme="minorHAnsi"/>
          <w:i w:val="0"/>
          <w:iCs/>
          <w:szCs w:val="24"/>
        </w:rPr>
        <w:t xml:space="preserve"> per month (30.44</w:t>
      </w:r>
      <w:r w:rsidR="00A6592E" w:rsidRPr="00BB3B34">
        <w:rPr>
          <w:rFonts w:cstheme="minorHAnsi"/>
          <w:i w:val="0"/>
          <w:iCs/>
          <w:szCs w:val="24"/>
        </w:rPr>
        <w:t xml:space="preserve"> days</w:t>
      </w:r>
      <w:r w:rsidR="00AF1E66" w:rsidRPr="00BB3B34">
        <w:rPr>
          <w:rFonts w:cstheme="minorHAnsi"/>
          <w:i w:val="0"/>
          <w:iCs/>
          <w:szCs w:val="24"/>
        </w:rPr>
        <w:t xml:space="preserve"> on average</w:t>
      </w:r>
      <w:r w:rsidR="00A6592E" w:rsidRPr="00BB3B34">
        <w:rPr>
          <w:rFonts w:cstheme="minorHAnsi"/>
          <w:i w:val="0"/>
          <w:iCs/>
          <w:szCs w:val="24"/>
        </w:rPr>
        <w:t xml:space="preserve">) </w:t>
      </w:r>
      <w:r w:rsidR="000C367F" w:rsidRPr="00BB3B34">
        <w:rPr>
          <w:rFonts w:cstheme="minorHAnsi"/>
          <w:i w:val="0"/>
          <w:iCs/>
          <w:szCs w:val="24"/>
        </w:rPr>
        <w:t xml:space="preserve">for </w:t>
      </w:r>
      <w:r w:rsidR="005D26F0" w:rsidRPr="00BB3B34">
        <w:rPr>
          <w:rFonts w:cstheme="minorHAnsi"/>
          <w:i w:val="0"/>
          <w:iCs/>
          <w:szCs w:val="24"/>
        </w:rPr>
        <w:t xml:space="preserve">the </w:t>
      </w:r>
      <w:r w:rsidRPr="00BB3B34">
        <w:rPr>
          <w:rFonts w:cstheme="minorHAnsi"/>
          <w:i w:val="0"/>
          <w:iCs/>
          <w:szCs w:val="24"/>
        </w:rPr>
        <w:t xml:space="preserve">1680 mg Q4W and 1200 mg Q3W </w:t>
      </w:r>
      <w:r w:rsidR="00AF1E66" w:rsidRPr="00BB3B34">
        <w:rPr>
          <w:rFonts w:cstheme="minorHAnsi"/>
          <w:i w:val="0"/>
          <w:iCs/>
          <w:szCs w:val="24"/>
        </w:rPr>
        <w:t xml:space="preserve">dosing regimens </w:t>
      </w:r>
      <w:proofErr w:type="gramStart"/>
      <w:r w:rsidR="00AF1E66" w:rsidRPr="00BB3B34">
        <w:rPr>
          <w:rFonts w:cstheme="minorHAnsi"/>
          <w:i w:val="0"/>
          <w:iCs/>
          <w:szCs w:val="24"/>
        </w:rPr>
        <w:t>is shown</w:t>
      </w:r>
      <w:proofErr w:type="gramEnd"/>
      <w:r w:rsidR="00AF1E66" w:rsidRPr="00BB3B34">
        <w:rPr>
          <w:rFonts w:cstheme="minorHAnsi"/>
          <w:i w:val="0"/>
          <w:iCs/>
          <w:szCs w:val="24"/>
        </w:rPr>
        <w:t xml:space="preserve"> </w:t>
      </w:r>
      <w:r w:rsidR="00EA4AA5" w:rsidRPr="00BB3B34">
        <w:rPr>
          <w:rFonts w:cstheme="minorHAnsi"/>
          <w:i w:val="0"/>
          <w:iCs/>
          <w:szCs w:val="24"/>
        </w:rPr>
        <w:t xml:space="preserve">in </w:t>
      </w:r>
      <w:r w:rsidR="006653DB" w:rsidRPr="00BB3B34">
        <w:rPr>
          <w:rFonts w:cstheme="minorHAnsi"/>
          <w:i w:val="0"/>
          <w:szCs w:val="24"/>
        </w:rPr>
        <w:t xml:space="preserve">Table </w:t>
      </w:r>
      <w:r w:rsidR="006653DB" w:rsidRPr="003F0C78">
        <w:rPr>
          <w:rFonts w:cstheme="minorHAnsi"/>
          <w:i w:val="0"/>
          <w:szCs w:val="24"/>
        </w:rPr>
        <w:t>1</w:t>
      </w:r>
      <w:r w:rsidR="00EA4AA5" w:rsidRPr="00BB3B34">
        <w:rPr>
          <w:rFonts w:cstheme="minorHAnsi"/>
          <w:i w:val="0"/>
          <w:iCs/>
          <w:szCs w:val="24"/>
        </w:rPr>
        <w:t xml:space="preserve"> </w:t>
      </w:r>
      <w:r w:rsidR="00AF1E66" w:rsidRPr="00BB3B34">
        <w:rPr>
          <w:rFonts w:cstheme="minorHAnsi"/>
          <w:i w:val="0"/>
          <w:iCs/>
          <w:szCs w:val="24"/>
        </w:rPr>
        <w:t>below</w:t>
      </w:r>
      <w:r w:rsidR="00EA4AA5" w:rsidRPr="00BB3B34">
        <w:rPr>
          <w:rFonts w:cstheme="minorHAnsi"/>
          <w:i w:val="0"/>
          <w:iCs/>
          <w:szCs w:val="24"/>
        </w:rPr>
        <w:t>.</w:t>
      </w:r>
    </w:p>
    <w:p w:rsidR="00135070" w:rsidRPr="00734027" w:rsidRDefault="00601CF1" w:rsidP="006C257F">
      <w:pPr>
        <w:pStyle w:val="TableHeadingRow"/>
        <w:rPr>
          <w:rFonts w:ascii="Arial Narrow" w:hAnsi="Arial Narrow"/>
          <w:b w:val="0"/>
          <w:iCs/>
        </w:rPr>
      </w:pPr>
      <w:bookmarkStart w:id="0" w:name="_Ref33188002"/>
      <w:bookmarkStart w:id="1" w:name="_Ref22119801"/>
      <w:r w:rsidRPr="00734027">
        <w:rPr>
          <w:rFonts w:ascii="Arial Narrow" w:hAnsi="Arial Narrow"/>
        </w:rPr>
        <w:t xml:space="preserve">Table </w:t>
      </w:r>
      <w:r w:rsidR="006653DB" w:rsidRPr="00734027">
        <w:rPr>
          <w:rFonts w:ascii="Arial Narrow" w:hAnsi="Arial Narrow"/>
        </w:rPr>
        <w:t>1</w:t>
      </w:r>
      <w:bookmarkEnd w:id="0"/>
      <w:bookmarkEnd w:id="1"/>
      <w:r w:rsidR="00135070" w:rsidRPr="00734027">
        <w:rPr>
          <w:rFonts w:ascii="Arial Narrow" w:hAnsi="Arial Narrow"/>
        </w:rPr>
        <w:t xml:space="preserve">: </w:t>
      </w:r>
      <w:r w:rsidR="00D64A22" w:rsidRPr="00734027">
        <w:rPr>
          <w:rFonts w:ascii="Arial Narrow" w:hAnsi="Arial Narrow"/>
        </w:rPr>
        <w:t xml:space="preserve">Cost-minimisation for </w:t>
      </w:r>
      <w:proofErr w:type="gramStart"/>
      <w:r w:rsidR="00D64A22" w:rsidRPr="00734027">
        <w:rPr>
          <w:rFonts w:ascii="Arial Narrow" w:hAnsi="Arial Narrow"/>
        </w:rPr>
        <w:t>1</w:t>
      </w:r>
      <w:r w:rsidR="00135070" w:rsidRPr="00734027">
        <w:rPr>
          <w:rFonts w:ascii="Arial Narrow" w:hAnsi="Arial Narrow"/>
        </w:rPr>
        <w:t>L</w:t>
      </w:r>
      <w:proofErr w:type="gramEnd"/>
      <w:r w:rsidR="00135070" w:rsidRPr="00734027">
        <w:rPr>
          <w:rFonts w:ascii="Arial Narrow" w:hAnsi="Arial Narrow"/>
        </w:rPr>
        <w:t xml:space="preserve"> </w:t>
      </w:r>
      <w:r w:rsidR="00D64A22" w:rsidRPr="00734027">
        <w:rPr>
          <w:rFonts w:ascii="Arial Narrow" w:hAnsi="Arial Narrow"/>
        </w:rPr>
        <w:t xml:space="preserve">ES-SCLC </w:t>
      </w:r>
      <w:r w:rsidR="00135070" w:rsidRPr="00734027">
        <w:rPr>
          <w:rFonts w:ascii="Arial Narrow" w:hAnsi="Arial Narrow"/>
        </w:rPr>
        <w:t xml:space="preserve">at </w:t>
      </w:r>
      <w:r w:rsidR="00D64A22" w:rsidRPr="00734027">
        <w:rPr>
          <w:rFonts w:ascii="Arial Narrow" w:hAnsi="Arial Narrow"/>
        </w:rPr>
        <w:t xml:space="preserve">the proposed </w:t>
      </w:r>
      <w:r w:rsidR="00135070" w:rsidRPr="00734027">
        <w:rPr>
          <w:rFonts w:ascii="Arial Narrow" w:hAnsi="Arial Narrow"/>
        </w:rPr>
        <w:t>effective DPMA</w:t>
      </w:r>
    </w:p>
    <w:tbl>
      <w:tblPr>
        <w:tblW w:w="8931" w:type="dxa"/>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1: Cost-minimisation for 1L ES-SCLC at the proposed effective DPMA"/>
      </w:tblPr>
      <w:tblGrid>
        <w:gridCol w:w="3261"/>
        <w:gridCol w:w="2835"/>
        <w:gridCol w:w="2835"/>
      </w:tblGrid>
      <w:tr w:rsidR="00DE48F9" w:rsidRPr="00BB3B34" w:rsidTr="009E51AA">
        <w:trPr>
          <w:cantSplit/>
          <w:tblHeader/>
        </w:trPr>
        <w:tc>
          <w:tcPr>
            <w:tcW w:w="3261" w:type="dxa"/>
            <w:tcBorders>
              <w:top w:val="single" w:sz="4" w:space="0" w:color="auto"/>
              <w:bottom w:val="single" w:sz="4" w:space="0" w:color="auto"/>
            </w:tcBorders>
            <w:vAlign w:val="center"/>
          </w:tcPr>
          <w:p w:rsidR="00DE48F9" w:rsidRPr="00BB3B34" w:rsidRDefault="00DE48F9" w:rsidP="00A3567C">
            <w:pPr>
              <w:pStyle w:val="TableHeadingRow"/>
              <w:keepLines/>
              <w:suppressLineNumbers/>
              <w:suppressAutoHyphens/>
              <w:rPr>
                <w:rFonts w:ascii="Arial Narrow" w:hAnsi="Arial Narrow"/>
              </w:rPr>
            </w:pPr>
          </w:p>
        </w:tc>
        <w:tc>
          <w:tcPr>
            <w:tcW w:w="2835" w:type="dxa"/>
            <w:tcBorders>
              <w:top w:val="single" w:sz="4" w:space="0" w:color="auto"/>
              <w:bottom w:val="single" w:sz="4" w:space="0" w:color="auto"/>
            </w:tcBorders>
            <w:vAlign w:val="center"/>
          </w:tcPr>
          <w:p w:rsidR="00DE48F9" w:rsidRPr="00BB3B34" w:rsidRDefault="00DE48F9" w:rsidP="00A3567C">
            <w:pPr>
              <w:pStyle w:val="TableHeadingRow"/>
              <w:keepLines/>
              <w:suppressLineNumbers/>
              <w:suppressAutoHyphens/>
              <w:jc w:val="center"/>
              <w:rPr>
                <w:rFonts w:ascii="Arial Narrow" w:hAnsi="Arial Narrow"/>
              </w:rPr>
            </w:pPr>
            <w:r w:rsidRPr="00BB3B34">
              <w:rPr>
                <w:rFonts w:ascii="Arial Narrow" w:hAnsi="Arial Narrow"/>
              </w:rPr>
              <w:t>Atezolizumab 1200mg Q3W</w:t>
            </w:r>
          </w:p>
        </w:tc>
        <w:tc>
          <w:tcPr>
            <w:tcW w:w="2835" w:type="dxa"/>
            <w:tcBorders>
              <w:top w:val="single" w:sz="4" w:space="0" w:color="auto"/>
              <w:bottom w:val="single" w:sz="4" w:space="0" w:color="auto"/>
            </w:tcBorders>
            <w:vAlign w:val="center"/>
          </w:tcPr>
          <w:p w:rsidR="00DE48F9" w:rsidRPr="00BB3B34" w:rsidRDefault="00DE48F9" w:rsidP="00A3567C">
            <w:pPr>
              <w:pStyle w:val="TableHeadingRow"/>
              <w:keepLines/>
              <w:suppressLineNumbers/>
              <w:suppressAutoHyphens/>
              <w:jc w:val="center"/>
              <w:rPr>
                <w:rFonts w:ascii="Arial Narrow" w:hAnsi="Arial Narrow"/>
              </w:rPr>
            </w:pPr>
            <w:r w:rsidRPr="00BB3B34">
              <w:rPr>
                <w:rFonts w:ascii="Arial Narrow" w:hAnsi="Arial Narrow"/>
              </w:rPr>
              <w:t>Atezolizumab 1680mg Q4W</w:t>
            </w:r>
          </w:p>
        </w:tc>
      </w:tr>
      <w:tr w:rsidR="0082335E" w:rsidRPr="00BB3B34" w:rsidTr="009E51AA">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rPr>
            </w:pPr>
            <w:r w:rsidRPr="00BB3B34">
              <w:rPr>
                <w:rFonts w:ascii="Arial Narrow" w:hAnsi="Arial Narrow"/>
              </w:rPr>
              <w:t>EEMP per administration</w:t>
            </w:r>
            <w:r w:rsidRPr="00BB3B34">
              <w:rPr>
                <w:rFonts w:ascii="Arial Narrow" w:hAnsi="Arial Narrow"/>
                <w:vertAlign w:val="superscript"/>
              </w:rPr>
              <w:t>a</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r>
      <w:tr w:rsidR="0082335E" w:rsidRPr="00BB3B34" w:rsidTr="009E51AA">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vertAlign w:val="superscript"/>
              </w:rPr>
            </w:pPr>
            <w:r w:rsidRPr="00BB3B34">
              <w:rPr>
                <w:rFonts w:ascii="Arial Narrow" w:hAnsi="Arial Narrow"/>
              </w:rPr>
              <w:t>EEMP per month</w:t>
            </w:r>
            <w:r w:rsidRPr="00BB3B34">
              <w:rPr>
                <w:rFonts w:ascii="Arial Narrow" w:hAnsi="Arial Narrow"/>
                <w:vertAlign w:val="superscript"/>
              </w:rPr>
              <w:t>b</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r>
      <w:tr w:rsidR="0082335E" w:rsidRPr="00BB3B34" w:rsidTr="00E90CF1">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rPr>
            </w:pPr>
            <w:r w:rsidRPr="00BB3B34">
              <w:rPr>
                <w:rFonts w:ascii="Arial Narrow" w:hAnsi="Arial Narrow"/>
              </w:rPr>
              <w:t>Weighted</w:t>
            </w:r>
            <w:r w:rsidRPr="00BB3B34">
              <w:rPr>
                <w:rFonts w:ascii="Arial Narrow" w:hAnsi="Arial Narrow"/>
                <w:vertAlign w:val="superscript"/>
              </w:rPr>
              <w:t>c</w:t>
            </w:r>
            <w:r w:rsidRPr="00BB3B34">
              <w:rPr>
                <w:rFonts w:ascii="Arial Narrow" w:hAnsi="Arial Narrow"/>
              </w:rPr>
              <w:t xml:space="preserve"> DPMA</w:t>
            </w:r>
            <w:r w:rsidR="00386B04" w:rsidRPr="00BB3B34">
              <w:rPr>
                <w:rFonts w:ascii="Arial Narrow" w:hAnsi="Arial Narrow"/>
                <w:vertAlign w:val="superscript"/>
              </w:rPr>
              <w:t>d</w:t>
            </w:r>
            <w:r w:rsidRPr="00BB3B34">
              <w:rPr>
                <w:rFonts w:ascii="Arial Narrow" w:hAnsi="Arial Narrow"/>
              </w:rPr>
              <w:t xml:space="preserve"> per administration</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r>
      <w:tr w:rsidR="0082335E" w:rsidRPr="00BB3B34" w:rsidTr="00E90CF1">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rPr>
            </w:pPr>
            <w:r w:rsidRPr="00BB3B34">
              <w:rPr>
                <w:rFonts w:ascii="Arial Narrow" w:hAnsi="Arial Narrow"/>
              </w:rPr>
              <w:t>Weighted DPMA per month</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r>
      <w:tr w:rsidR="0082335E" w:rsidRPr="00BB3B34" w:rsidTr="009E51AA">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rPr>
            </w:pPr>
            <w:r w:rsidRPr="00BB3B34">
              <w:rPr>
                <w:rFonts w:ascii="Arial Narrow" w:hAnsi="Arial Narrow"/>
              </w:rPr>
              <w:t>Cost of administration (IV infusion)</w:t>
            </w:r>
            <w:r w:rsidRPr="00BB3B34">
              <w:rPr>
                <w:rFonts w:ascii="Arial Narrow" w:hAnsi="Arial Narrow"/>
                <w:vertAlign w:val="superscript"/>
              </w:rPr>
              <w:t>e</w:t>
            </w:r>
          </w:p>
        </w:tc>
        <w:tc>
          <w:tcPr>
            <w:tcW w:w="2835"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jc w:val="center"/>
              <w:rPr>
                <w:rFonts w:ascii="Arial Narrow" w:hAnsi="Arial Narrow"/>
              </w:rPr>
            </w:pPr>
            <w:r w:rsidRPr="00BB3B34">
              <w:rPr>
                <w:rFonts w:ascii="Arial Narrow" w:hAnsi="Arial Narrow"/>
              </w:rPr>
              <w:t>$66.10</w:t>
            </w:r>
          </w:p>
        </w:tc>
        <w:tc>
          <w:tcPr>
            <w:tcW w:w="2835" w:type="dxa"/>
            <w:tcBorders>
              <w:top w:val="single" w:sz="4" w:space="0" w:color="auto"/>
              <w:bottom w:val="single" w:sz="4" w:space="0" w:color="auto"/>
            </w:tcBorders>
            <w:vAlign w:val="center"/>
          </w:tcPr>
          <w:p w:rsidR="0082335E" w:rsidRPr="00BB3B34" w:rsidRDefault="0082335E" w:rsidP="0082335E">
            <w:pPr>
              <w:pStyle w:val="TableText1"/>
              <w:keepNext/>
              <w:keepLines/>
              <w:suppressLineNumbers/>
              <w:suppressAutoHyphens/>
              <w:jc w:val="center"/>
              <w:rPr>
                <w:rFonts w:ascii="Arial Narrow" w:hAnsi="Arial Narrow"/>
              </w:rPr>
            </w:pPr>
            <w:r w:rsidRPr="00BB3B34">
              <w:rPr>
                <w:rFonts w:ascii="Arial Narrow" w:hAnsi="Arial Narrow"/>
              </w:rPr>
              <w:t>$66.10</w:t>
            </w:r>
          </w:p>
        </w:tc>
      </w:tr>
      <w:tr w:rsidR="0082335E" w:rsidRPr="00BB3B34" w:rsidTr="009E51AA">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rPr>
            </w:pPr>
            <w:r w:rsidRPr="00BB3B34">
              <w:rPr>
                <w:rFonts w:ascii="Arial Narrow" w:hAnsi="Arial Narrow"/>
              </w:rPr>
              <w:t>Cost of administration per month</w:t>
            </w:r>
          </w:p>
        </w:tc>
        <w:tc>
          <w:tcPr>
            <w:tcW w:w="2835"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jc w:val="center"/>
              <w:rPr>
                <w:rFonts w:ascii="Arial Narrow" w:hAnsi="Arial Narrow"/>
              </w:rPr>
            </w:pPr>
            <w:r w:rsidRPr="00BB3B34">
              <w:rPr>
                <w:rFonts w:ascii="Arial Narrow" w:hAnsi="Arial Narrow"/>
              </w:rPr>
              <w:t>$95.81</w:t>
            </w:r>
          </w:p>
        </w:tc>
        <w:tc>
          <w:tcPr>
            <w:tcW w:w="2835" w:type="dxa"/>
            <w:tcBorders>
              <w:top w:val="single" w:sz="4" w:space="0" w:color="auto"/>
              <w:bottom w:val="single" w:sz="4" w:space="0" w:color="auto"/>
            </w:tcBorders>
            <w:vAlign w:val="center"/>
          </w:tcPr>
          <w:p w:rsidR="0082335E" w:rsidRPr="00BB3B34" w:rsidRDefault="0082335E" w:rsidP="0082335E">
            <w:pPr>
              <w:pStyle w:val="TableText1"/>
              <w:keepNext/>
              <w:keepLines/>
              <w:suppressLineNumbers/>
              <w:suppressAutoHyphens/>
              <w:jc w:val="center"/>
              <w:rPr>
                <w:rFonts w:ascii="Arial Narrow" w:hAnsi="Arial Narrow"/>
              </w:rPr>
            </w:pPr>
            <w:r w:rsidRPr="00BB3B34">
              <w:rPr>
                <w:rFonts w:ascii="Arial Narrow" w:hAnsi="Arial Narrow"/>
              </w:rPr>
              <w:t>$71.85</w:t>
            </w:r>
          </w:p>
        </w:tc>
      </w:tr>
      <w:tr w:rsidR="0082335E" w:rsidRPr="00BB3B34" w:rsidTr="00E90CF1">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rPr>
            </w:pPr>
            <w:r w:rsidRPr="00BB3B34">
              <w:rPr>
                <w:rFonts w:ascii="Arial Narrow" w:hAnsi="Arial Narrow"/>
              </w:rPr>
              <w:t>Total cost per administration</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r>
      <w:tr w:rsidR="0082335E" w:rsidRPr="00BB3B34" w:rsidTr="00F959C2">
        <w:trPr>
          <w:cantSplit/>
          <w:tblHeader/>
        </w:trPr>
        <w:tc>
          <w:tcPr>
            <w:tcW w:w="3261" w:type="dxa"/>
            <w:tcBorders>
              <w:top w:val="single" w:sz="4" w:space="0" w:color="auto"/>
              <w:bottom w:val="single" w:sz="4" w:space="0" w:color="auto"/>
            </w:tcBorders>
          </w:tcPr>
          <w:p w:rsidR="0082335E" w:rsidRPr="00BB3B34" w:rsidRDefault="0082335E" w:rsidP="0082335E">
            <w:pPr>
              <w:pStyle w:val="TableText1"/>
              <w:keepNext/>
              <w:keepLines/>
              <w:suppressLineNumbers/>
              <w:suppressAutoHyphens/>
              <w:rPr>
                <w:rFonts w:ascii="Arial Narrow" w:hAnsi="Arial Narrow"/>
                <w:b/>
              </w:rPr>
            </w:pPr>
            <w:r w:rsidRPr="00BB3B34">
              <w:rPr>
                <w:rFonts w:ascii="Arial Narrow" w:hAnsi="Arial Narrow"/>
                <w:b/>
              </w:rPr>
              <w:t>Total cost per month (cost-minimised)</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b/>
              </w:rPr>
            </w:pPr>
            <w:r w:rsidRPr="00F35B64">
              <w:rPr>
                <w:rFonts w:ascii="Arial Narrow" w:hAnsi="Arial Narrow"/>
                <w:b/>
              </w:rPr>
              <w:t>$</w:t>
            </w:r>
            <w:r w:rsidR="00CE0CAB">
              <w:rPr>
                <w:rFonts w:ascii="Arial Narrow" w:hAnsi="Arial Narrow"/>
                <w:b/>
                <w:noProof/>
                <w:color w:val="000000"/>
                <w:highlight w:val="black"/>
              </w:rPr>
              <w:t>'''''''''''''''</w:t>
            </w:r>
          </w:p>
        </w:tc>
        <w:tc>
          <w:tcPr>
            <w:tcW w:w="2835" w:type="dxa"/>
            <w:tcBorders>
              <w:top w:val="single" w:sz="4" w:space="0" w:color="auto"/>
              <w:bottom w:val="single" w:sz="4" w:space="0" w:color="auto"/>
            </w:tcBorders>
            <w:vAlign w:val="center"/>
          </w:tcPr>
          <w:p w:rsidR="0082335E" w:rsidRPr="00CE0CAB" w:rsidRDefault="0082335E" w:rsidP="0082335E">
            <w:pPr>
              <w:pStyle w:val="TableText1"/>
              <w:keepNext/>
              <w:keepLines/>
              <w:suppressLineNumbers/>
              <w:suppressAutoHyphens/>
              <w:jc w:val="center"/>
              <w:rPr>
                <w:rFonts w:ascii="Arial Narrow" w:hAnsi="Arial Narrow"/>
                <w:b/>
              </w:rPr>
            </w:pPr>
            <w:r w:rsidRPr="00F35B64">
              <w:rPr>
                <w:rFonts w:ascii="Arial Narrow" w:hAnsi="Arial Narrow"/>
                <w:b/>
              </w:rPr>
              <w:t>$</w:t>
            </w:r>
            <w:r w:rsidR="00CE0CAB">
              <w:rPr>
                <w:rFonts w:ascii="Arial Narrow" w:hAnsi="Arial Narrow"/>
                <w:b/>
                <w:noProof/>
                <w:color w:val="000000"/>
                <w:highlight w:val="black"/>
              </w:rPr>
              <w:t>''''''''''''''''''</w:t>
            </w:r>
          </w:p>
        </w:tc>
      </w:tr>
    </w:tbl>
    <w:p w:rsidR="00A6592E" w:rsidRPr="00BB3B34" w:rsidRDefault="00DE48F9" w:rsidP="006C257F">
      <w:pPr>
        <w:pStyle w:val="TableFooter"/>
      </w:pPr>
      <w:r w:rsidRPr="00BB3B34">
        <w:t>Source: Table 5.1, p1</w:t>
      </w:r>
      <w:r w:rsidR="0082335E" w:rsidRPr="00BB3B34">
        <w:t>4</w:t>
      </w:r>
      <w:r w:rsidRPr="00BB3B34">
        <w:t xml:space="preserve"> of the submission </w:t>
      </w:r>
    </w:p>
    <w:p w:rsidR="001B4281" w:rsidRPr="00BB3B34" w:rsidRDefault="001B4281" w:rsidP="006C257F">
      <w:pPr>
        <w:pStyle w:val="TableFooter"/>
        <w:rPr>
          <w:rFonts w:eastAsiaTheme="minorHAnsi" w:cstheme="minorBidi"/>
        </w:rPr>
      </w:pPr>
      <w:r w:rsidRPr="00BB3B34">
        <w:rPr>
          <w:rFonts w:eastAsiaTheme="minorHAnsi" w:cstheme="minorBidi"/>
        </w:rPr>
        <w:t>Abbreviations: EEMP: effective ex-manufacturer price; DPMA: dispensed price for maximum amount</w:t>
      </w:r>
    </w:p>
    <w:p w:rsidR="001B4281" w:rsidRPr="00BB3B34" w:rsidRDefault="001B4281" w:rsidP="006C257F">
      <w:pPr>
        <w:pStyle w:val="TableFooter"/>
        <w:rPr>
          <w:rFonts w:eastAsiaTheme="minorHAnsi" w:cstheme="minorBidi"/>
        </w:rPr>
      </w:pPr>
      <w:proofErr w:type="gramStart"/>
      <w:r w:rsidRPr="00BB3B34">
        <w:rPr>
          <w:rFonts w:eastAsiaTheme="minorHAnsi" w:cstheme="minorBidi"/>
          <w:vertAlign w:val="superscript"/>
        </w:rPr>
        <w:t>a</w:t>
      </w:r>
      <w:proofErr w:type="gramEnd"/>
      <w:r w:rsidRPr="00BB3B34">
        <w:rPr>
          <w:rFonts w:eastAsiaTheme="minorHAnsi" w:cstheme="minorBidi"/>
        </w:rPr>
        <w:t xml:space="preserve"> Based on </w:t>
      </w:r>
      <w:r w:rsidR="0082335E" w:rsidRPr="00BB3B34">
        <w:rPr>
          <w:rFonts w:eastAsiaTheme="minorHAnsi" w:cstheme="minorBidi"/>
        </w:rPr>
        <w:t xml:space="preserve">the proposed </w:t>
      </w:r>
      <w:r w:rsidRPr="00BB3B34">
        <w:rPr>
          <w:rFonts w:eastAsiaTheme="minorHAnsi" w:cstheme="minorBidi"/>
        </w:rPr>
        <w:t>effective prices.</w:t>
      </w:r>
    </w:p>
    <w:p w:rsidR="003D0594" w:rsidRPr="00BB3B34" w:rsidRDefault="003D0594" w:rsidP="006C257F">
      <w:pPr>
        <w:pStyle w:val="TableFooter"/>
        <w:rPr>
          <w:rFonts w:eastAsiaTheme="minorHAnsi" w:cstheme="minorBidi"/>
        </w:rPr>
      </w:pPr>
      <w:proofErr w:type="gramStart"/>
      <w:r w:rsidRPr="00BB3B34">
        <w:rPr>
          <w:rFonts w:eastAsiaTheme="minorHAnsi" w:cstheme="minorBidi"/>
          <w:vertAlign w:val="superscript"/>
        </w:rPr>
        <w:t>b</w:t>
      </w:r>
      <w:proofErr w:type="gramEnd"/>
      <w:r w:rsidRPr="00BB3B34">
        <w:rPr>
          <w:rFonts w:eastAsiaTheme="minorHAnsi" w:cstheme="minorBidi"/>
        </w:rPr>
        <w:t xml:space="preserve"> Based on 1.45 administrations per month for Q3W dosing and 1.09 </w:t>
      </w:r>
      <w:r w:rsidR="00FD6C87" w:rsidRPr="00BB3B34">
        <w:rPr>
          <w:rFonts w:eastAsiaTheme="minorHAnsi" w:cstheme="minorBidi"/>
        </w:rPr>
        <w:t xml:space="preserve">for Q4W dosing </w:t>
      </w:r>
    </w:p>
    <w:p w:rsidR="001B4281" w:rsidRPr="00BB3B34" w:rsidRDefault="008834DD" w:rsidP="006C257F">
      <w:pPr>
        <w:pStyle w:val="TableFooter"/>
        <w:rPr>
          <w:rFonts w:eastAsiaTheme="minorHAnsi" w:cstheme="minorBidi"/>
        </w:rPr>
      </w:pPr>
      <w:r w:rsidRPr="00BB3B34">
        <w:rPr>
          <w:rFonts w:eastAsiaTheme="minorHAnsi" w:cstheme="minorBidi"/>
          <w:vertAlign w:val="superscript"/>
        </w:rPr>
        <w:t>c</w:t>
      </w:r>
      <w:r w:rsidR="001B4281" w:rsidRPr="00BB3B34">
        <w:rPr>
          <w:rFonts w:eastAsiaTheme="minorHAnsi" w:cstheme="minorBidi"/>
          <w:vertAlign w:val="superscript"/>
        </w:rPr>
        <w:t xml:space="preserve"> </w:t>
      </w:r>
      <w:r w:rsidR="008847F6" w:rsidRPr="00BB3B34">
        <w:rPr>
          <w:rFonts w:eastAsiaTheme="minorHAnsi" w:cstheme="minorBidi"/>
          <w:vertAlign w:val="superscript"/>
        </w:rPr>
        <w:t xml:space="preserve"> </w:t>
      </w:r>
      <w:r w:rsidR="000F7B9A" w:rsidRPr="00BB3B34">
        <w:rPr>
          <w:rFonts w:eastAsiaTheme="minorHAnsi" w:cstheme="minorBidi"/>
        </w:rPr>
        <w:t>T</w:t>
      </w:r>
      <w:r w:rsidR="008847F6" w:rsidRPr="00BB3B34">
        <w:rPr>
          <w:rFonts w:eastAsiaTheme="minorHAnsi" w:cstheme="minorBidi"/>
        </w:rPr>
        <w:t xml:space="preserve">he weightings </w:t>
      </w:r>
      <w:r w:rsidR="001B4281" w:rsidRPr="00BB3B34">
        <w:rPr>
          <w:rFonts w:eastAsiaTheme="minorHAnsi" w:cstheme="minorBidi"/>
        </w:rPr>
        <w:t>across public</w:t>
      </w:r>
      <w:r w:rsidR="0082335E" w:rsidRPr="00BB3B34">
        <w:rPr>
          <w:rFonts w:eastAsiaTheme="minorHAnsi" w:cstheme="minorBidi"/>
        </w:rPr>
        <w:t xml:space="preserve"> (34.3</w:t>
      </w:r>
      <w:r w:rsidR="00F959C2" w:rsidRPr="00BB3B34">
        <w:rPr>
          <w:rFonts w:eastAsiaTheme="minorHAnsi" w:cstheme="minorBidi"/>
        </w:rPr>
        <w:t>%)</w:t>
      </w:r>
      <w:r w:rsidR="0082335E" w:rsidRPr="00BB3B34">
        <w:rPr>
          <w:rFonts w:eastAsiaTheme="minorHAnsi" w:cstheme="minorBidi"/>
        </w:rPr>
        <w:t xml:space="preserve"> and private (65.7%)</w:t>
      </w:r>
      <w:r w:rsidR="001B4281" w:rsidRPr="00BB3B34">
        <w:rPr>
          <w:rFonts w:eastAsiaTheme="minorHAnsi" w:cstheme="minorBidi"/>
        </w:rPr>
        <w:t xml:space="preserve"> hos</w:t>
      </w:r>
      <w:r w:rsidR="009E59E8" w:rsidRPr="00BB3B34">
        <w:rPr>
          <w:rFonts w:eastAsiaTheme="minorHAnsi" w:cstheme="minorBidi"/>
        </w:rPr>
        <w:t>pital</w:t>
      </w:r>
      <w:r w:rsidR="00DA4575" w:rsidRPr="00BB3B34">
        <w:rPr>
          <w:rFonts w:eastAsiaTheme="minorHAnsi" w:cstheme="minorBidi"/>
        </w:rPr>
        <w:t xml:space="preserve"> settings</w:t>
      </w:r>
      <w:r w:rsidR="009E59E8" w:rsidRPr="00BB3B34">
        <w:rPr>
          <w:rFonts w:eastAsiaTheme="minorHAnsi" w:cstheme="minorBidi"/>
        </w:rPr>
        <w:t xml:space="preserve"> </w:t>
      </w:r>
      <w:r w:rsidR="000F7B9A" w:rsidRPr="00BB3B34">
        <w:rPr>
          <w:rFonts w:eastAsiaTheme="minorHAnsi" w:cstheme="minorBidi"/>
        </w:rPr>
        <w:t>w</w:t>
      </w:r>
      <w:r w:rsidR="0082335E" w:rsidRPr="00BB3B34">
        <w:rPr>
          <w:rFonts w:eastAsiaTheme="minorHAnsi" w:cstheme="minorBidi"/>
        </w:rPr>
        <w:t>ere derived from</w:t>
      </w:r>
      <w:r w:rsidR="00D547F9" w:rsidRPr="00BB3B34">
        <w:rPr>
          <w:rFonts w:eastAsiaTheme="minorHAnsi" w:cstheme="minorBidi"/>
        </w:rPr>
        <w:t xml:space="preserve"> the 2018 calendar year</w:t>
      </w:r>
      <w:r w:rsidR="0082335E" w:rsidRPr="00BB3B34">
        <w:rPr>
          <w:rFonts w:eastAsiaTheme="minorHAnsi" w:cstheme="minorBidi"/>
        </w:rPr>
        <w:t xml:space="preserve"> PBS utilisation data for nivolumab (</w:t>
      </w:r>
      <w:r w:rsidR="0082335E" w:rsidRPr="00BB3B34">
        <w:t>11284X, 11277M, 11309F, 11297N</w:t>
      </w:r>
      <w:r w:rsidR="0082335E" w:rsidRPr="00BB3B34">
        <w:rPr>
          <w:rFonts w:eastAsiaTheme="minorHAnsi" w:cstheme="minorBidi"/>
        </w:rPr>
        <w:t>) and atezolizumab (</w:t>
      </w:r>
      <w:r w:rsidR="0082335E" w:rsidRPr="00BB3B34">
        <w:t xml:space="preserve">11153B, 11158G, 11143L,11152Y) in 2L NSCLC as a proxy for 1L </w:t>
      </w:r>
      <w:r w:rsidR="0082335E" w:rsidRPr="00BB3B34">
        <w:lastRenderedPageBreak/>
        <w:t>ES-SCLC</w:t>
      </w:r>
      <w:r w:rsidR="00D547F9" w:rsidRPr="00BB3B34">
        <w:rPr>
          <w:rFonts w:eastAsiaTheme="minorHAnsi" w:cstheme="minorBidi"/>
        </w:rPr>
        <w:t xml:space="preserve">. </w:t>
      </w:r>
    </w:p>
    <w:p w:rsidR="001B4281" w:rsidRPr="00BB3B34" w:rsidRDefault="008834DD" w:rsidP="006C257F">
      <w:pPr>
        <w:pStyle w:val="TableFooter"/>
        <w:rPr>
          <w:rFonts w:eastAsiaTheme="minorHAnsi" w:cstheme="minorBidi"/>
        </w:rPr>
      </w:pPr>
      <w:proofErr w:type="gramStart"/>
      <w:r w:rsidRPr="00BB3B34">
        <w:rPr>
          <w:rFonts w:eastAsiaTheme="minorHAnsi" w:cstheme="minorBidi"/>
          <w:vertAlign w:val="superscript"/>
        </w:rPr>
        <w:t>d</w:t>
      </w:r>
      <w:r w:rsidR="001B4281" w:rsidRPr="00BB3B34">
        <w:rPr>
          <w:rFonts w:eastAsiaTheme="minorHAnsi" w:cstheme="minorBidi"/>
          <w:vertAlign w:val="superscript"/>
        </w:rPr>
        <w:t xml:space="preserve"> </w:t>
      </w:r>
      <w:r w:rsidR="000F7B9A" w:rsidRPr="00BB3B34">
        <w:t>DPMA was calculated</w:t>
      </w:r>
      <w:r w:rsidR="004921EA" w:rsidRPr="00BB3B34">
        <w:t xml:space="preserve"> using EEMP and </w:t>
      </w:r>
      <w:r w:rsidR="000F7B9A" w:rsidRPr="00BB3B34">
        <w:t>applicable fees and mark-ups under the Efficient Funding of Chemotherapy (EFC) initiative in the public and private hospital settings, which included the preparation fee ($85.06) in the public and private settings, and the ready prepared dispensing fee ($7.39)</w:t>
      </w:r>
      <w:r w:rsidR="00CF0EAE" w:rsidRPr="00BB3B34">
        <w:t xml:space="preserve">, distribution fee ($27.02), </w:t>
      </w:r>
      <w:r w:rsidR="000F7B9A" w:rsidRPr="00BB3B34">
        <w:t>diluent fee ($5.35)</w:t>
      </w:r>
      <w:r w:rsidR="00CF0EAE" w:rsidRPr="00BB3B34">
        <w:t xml:space="preserve"> and mark ups at 1.4% of the drug cost</w:t>
      </w:r>
      <w:r w:rsidR="00B92C54" w:rsidRPr="00BB3B34">
        <w:t xml:space="preserve"> </w:t>
      </w:r>
      <w:r w:rsidR="000F7B9A" w:rsidRPr="00BB3B34">
        <w:t>in the private hospital setting only</w:t>
      </w:r>
      <w:r w:rsidR="00386B04" w:rsidRPr="00BB3B34">
        <w:t>.</w:t>
      </w:r>
      <w:proofErr w:type="gramEnd"/>
    </w:p>
    <w:p w:rsidR="009E51AA" w:rsidRPr="00BB3B34" w:rsidRDefault="00AD133D" w:rsidP="006C257F">
      <w:pPr>
        <w:pStyle w:val="TableFooter"/>
        <w:rPr>
          <w:rFonts w:eastAsiaTheme="minorHAnsi" w:cstheme="minorBidi"/>
        </w:rPr>
      </w:pPr>
      <w:proofErr w:type="gramStart"/>
      <w:r w:rsidRPr="00BB3B34">
        <w:rPr>
          <w:rFonts w:eastAsiaTheme="minorHAnsi" w:cstheme="minorBidi"/>
          <w:vertAlign w:val="superscript"/>
        </w:rPr>
        <w:t>e</w:t>
      </w:r>
      <w:proofErr w:type="gramEnd"/>
      <w:r w:rsidRPr="00BB3B34">
        <w:rPr>
          <w:rFonts w:eastAsiaTheme="minorHAnsi" w:cstheme="minorBidi"/>
        </w:rPr>
        <w:t xml:space="preserve"> </w:t>
      </w:r>
      <w:r w:rsidR="000F7B9A" w:rsidRPr="00BB3B34">
        <w:rPr>
          <w:rFonts w:eastAsiaTheme="minorHAnsi" w:cstheme="minorBidi"/>
        </w:rPr>
        <w:t>Administration/infusion costs based on MBS item 13915</w:t>
      </w:r>
    </w:p>
    <w:p w:rsidR="007968F6" w:rsidRPr="00BB3B34" w:rsidRDefault="007968F6" w:rsidP="0027321F">
      <w:pPr>
        <w:pStyle w:val="Bodytextitalics"/>
        <w:numPr>
          <w:ilvl w:val="1"/>
          <w:numId w:val="1"/>
        </w:numPr>
        <w:spacing w:before="120"/>
        <w:jc w:val="both"/>
        <w:rPr>
          <w:rFonts w:cstheme="minorHAnsi"/>
          <w:i w:val="0"/>
          <w:szCs w:val="24"/>
        </w:rPr>
      </w:pPr>
      <w:r w:rsidRPr="00BB3B34">
        <w:rPr>
          <w:rFonts w:cstheme="minorHAnsi"/>
          <w:i w:val="0"/>
          <w:iCs/>
          <w:szCs w:val="24"/>
        </w:rPr>
        <w:t>The CMA was calculated on a cost per month basis using the weighted effective DPMA, however, the Secretariat noted that pricing agreements be made under the </w:t>
      </w:r>
      <w:r w:rsidRPr="00BB3B34">
        <w:rPr>
          <w:rFonts w:cstheme="minorHAnsi"/>
          <w:szCs w:val="24"/>
        </w:rPr>
        <w:t>National Health Act 1953</w:t>
      </w:r>
      <w:r w:rsidRPr="00BB3B34">
        <w:rPr>
          <w:rFonts w:cstheme="minorHAnsi"/>
          <w:i w:val="0"/>
          <w:iCs/>
          <w:szCs w:val="24"/>
        </w:rPr>
        <w:t xml:space="preserve"> at the ex-manufacturer level. Therefore, the Secretariat has presented the alternative CMA calculated at the ex-manufacturer level in </w:t>
      </w:r>
      <w:r w:rsidR="006653DB" w:rsidRPr="00BB3B34">
        <w:rPr>
          <w:rFonts w:cstheme="minorHAnsi"/>
          <w:i w:val="0"/>
          <w:iCs/>
          <w:szCs w:val="24"/>
        </w:rPr>
        <w:t>Table 2</w:t>
      </w:r>
      <w:r w:rsidRPr="00BB3B34">
        <w:rPr>
          <w:rFonts w:cstheme="minorHAnsi"/>
          <w:i w:val="0"/>
          <w:szCs w:val="24"/>
        </w:rPr>
        <w:t>.</w:t>
      </w:r>
    </w:p>
    <w:p w:rsidR="00A35721" w:rsidRPr="00BB3B34" w:rsidRDefault="00891EA1" w:rsidP="00BB54BD">
      <w:pPr>
        <w:pStyle w:val="Bodytextitalics"/>
        <w:numPr>
          <w:ilvl w:val="1"/>
          <w:numId w:val="1"/>
        </w:numPr>
        <w:spacing w:before="120"/>
        <w:jc w:val="both"/>
        <w:rPr>
          <w:rFonts w:cstheme="minorHAnsi"/>
          <w:i w:val="0"/>
          <w:szCs w:val="24"/>
        </w:rPr>
      </w:pPr>
      <w:proofErr w:type="gramStart"/>
      <w:r w:rsidRPr="00BB3B34">
        <w:rPr>
          <w:i w:val="0"/>
          <w:iCs/>
        </w:rPr>
        <w:t xml:space="preserve">The pre-PBAC response </w:t>
      </w:r>
      <w:r w:rsidR="0035101A" w:rsidRPr="00BB3B34">
        <w:rPr>
          <w:i w:val="0"/>
          <w:iCs/>
        </w:rPr>
        <w:t xml:space="preserve">indicated </w:t>
      </w:r>
      <w:r w:rsidRPr="00BB3B34">
        <w:rPr>
          <w:i w:val="0"/>
          <w:iCs/>
        </w:rPr>
        <w:t xml:space="preserve">that </w:t>
      </w:r>
      <w:r w:rsidR="00395097" w:rsidRPr="00BB3B34">
        <w:rPr>
          <w:i w:val="0"/>
          <w:iCs/>
        </w:rPr>
        <w:t xml:space="preserve">the alternative </w:t>
      </w:r>
      <w:r w:rsidR="002F0512" w:rsidRPr="00BB3B34">
        <w:rPr>
          <w:i w:val="0"/>
          <w:iCs/>
        </w:rPr>
        <w:t>cost-</w:t>
      </w:r>
      <w:r w:rsidR="00395097" w:rsidRPr="00BB3B34">
        <w:rPr>
          <w:i w:val="0"/>
          <w:iCs/>
        </w:rPr>
        <w:t xml:space="preserve">minimised price </w:t>
      </w:r>
      <w:r w:rsidR="002F0512" w:rsidRPr="00BB3B34">
        <w:rPr>
          <w:i w:val="0"/>
          <w:iCs/>
        </w:rPr>
        <w:t>of a</w:t>
      </w:r>
      <w:r w:rsidR="006A7B03" w:rsidRPr="00BB3B34">
        <w:rPr>
          <w:i w:val="0"/>
          <w:iCs/>
        </w:rPr>
        <w:t xml:space="preserve"> 840 mg vial </w:t>
      </w:r>
      <w:r w:rsidR="00395097" w:rsidRPr="00BB3B34">
        <w:rPr>
          <w:i w:val="0"/>
          <w:iCs/>
        </w:rPr>
        <w:t>calculated</w:t>
      </w:r>
      <w:r w:rsidR="0035101A" w:rsidRPr="00BB3B34">
        <w:rPr>
          <w:i w:val="0"/>
          <w:iCs/>
        </w:rPr>
        <w:t xml:space="preserve"> by the Secretariat</w:t>
      </w:r>
      <w:r w:rsidR="002F0512" w:rsidRPr="00BB3B34">
        <w:rPr>
          <w:i w:val="0"/>
          <w:iCs/>
        </w:rPr>
        <w:t>,</w:t>
      </w:r>
      <w:r w:rsidR="00395097" w:rsidRPr="00BB3B34">
        <w:rPr>
          <w:i w:val="0"/>
          <w:iCs/>
        </w:rPr>
        <w:t xml:space="preserve"> </w:t>
      </w:r>
      <w:r w:rsidR="002F0512" w:rsidRPr="00BB3B34">
        <w:rPr>
          <w:i w:val="0"/>
          <w:iCs/>
        </w:rPr>
        <w:t xml:space="preserve">using the EEMP </w:t>
      </w:r>
      <w:r w:rsidR="006A7B03" w:rsidRPr="00BB3B34">
        <w:rPr>
          <w:i w:val="0"/>
          <w:iCs/>
        </w:rPr>
        <w:t>of</w:t>
      </w:r>
      <w:r w:rsidR="002F0512" w:rsidRPr="00BB3B34">
        <w:rPr>
          <w:i w:val="0"/>
          <w:iCs/>
        </w:rPr>
        <w:t xml:space="preserve"> a</w:t>
      </w:r>
      <w:r w:rsidR="006A7B03" w:rsidRPr="00BB3B34">
        <w:rPr>
          <w:i w:val="0"/>
          <w:iCs/>
        </w:rPr>
        <w:t xml:space="preserve"> 1200 mg vial</w:t>
      </w:r>
      <w:r w:rsidRPr="00BB3B34">
        <w:rPr>
          <w:i w:val="0"/>
          <w:iCs/>
        </w:rPr>
        <w:t xml:space="preserve"> and the </w:t>
      </w:r>
      <w:r w:rsidR="00617AF9" w:rsidRPr="00BB3B34">
        <w:rPr>
          <w:i w:val="0"/>
          <w:iCs/>
        </w:rPr>
        <w:t>MBS administration fee at 85% of the item cost</w:t>
      </w:r>
      <w:r w:rsidR="002F0512" w:rsidRPr="00BB3B34">
        <w:rPr>
          <w:i w:val="0"/>
          <w:iCs/>
        </w:rPr>
        <w:t>,</w:t>
      </w:r>
      <w:r w:rsidR="00617AF9" w:rsidRPr="00BB3B34">
        <w:rPr>
          <w:i w:val="0"/>
          <w:iCs/>
        </w:rPr>
        <w:t xml:space="preserve"> </w:t>
      </w:r>
      <w:r w:rsidR="000D77A9" w:rsidRPr="00BB3B34">
        <w:rPr>
          <w:i w:val="0"/>
          <w:iCs/>
        </w:rPr>
        <w:t xml:space="preserve">was </w:t>
      </w:r>
      <w:r w:rsidR="00617AF9" w:rsidRPr="00BB3B34">
        <w:rPr>
          <w:i w:val="0"/>
          <w:iCs/>
        </w:rPr>
        <w:t xml:space="preserve">not </w:t>
      </w:r>
      <w:r w:rsidR="006A7B03" w:rsidRPr="00BB3B34">
        <w:rPr>
          <w:i w:val="0"/>
          <w:iCs/>
        </w:rPr>
        <w:t xml:space="preserve">consistent </w:t>
      </w:r>
      <w:r w:rsidR="00617AF9" w:rsidRPr="00BB3B34">
        <w:rPr>
          <w:i w:val="0"/>
          <w:iCs/>
        </w:rPr>
        <w:t xml:space="preserve">with </w:t>
      </w:r>
      <w:r w:rsidR="0035101A" w:rsidRPr="00BB3B34">
        <w:rPr>
          <w:i w:val="0"/>
          <w:iCs/>
        </w:rPr>
        <w:t xml:space="preserve">the </w:t>
      </w:r>
      <w:r w:rsidR="00617AF9" w:rsidRPr="00BB3B34">
        <w:rPr>
          <w:i w:val="0"/>
          <w:iCs/>
        </w:rPr>
        <w:t>PBAC recommended methodology for economic evaluations</w:t>
      </w:r>
      <w:r w:rsidR="006A7B03" w:rsidRPr="00BB3B34">
        <w:rPr>
          <w:i w:val="0"/>
          <w:iCs/>
        </w:rPr>
        <w:t xml:space="preserve"> </w:t>
      </w:r>
      <w:r w:rsidR="00BA5F25" w:rsidRPr="00BB3B34">
        <w:rPr>
          <w:i w:val="0"/>
          <w:iCs/>
        </w:rPr>
        <w:t>set out in</w:t>
      </w:r>
      <w:r w:rsidR="00617AF9" w:rsidRPr="00BB3B34">
        <w:rPr>
          <w:i w:val="0"/>
          <w:iCs/>
        </w:rPr>
        <w:t xml:space="preserve"> the Manual of resource items and their associated unit costs</w:t>
      </w:r>
      <w:r w:rsidR="003F5DF5" w:rsidRPr="00BB3B34">
        <w:rPr>
          <w:i w:val="0"/>
          <w:iCs/>
        </w:rPr>
        <w:t xml:space="preserve"> (version 5.0)</w:t>
      </w:r>
      <w:r w:rsidR="00ED3338" w:rsidRPr="00BB3B34">
        <w:rPr>
          <w:iCs/>
        </w:rPr>
        <w:t>.</w:t>
      </w:r>
      <w:proofErr w:type="gramEnd"/>
      <w:r w:rsidR="00ED3338" w:rsidRPr="00BB3B34">
        <w:rPr>
          <w:iCs/>
        </w:rPr>
        <w:t xml:space="preserve"> </w:t>
      </w:r>
      <w:proofErr w:type="gramStart"/>
      <w:r w:rsidR="00ED3338" w:rsidRPr="00BB3B34">
        <w:rPr>
          <w:i w:val="0"/>
        </w:rPr>
        <w:t>The pre-PBAC response argued that</w:t>
      </w:r>
      <w:r w:rsidR="003F5DF5" w:rsidRPr="00BB3B34">
        <w:rPr>
          <w:i w:val="0"/>
        </w:rPr>
        <w:t xml:space="preserve"> </w:t>
      </w:r>
      <w:r w:rsidR="00010BE3" w:rsidRPr="00BB3B34">
        <w:rPr>
          <w:i w:val="0"/>
        </w:rPr>
        <w:t>the PBAC’</w:t>
      </w:r>
      <w:r w:rsidR="00ED3338" w:rsidRPr="00BB3B34">
        <w:rPr>
          <w:i w:val="0"/>
        </w:rPr>
        <w:t>s preferred approach,</w:t>
      </w:r>
      <w:r w:rsidR="000D77A9" w:rsidRPr="00BB3B34">
        <w:rPr>
          <w:i w:val="0"/>
        </w:rPr>
        <w:t xml:space="preserve"> in accordance with </w:t>
      </w:r>
      <w:r w:rsidR="00C02364" w:rsidRPr="00BB3B34">
        <w:rPr>
          <w:i w:val="0"/>
        </w:rPr>
        <w:t>this</w:t>
      </w:r>
      <w:r w:rsidR="00ED3338" w:rsidRPr="00BB3B34">
        <w:rPr>
          <w:i w:val="0"/>
        </w:rPr>
        <w:t xml:space="preserve"> Manual, </w:t>
      </w:r>
      <w:r w:rsidR="00010BE3" w:rsidRPr="00BB3B34">
        <w:rPr>
          <w:i w:val="0"/>
        </w:rPr>
        <w:t xml:space="preserve">is to </w:t>
      </w:r>
      <w:r w:rsidR="0046346F" w:rsidRPr="00BB3B34">
        <w:rPr>
          <w:iCs/>
        </w:rPr>
        <w:t>‘</w:t>
      </w:r>
      <w:r w:rsidR="00732265" w:rsidRPr="00BB3B34">
        <w:rPr>
          <w:rFonts w:cstheme="minorHAnsi"/>
        </w:rPr>
        <w:t>use the relevant MBS Schedule Fee for administering the medicine or preparation</w:t>
      </w:r>
      <w:r w:rsidR="0046346F" w:rsidRPr="00BB3B34">
        <w:rPr>
          <w:rFonts w:cstheme="minorHAnsi"/>
          <w:iCs/>
        </w:rPr>
        <w:t>’</w:t>
      </w:r>
      <w:r w:rsidR="00B50400" w:rsidRPr="00BB3B34">
        <w:rPr>
          <w:rFonts w:cstheme="minorHAnsi"/>
          <w:iCs/>
        </w:rPr>
        <w:t xml:space="preserve"> </w:t>
      </w:r>
      <w:r w:rsidR="00B50400" w:rsidRPr="00BB3B34">
        <w:rPr>
          <w:rFonts w:cstheme="minorHAnsi"/>
          <w:i w:val="0"/>
        </w:rPr>
        <w:t>without explicit reference to</w:t>
      </w:r>
      <w:r w:rsidR="00732265" w:rsidRPr="00BB3B34">
        <w:rPr>
          <w:rFonts w:cstheme="minorHAnsi"/>
          <w:i w:val="0"/>
        </w:rPr>
        <w:t xml:space="preserve"> </w:t>
      </w:r>
      <w:r w:rsidR="0046346F" w:rsidRPr="00BB3B34">
        <w:rPr>
          <w:rFonts w:cstheme="minorHAnsi"/>
          <w:i w:val="0"/>
        </w:rPr>
        <w:t>rebate amount</w:t>
      </w:r>
      <w:r w:rsidR="0046346F" w:rsidRPr="00BB3B34">
        <w:rPr>
          <w:rFonts w:cstheme="minorHAnsi"/>
          <w:iCs/>
        </w:rPr>
        <w:t xml:space="preserve">, </w:t>
      </w:r>
      <w:r w:rsidR="00617AF9" w:rsidRPr="00BB3B34">
        <w:rPr>
          <w:i w:val="0"/>
          <w:iCs/>
        </w:rPr>
        <w:t>and</w:t>
      </w:r>
      <w:r w:rsidR="00617AF9" w:rsidRPr="00BB3B34">
        <w:rPr>
          <w:iCs/>
        </w:rPr>
        <w:t xml:space="preserve"> </w:t>
      </w:r>
      <w:r w:rsidR="0046346F" w:rsidRPr="00BB3B34">
        <w:rPr>
          <w:iCs/>
        </w:rPr>
        <w:t>‘</w:t>
      </w:r>
      <w:r w:rsidR="0046346F" w:rsidRPr="00BB3B34">
        <w:rPr>
          <w:iCs/>
          <w:szCs w:val="24"/>
        </w:rPr>
        <w:t>the</w:t>
      </w:r>
      <w:r w:rsidR="00E72F65" w:rsidRPr="00BB3B34">
        <w:rPr>
          <w:iCs/>
          <w:szCs w:val="24"/>
        </w:rPr>
        <w:t xml:space="preserve"> </w:t>
      </w:r>
      <w:r w:rsidR="00617AF9" w:rsidRPr="00BB3B34">
        <w:rPr>
          <w:iCs/>
          <w:szCs w:val="24"/>
        </w:rPr>
        <w:t xml:space="preserve">price applied to the proposed medicine </w:t>
      </w:r>
      <w:r w:rsidR="0046346F" w:rsidRPr="00BB3B34">
        <w:rPr>
          <w:iCs/>
          <w:szCs w:val="24"/>
        </w:rPr>
        <w:t xml:space="preserve">is the equivalent of the </w:t>
      </w:r>
      <w:r w:rsidR="00617AF9" w:rsidRPr="00BB3B34">
        <w:rPr>
          <w:iCs/>
          <w:szCs w:val="24"/>
        </w:rPr>
        <w:t>DPM</w:t>
      </w:r>
      <w:r w:rsidR="0046346F" w:rsidRPr="00BB3B34">
        <w:rPr>
          <w:iCs/>
          <w:szCs w:val="24"/>
        </w:rPr>
        <w:t>A</w:t>
      </w:r>
      <w:r w:rsidR="00617AF9" w:rsidRPr="00BB3B34">
        <w:rPr>
          <w:rFonts w:ascii="Times New Roman" w:eastAsia="Times New Roman" w:hAnsi="Times New Roman" w:cs="Times New Roman"/>
          <w:iCs/>
          <w:szCs w:val="24"/>
        </w:rPr>
        <w:t xml:space="preserve"> </w:t>
      </w:r>
      <w:r w:rsidR="0046346F" w:rsidRPr="00BB3B34">
        <w:rPr>
          <w:iCs/>
          <w:szCs w:val="24"/>
        </w:rPr>
        <w:t>for the amount suitable for the average patient receiving the therapy</w:t>
      </w:r>
      <w:r w:rsidR="0046346F" w:rsidRPr="00BB3B34">
        <w:rPr>
          <w:i w:val="0"/>
          <w:iCs/>
        </w:rPr>
        <w:t>’</w:t>
      </w:r>
      <w:r w:rsidR="0046346F" w:rsidRPr="00BB3B34">
        <w:rPr>
          <w:i w:val="0"/>
          <w:sz w:val="22"/>
        </w:rPr>
        <w:t xml:space="preserve"> </w:t>
      </w:r>
      <w:r w:rsidR="00617AF9" w:rsidRPr="00BB3B34">
        <w:rPr>
          <w:i w:val="0"/>
        </w:rPr>
        <w:t xml:space="preserve">when a Section </w:t>
      </w:r>
      <w:r w:rsidR="00EB6838" w:rsidRPr="00BB3B34">
        <w:rPr>
          <w:i w:val="0"/>
        </w:rPr>
        <w:t>100 EFC (Efficient Funding of Chemotherapy)</w:t>
      </w:r>
      <w:r w:rsidR="0046346F" w:rsidRPr="00BB3B34">
        <w:rPr>
          <w:i w:val="0"/>
        </w:rPr>
        <w:t xml:space="preserve"> listing </w:t>
      </w:r>
      <w:r w:rsidR="00617AF9" w:rsidRPr="00BB3B34">
        <w:rPr>
          <w:i w:val="0"/>
        </w:rPr>
        <w:t>is being sought</w:t>
      </w:r>
      <w:r w:rsidR="00617AF9" w:rsidRPr="00BB3B34">
        <w:t>.</w:t>
      </w:r>
      <w:proofErr w:type="gramEnd"/>
      <w:r w:rsidR="00617AF9" w:rsidRPr="00BB3B34">
        <w:rPr>
          <w:iCs/>
        </w:rPr>
        <w:t xml:space="preserve"> </w:t>
      </w:r>
      <w:r w:rsidR="00BF3329" w:rsidRPr="00BB3B34">
        <w:rPr>
          <w:i w:val="0"/>
        </w:rPr>
        <w:t>The Secretariat noted that the guidance in the Manual of resource items and their associated unit costs is in the context of costs applied to economic models, which differs from the basis upon which pric</w:t>
      </w:r>
      <w:r w:rsidR="00BB54BD" w:rsidRPr="00BB3B34">
        <w:rPr>
          <w:i w:val="0"/>
        </w:rPr>
        <w:t xml:space="preserve">es for PBS listings </w:t>
      </w:r>
      <w:proofErr w:type="gramStart"/>
      <w:r w:rsidR="00BB54BD" w:rsidRPr="00BB3B34">
        <w:rPr>
          <w:i w:val="0"/>
        </w:rPr>
        <w:t>are agreed</w:t>
      </w:r>
      <w:proofErr w:type="gramEnd"/>
      <w:r w:rsidR="00BB54BD" w:rsidRPr="00BB3B34">
        <w:rPr>
          <w:i w:val="0"/>
        </w:rPr>
        <w:t xml:space="preserve"> </w:t>
      </w:r>
      <w:r w:rsidR="00BF3329" w:rsidRPr="00BB3B34">
        <w:rPr>
          <w:i w:val="0"/>
        </w:rPr>
        <w:t xml:space="preserve">under the </w:t>
      </w:r>
      <w:r w:rsidR="00BF3329" w:rsidRPr="00BB3B34">
        <w:rPr>
          <w:iCs/>
        </w:rPr>
        <w:t>National Health Act 1953</w:t>
      </w:r>
      <w:r w:rsidR="00BB54BD" w:rsidRPr="00BB3B34">
        <w:rPr>
          <w:i w:val="0"/>
        </w:rPr>
        <w:t>.</w:t>
      </w:r>
      <w:r w:rsidR="00BF3329" w:rsidRPr="00BB3B34">
        <w:t xml:space="preserve"> </w:t>
      </w:r>
    </w:p>
    <w:p w:rsidR="00601CF1" w:rsidRPr="00734027" w:rsidRDefault="00061460" w:rsidP="003260C0">
      <w:pPr>
        <w:pStyle w:val="TableHeadingRow"/>
        <w:rPr>
          <w:rFonts w:ascii="Arial Narrow" w:hAnsi="Arial Narrow"/>
          <w:iCs/>
        </w:rPr>
      </w:pPr>
      <w:bookmarkStart w:id="2" w:name="_Ref22120265"/>
      <w:r w:rsidRPr="00734027">
        <w:rPr>
          <w:rFonts w:ascii="Arial Narrow" w:hAnsi="Arial Narrow"/>
          <w:iCs/>
        </w:rPr>
        <w:t xml:space="preserve">Table </w:t>
      </w:r>
      <w:r w:rsidR="006653DB" w:rsidRPr="00734027">
        <w:rPr>
          <w:rFonts w:ascii="Arial Narrow" w:hAnsi="Arial Narrow"/>
          <w:iCs/>
        </w:rPr>
        <w:t>2</w:t>
      </w:r>
      <w:bookmarkEnd w:id="2"/>
      <w:r w:rsidR="00601CF1" w:rsidRPr="00734027">
        <w:rPr>
          <w:rFonts w:ascii="Arial Narrow" w:hAnsi="Arial Narrow"/>
          <w:iCs/>
        </w:rPr>
        <w:t xml:space="preserve">: </w:t>
      </w:r>
      <w:r w:rsidR="00001F96" w:rsidRPr="00734027">
        <w:rPr>
          <w:rFonts w:ascii="Arial Narrow" w:hAnsi="Arial Narrow"/>
          <w:iCs/>
        </w:rPr>
        <w:t>A comparison of the costs per month using the effective ex-manufacturer price of atezolizumab</w:t>
      </w:r>
    </w:p>
    <w:tbl>
      <w:tblPr>
        <w:tblW w:w="495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2: A comparison of the costs per month using the effective ex-manufacturer price of atezolizumab"/>
      </w:tblPr>
      <w:tblGrid>
        <w:gridCol w:w="4106"/>
        <w:gridCol w:w="2410"/>
        <w:gridCol w:w="2410"/>
      </w:tblGrid>
      <w:tr w:rsidR="0024394F" w:rsidRPr="00BB3B34" w:rsidTr="00AF3D36">
        <w:trPr>
          <w:cantSplit/>
          <w:tblHeader/>
        </w:trPr>
        <w:tc>
          <w:tcPr>
            <w:tcW w:w="2300" w:type="pct"/>
            <w:tcBorders>
              <w:top w:val="single" w:sz="4" w:space="0" w:color="auto"/>
              <w:bottom w:val="single" w:sz="4" w:space="0" w:color="auto"/>
            </w:tcBorders>
          </w:tcPr>
          <w:p w:rsidR="00601CF1" w:rsidRPr="00BB3B34" w:rsidRDefault="00601CF1">
            <w:pPr>
              <w:pStyle w:val="TableText1"/>
              <w:keepNext/>
              <w:keepLines/>
              <w:rPr>
                <w:rFonts w:ascii="Arial Narrow" w:hAnsi="Arial Narrow"/>
              </w:rPr>
            </w:pPr>
          </w:p>
        </w:tc>
        <w:tc>
          <w:tcPr>
            <w:tcW w:w="1350" w:type="pct"/>
            <w:tcBorders>
              <w:top w:val="single" w:sz="4" w:space="0" w:color="auto"/>
              <w:bottom w:val="single" w:sz="4" w:space="0" w:color="auto"/>
            </w:tcBorders>
            <w:vAlign w:val="center"/>
          </w:tcPr>
          <w:p w:rsidR="00601CF1" w:rsidRPr="00BB3B34" w:rsidRDefault="00601CF1">
            <w:pPr>
              <w:pStyle w:val="TableText1"/>
              <w:keepNext/>
              <w:keepLines/>
              <w:jc w:val="center"/>
              <w:rPr>
                <w:rFonts w:ascii="Arial Narrow" w:hAnsi="Arial Narrow"/>
                <w:b/>
                <w:bCs w:val="0"/>
              </w:rPr>
            </w:pPr>
            <w:r w:rsidRPr="00BB3B34">
              <w:rPr>
                <w:rFonts w:ascii="Arial Narrow" w:hAnsi="Arial Narrow"/>
                <w:b/>
                <w:bCs w:val="0"/>
              </w:rPr>
              <w:t>1200 mg Q3W</w:t>
            </w:r>
          </w:p>
        </w:tc>
        <w:tc>
          <w:tcPr>
            <w:tcW w:w="1350" w:type="pct"/>
            <w:tcBorders>
              <w:top w:val="single" w:sz="4" w:space="0" w:color="auto"/>
              <w:bottom w:val="single" w:sz="4" w:space="0" w:color="auto"/>
            </w:tcBorders>
            <w:vAlign w:val="center"/>
          </w:tcPr>
          <w:p w:rsidR="00601CF1" w:rsidRPr="00BB3B34" w:rsidRDefault="00601CF1">
            <w:pPr>
              <w:pStyle w:val="TableText1"/>
              <w:keepNext/>
              <w:keepLines/>
              <w:jc w:val="center"/>
              <w:rPr>
                <w:rFonts w:ascii="Arial Narrow" w:hAnsi="Arial Narrow"/>
                <w:b/>
                <w:bCs w:val="0"/>
              </w:rPr>
            </w:pPr>
            <w:r w:rsidRPr="00BB3B34">
              <w:rPr>
                <w:rFonts w:ascii="Arial Narrow" w:hAnsi="Arial Narrow"/>
                <w:b/>
                <w:bCs w:val="0"/>
              </w:rPr>
              <w:t>1680 mg Q4W</w:t>
            </w:r>
          </w:p>
        </w:tc>
      </w:tr>
      <w:tr w:rsidR="0024394F" w:rsidRPr="00BB3B34" w:rsidTr="00AF3D36">
        <w:trPr>
          <w:cantSplit/>
          <w:tblHeader/>
        </w:trPr>
        <w:tc>
          <w:tcPr>
            <w:tcW w:w="2300" w:type="pct"/>
            <w:tcBorders>
              <w:top w:val="single" w:sz="4" w:space="0" w:color="auto"/>
              <w:bottom w:val="single" w:sz="4" w:space="0" w:color="auto"/>
            </w:tcBorders>
          </w:tcPr>
          <w:p w:rsidR="00601CF1" w:rsidRPr="00BB3B34" w:rsidRDefault="00601CF1">
            <w:pPr>
              <w:pStyle w:val="TableText1"/>
              <w:keepNext/>
              <w:keepLines/>
              <w:rPr>
                <w:rFonts w:ascii="Arial Narrow" w:hAnsi="Arial Narrow"/>
              </w:rPr>
            </w:pPr>
            <w:r w:rsidRPr="00BB3B34">
              <w:rPr>
                <w:rFonts w:ascii="Arial Narrow" w:hAnsi="Arial Narrow"/>
              </w:rPr>
              <w:t>EEMP per administration</w:t>
            </w:r>
          </w:p>
        </w:tc>
        <w:tc>
          <w:tcPr>
            <w:tcW w:w="1350" w:type="pct"/>
            <w:tcBorders>
              <w:top w:val="single" w:sz="4" w:space="0" w:color="auto"/>
              <w:bottom w:val="single" w:sz="4" w:space="0" w:color="auto"/>
            </w:tcBorders>
            <w:vAlign w:val="center"/>
          </w:tcPr>
          <w:p w:rsidR="00601CF1" w:rsidRPr="00CE0CAB" w:rsidRDefault="00305C22">
            <w:pPr>
              <w:pStyle w:val="TableText1"/>
              <w:keepNext/>
              <w:keepLines/>
              <w:jc w:val="center"/>
              <w:rPr>
                <w:rFonts w:ascii="Arial Narrow" w:hAnsi="Arial Narrow"/>
              </w:rPr>
            </w:pPr>
            <w:r w:rsidRPr="00F35B64">
              <w:rPr>
                <w:rFonts w:ascii="Arial Narrow" w:hAnsi="Arial Narrow"/>
                <w:color w:val="222222"/>
                <w:szCs w:val="24"/>
              </w:rPr>
              <w:t>$</w:t>
            </w:r>
            <w:r w:rsidR="00CE0CAB">
              <w:rPr>
                <w:rFonts w:ascii="Arial Narrow" w:hAnsi="Arial Narrow"/>
                <w:noProof/>
                <w:color w:val="000000"/>
                <w:szCs w:val="24"/>
                <w:highlight w:val="black"/>
              </w:rPr>
              <w:t>''''''''''''''''''''''</w:t>
            </w:r>
            <w:r w:rsidRPr="00F35B64">
              <w:rPr>
                <w:rFonts w:ascii="Arial Narrow" w:hAnsi="Arial Narrow"/>
                <w:color w:val="222222"/>
                <w:szCs w:val="24"/>
                <w:vertAlign w:val="superscript"/>
              </w:rPr>
              <w:t>a</w:t>
            </w:r>
          </w:p>
        </w:tc>
        <w:tc>
          <w:tcPr>
            <w:tcW w:w="1350" w:type="pct"/>
            <w:tcBorders>
              <w:top w:val="single" w:sz="4" w:space="0" w:color="auto"/>
              <w:bottom w:val="single" w:sz="4" w:space="0" w:color="auto"/>
            </w:tcBorders>
            <w:vAlign w:val="center"/>
          </w:tcPr>
          <w:p w:rsidR="00601CF1" w:rsidRPr="00CE0CAB" w:rsidRDefault="008E20DB">
            <w:pPr>
              <w:pStyle w:val="TableText1"/>
              <w:keepNext/>
              <w:keepLines/>
              <w:jc w:val="center"/>
              <w:rPr>
                <w:rFonts w:ascii="Arial Narrow" w:hAnsi="Arial Narrow"/>
                <w:iCs/>
              </w:rPr>
            </w:pPr>
            <w:r w:rsidRPr="00F35B64">
              <w:rPr>
                <w:rFonts w:ascii="Arial Narrow" w:hAnsi="Arial Narrow"/>
                <w:iCs/>
              </w:rPr>
              <w:t>$</w:t>
            </w:r>
            <w:r w:rsidR="00CE0CAB">
              <w:rPr>
                <w:rFonts w:ascii="Arial Narrow" w:hAnsi="Arial Narrow"/>
                <w:iCs/>
                <w:noProof/>
                <w:color w:val="000000"/>
                <w:highlight w:val="black"/>
              </w:rPr>
              <w:t>''''''''''''''''''''''</w:t>
            </w:r>
            <w:r w:rsidR="008E51DB" w:rsidRPr="00F35B64">
              <w:rPr>
                <w:rFonts w:ascii="Arial Narrow" w:hAnsi="Arial Narrow"/>
                <w:iCs/>
                <w:vertAlign w:val="superscript"/>
              </w:rPr>
              <w:t>b</w:t>
            </w:r>
          </w:p>
        </w:tc>
      </w:tr>
      <w:tr w:rsidR="0024394F" w:rsidRPr="00BB3B34" w:rsidTr="00AF3D36">
        <w:trPr>
          <w:cantSplit/>
          <w:tblHeader/>
        </w:trPr>
        <w:tc>
          <w:tcPr>
            <w:tcW w:w="2300" w:type="pct"/>
            <w:tcBorders>
              <w:top w:val="single" w:sz="4" w:space="0" w:color="auto"/>
              <w:bottom w:val="single" w:sz="4" w:space="0" w:color="auto"/>
            </w:tcBorders>
          </w:tcPr>
          <w:p w:rsidR="00601CF1" w:rsidRPr="00BB3B34" w:rsidRDefault="00601CF1">
            <w:pPr>
              <w:pStyle w:val="TableText1"/>
              <w:keepNext/>
              <w:keepLines/>
              <w:rPr>
                <w:rFonts w:ascii="Arial Narrow" w:hAnsi="Arial Narrow"/>
              </w:rPr>
            </w:pPr>
            <w:r w:rsidRPr="00BB3B34">
              <w:rPr>
                <w:rFonts w:ascii="Arial Narrow" w:hAnsi="Arial Narrow"/>
              </w:rPr>
              <w:t>EEMP per 4 weeks</w:t>
            </w:r>
          </w:p>
        </w:tc>
        <w:tc>
          <w:tcPr>
            <w:tcW w:w="1350" w:type="pct"/>
            <w:tcBorders>
              <w:top w:val="single" w:sz="4" w:space="0" w:color="auto"/>
              <w:bottom w:val="single" w:sz="4" w:space="0" w:color="auto"/>
            </w:tcBorders>
            <w:vAlign w:val="center"/>
          </w:tcPr>
          <w:p w:rsidR="00601CF1" w:rsidRPr="00CE0CAB" w:rsidRDefault="00DD363D">
            <w:pPr>
              <w:pStyle w:val="TableText1"/>
              <w:keepNext/>
              <w:keepLines/>
              <w:jc w:val="center"/>
              <w:rPr>
                <w:rFonts w:ascii="Arial Narrow" w:hAnsi="Arial Narrow"/>
              </w:rPr>
            </w:pPr>
            <w:r w:rsidRPr="00F35B64">
              <w:rPr>
                <w:rFonts w:ascii="Arial Narrow" w:hAnsi="Arial Narrow"/>
              </w:rPr>
              <w:t>$</w:t>
            </w:r>
            <w:r w:rsidR="00CE0CAB">
              <w:rPr>
                <w:rFonts w:ascii="Arial Narrow" w:hAnsi="Arial Narrow"/>
                <w:noProof/>
                <w:color w:val="000000"/>
                <w:highlight w:val="black"/>
              </w:rPr>
              <w:t>'''''''''''''''''''''''</w:t>
            </w:r>
          </w:p>
        </w:tc>
        <w:tc>
          <w:tcPr>
            <w:tcW w:w="1350" w:type="pct"/>
            <w:tcBorders>
              <w:top w:val="single" w:sz="4" w:space="0" w:color="auto"/>
              <w:bottom w:val="single" w:sz="4" w:space="0" w:color="auto"/>
            </w:tcBorders>
            <w:vAlign w:val="center"/>
          </w:tcPr>
          <w:p w:rsidR="00601CF1" w:rsidRPr="00CE0CAB" w:rsidRDefault="008E20DB">
            <w:pPr>
              <w:pStyle w:val="TableText1"/>
              <w:keepNext/>
              <w:keepLines/>
              <w:jc w:val="center"/>
              <w:rPr>
                <w:rFonts w:ascii="Arial Narrow" w:hAnsi="Arial Narrow"/>
                <w:iCs/>
              </w:rPr>
            </w:pPr>
            <w:r w:rsidRPr="00F35B64">
              <w:rPr>
                <w:rFonts w:ascii="Arial Narrow" w:hAnsi="Arial Narrow"/>
                <w:iCs/>
              </w:rPr>
              <w:t>$</w:t>
            </w:r>
            <w:r w:rsidR="00CE0CAB">
              <w:rPr>
                <w:rFonts w:ascii="Arial Narrow" w:hAnsi="Arial Narrow"/>
                <w:iCs/>
                <w:noProof/>
                <w:color w:val="000000"/>
                <w:highlight w:val="black"/>
              </w:rPr>
              <w:t>''''''''''''''''''''</w:t>
            </w:r>
          </w:p>
        </w:tc>
      </w:tr>
      <w:tr w:rsidR="00601CF1" w:rsidRPr="00BB3B34" w:rsidTr="00AF3D36">
        <w:trPr>
          <w:cantSplit/>
          <w:tblHeader/>
        </w:trPr>
        <w:tc>
          <w:tcPr>
            <w:tcW w:w="2300" w:type="pct"/>
            <w:tcBorders>
              <w:top w:val="single" w:sz="4" w:space="0" w:color="auto"/>
              <w:bottom w:val="single" w:sz="4" w:space="0" w:color="auto"/>
            </w:tcBorders>
          </w:tcPr>
          <w:p w:rsidR="00601CF1" w:rsidRPr="00BB3B34" w:rsidRDefault="00601CF1">
            <w:pPr>
              <w:pStyle w:val="TableText1"/>
              <w:keepNext/>
              <w:keepLines/>
              <w:rPr>
                <w:rFonts w:ascii="Arial Narrow" w:hAnsi="Arial Narrow"/>
              </w:rPr>
            </w:pPr>
            <w:r w:rsidRPr="00BB3B34">
              <w:rPr>
                <w:rFonts w:ascii="Arial Narrow" w:hAnsi="Arial Narrow"/>
              </w:rPr>
              <w:t>Cost of administration – 85% benefit (IV infusion)</w:t>
            </w:r>
            <w:r w:rsidR="008E51DB" w:rsidRPr="00BB3B34">
              <w:rPr>
                <w:rFonts w:ascii="Arial Narrow" w:hAnsi="Arial Narrow"/>
                <w:vertAlign w:val="superscript"/>
              </w:rPr>
              <w:t>c</w:t>
            </w:r>
          </w:p>
        </w:tc>
        <w:tc>
          <w:tcPr>
            <w:tcW w:w="2700" w:type="pct"/>
            <w:gridSpan w:val="2"/>
            <w:tcBorders>
              <w:top w:val="single" w:sz="4" w:space="0" w:color="auto"/>
              <w:bottom w:val="single" w:sz="4" w:space="0" w:color="auto"/>
            </w:tcBorders>
            <w:vAlign w:val="center"/>
          </w:tcPr>
          <w:p w:rsidR="00601CF1" w:rsidRPr="00BB3B34" w:rsidRDefault="00DD363D">
            <w:pPr>
              <w:pStyle w:val="TableText1"/>
              <w:keepNext/>
              <w:keepLines/>
              <w:jc w:val="center"/>
              <w:rPr>
                <w:rFonts w:ascii="Arial Narrow" w:hAnsi="Arial Narrow"/>
              </w:rPr>
            </w:pPr>
            <w:r w:rsidRPr="00BB3B34">
              <w:rPr>
                <w:rFonts w:ascii="Arial Narrow" w:hAnsi="Arial Narrow"/>
              </w:rPr>
              <w:t>$56.</w:t>
            </w:r>
            <w:r w:rsidR="008E20DB" w:rsidRPr="00BB3B34">
              <w:rPr>
                <w:rFonts w:ascii="Arial Narrow" w:hAnsi="Arial Narrow"/>
              </w:rPr>
              <w:t>20</w:t>
            </w:r>
          </w:p>
        </w:tc>
      </w:tr>
      <w:tr w:rsidR="0024394F" w:rsidRPr="00BB3B34" w:rsidTr="00AF3D36">
        <w:trPr>
          <w:cantSplit/>
          <w:tblHeader/>
        </w:trPr>
        <w:tc>
          <w:tcPr>
            <w:tcW w:w="2300" w:type="pct"/>
            <w:tcBorders>
              <w:top w:val="single" w:sz="4" w:space="0" w:color="auto"/>
              <w:bottom w:val="single" w:sz="4" w:space="0" w:color="auto"/>
            </w:tcBorders>
          </w:tcPr>
          <w:p w:rsidR="00601CF1" w:rsidRPr="00BB3B34" w:rsidRDefault="00601CF1">
            <w:pPr>
              <w:pStyle w:val="TableText1"/>
              <w:keepNext/>
              <w:keepLines/>
              <w:rPr>
                <w:rFonts w:ascii="Arial Narrow" w:hAnsi="Arial Narrow"/>
              </w:rPr>
            </w:pPr>
            <w:r w:rsidRPr="00BB3B34">
              <w:rPr>
                <w:rFonts w:ascii="Arial Narrow" w:hAnsi="Arial Narrow"/>
              </w:rPr>
              <w:t>Cost of administration per 4 weeks</w:t>
            </w:r>
          </w:p>
        </w:tc>
        <w:tc>
          <w:tcPr>
            <w:tcW w:w="1350" w:type="pct"/>
            <w:tcBorders>
              <w:top w:val="single" w:sz="4" w:space="0" w:color="auto"/>
              <w:bottom w:val="single" w:sz="4" w:space="0" w:color="auto"/>
            </w:tcBorders>
            <w:vAlign w:val="center"/>
          </w:tcPr>
          <w:p w:rsidR="00601CF1" w:rsidRPr="00CE0CAB" w:rsidRDefault="00DD363D">
            <w:pPr>
              <w:pStyle w:val="TableText1"/>
              <w:keepNext/>
              <w:keepLines/>
              <w:jc w:val="center"/>
              <w:rPr>
                <w:rFonts w:ascii="Arial Narrow" w:hAnsi="Arial Narrow"/>
                <w:iCs/>
              </w:rPr>
            </w:pPr>
            <w:r w:rsidRPr="00F35B64">
              <w:rPr>
                <w:rFonts w:ascii="Arial Narrow" w:hAnsi="Arial Narrow"/>
                <w:iCs/>
              </w:rPr>
              <w:t>$</w:t>
            </w:r>
            <w:r w:rsidRPr="003C50B8">
              <w:rPr>
                <w:rFonts w:ascii="Arial Narrow" w:hAnsi="Arial Narrow"/>
                <w:iCs/>
              </w:rPr>
              <w:t>74.9</w:t>
            </w:r>
            <w:r w:rsidR="008E20DB" w:rsidRPr="003C50B8">
              <w:rPr>
                <w:rFonts w:ascii="Arial Narrow" w:hAnsi="Arial Narrow"/>
                <w:iCs/>
              </w:rPr>
              <w:t>3</w:t>
            </w:r>
          </w:p>
        </w:tc>
        <w:tc>
          <w:tcPr>
            <w:tcW w:w="1350" w:type="pct"/>
            <w:tcBorders>
              <w:top w:val="single" w:sz="4" w:space="0" w:color="auto"/>
              <w:bottom w:val="single" w:sz="4" w:space="0" w:color="auto"/>
            </w:tcBorders>
            <w:vAlign w:val="center"/>
          </w:tcPr>
          <w:p w:rsidR="00601CF1" w:rsidRPr="00CE0CAB" w:rsidRDefault="00DD363D">
            <w:pPr>
              <w:pStyle w:val="TableText1"/>
              <w:keepNext/>
              <w:keepLines/>
              <w:jc w:val="center"/>
              <w:rPr>
                <w:rFonts w:ascii="Arial Narrow" w:hAnsi="Arial Narrow"/>
                <w:iCs/>
              </w:rPr>
            </w:pPr>
            <w:r w:rsidRPr="00F35B64">
              <w:rPr>
                <w:rFonts w:ascii="Arial Narrow" w:hAnsi="Arial Narrow"/>
                <w:iCs/>
              </w:rPr>
              <w:t>$</w:t>
            </w:r>
            <w:r w:rsidR="008E20DB" w:rsidRPr="003C50B8">
              <w:rPr>
                <w:rFonts w:ascii="Arial Narrow" w:hAnsi="Arial Narrow"/>
                <w:iCs/>
              </w:rPr>
              <w:t>56.20</w:t>
            </w:r>
          </w:p>
        </w:tc>
      </w:tr>
      <w:tr w:rsidR="0024394F" w:rsidRPr="00BB3B34" w:rsidTr="00AF3D36">
        <w:trPr>
          <w:cantSplit/>
          <w:tblHeader/>
        </w:trPr>
        <w:tc>
          <w:tcPr>
            <w:tcW w:w="2300" w:type="pct"/>
            <w:tcBorders>
              <w:top w:val="single" w:sz="4" w:space="0" w:color="auto"/>
              <w:bottom w:val="single" w:sz="4" w:space="0" w:color="auto"/>
            </w:tcBorders>
          </w:tcPr>
          <w:p w:rsidR="00601CF1" w:rsidRPr="00BB3B34" w:rsidRDefault="00601CF1">
            <w:pPr>
              <w:pStyle w:val="TableText1"/>
              <w:keepNext/>
              <w:keepLines/>
              <w:rPr>
                <w:rFonts w:ascii="Arial Narrow" w:hAnsi="Arial Narrow"/>
                <w:b/>
              </w:rPr>
            </w:pPr>
            <w:r w:rsidRPr="00BB3B34">
              <w:rPr>
                <w:rFonts w:ascii="Arial Narrow" w:hAnsi="Arial Narrow"/>
                <w:b/>
              </w:rPr>
              <w:t>Total cost per 4 weeks (cost-minimised)</w:t>
            </w:r>
          </w:p>
        </w:tc>
        <w:tc>
          <w:tcPr>
            <w:tcW w:w="1350" w:type="pct"/>
            <w:tcBorders>
              <w:top w:val="single" w:sz="4" w:space="0" w:color="auto"/>
              <w:bottom w:val="single" w:sz="4" w:space="0" w:color="auto"/>
            </w:tcBorders>
            <w:vAlign w:val="center"/>
          </w:tcPr>
          <w:p w:rsidR="00601CF1" w:rsidRPr="00CE0CAB" w:rsidRDefault="00DD363D">
            <w:pPr>
              <w:pStyle w:val="TableText1"/>
              <w:keepNext/>
              <w:keepLines/>
              <w:jc w:val="center"/>
              <w:rPr>
                <w:rFonts w:ascii="Arial Narrow" w:hAnsi="Arial Narrow"/>
                <w:b/>
                <w:iCs/>
              </w:rPr>
            </w:pPr>
            <w:r w:rsidRPr="00F35B64">
              <w:rPr>
                <w:rFonts w:ascii="Arial Narrow" w:hAnsi="Arial Narrow"/>
                <w:b/>
                <w:iCs/>
              </w:rPr>
              <w:t>$</w:t>
            </w:r>
            <w:r w:rsidR="00CE0CAB">
              <w:rPr>
                <w:rFonts w:ascii="Arial Narrow" w:hAnsi="Arial Narrow"/>
                <w:b/>
                <w:iCs/>
                <w:noProof/>
                <w:color w:val="000000"/>
                <w:highlight w:val="black"/>
              </w:rPr>
              <w:t>''''''''''''''''</w:t>
            </w:r>
          </w:p>
        </w:tc>
        <w:tc>
          <w:tcPr>
            <w:tcW w:w="1350" w:type="pct"/>
            <w:tcBorders>
              <w:top w:val="single" w:sz="4" w:space="0" w:color="auto"/>
              <w:bottom w:val="single" w:sz="4" w:space="0" w:color="auto"/>
            </w:tcBorders>
            <w:vAlign w:val="center"/>
          </w:tcPr>
          <w:p w:rsidR="00601CF1" w:rsidRPr="00CE0CAB" w:rsidRDefault="00DD363D">
            <w:pPr>
              <w:pStyle w:val="TableText1"/>
              <w:keepNext/>
              <w:keepLines/>
              <w:jc w:val="center"/>
              <w:rPr>
                <w:rFonts w:ascii="Arial Narrow" w:hAnsi="Arial Narrow"/>
                <w:b/>
                <w:iCs/>
              </w:rPr>
            </w:pPr>
            <w:r w:rsidRPr="00F35B64">
              <w:rPr>
                <w:rFonts w:ascii="Arial Narrow" w:hAnsi="Arial Narrow"/>
                <w:b/>
                <w:iCs/>
              </w:rPr>
              <w:t>$</w:t>
            </w:r>
            <w:r w:rsidR="00CE0CAB">
              <w:rPr>
                <w:rFonts w:ascii="Arial Narrow" w:hAnsi="Arial Narrow"/>
                <w:b/>
                <w:iCs/>
                <w:noProof/>
                <w:color w:val="000000"/>
                <w:highlight w:val="black"/>
              </w:rPr>
              <w:t>''''''''''''''''''</w:t>
            </w:r>
          </w:p>
        </w:tc>
      </w:tr>
    </w:tbl>
    <w:p w:rsidR="00601CF1" w:rsidRPr="00BB3B34" w:rsidRDefault="00601CF1" w:rsidP="006C257F">
      <w:pPr>
        <w:pStyle w:val="TableFooter"/>
        <w:rPr>
          <w:i/>
        </w:rPr>
      </w:pPr>
      <w:r w:rsidRPr="00BB3B34">
        <w:t xml:space="preserve">Source: </w:t>
      </w:r>
      <w:r w:rsidR="00D65AFE" w:rsidRPr="00BB3B34">
        <w:t>alternative calculations performed</w:t>
      </w:r>
      <w:r w:rsidRPr="00BB3B34">
        <w:t xml:space="preserve"> by the Secretariat </w:t>
      </w:r>
    </w:p>
    <w:p w:rsidR="00601CF1" w:rsidRPr="00BB3B34" w:rsidRDefault="00601CF1" w:rsidP="006C257F">
      <w:pPr>
        <w:pStyle w:val="TableFooter"/>
      </w:pPr>
      <w:r w:rsidRPr="00BB3B34">
        <w:t>Abbreviations: EEMP: e</w:t>
      </w:r>
      <w:r w:rsidR="008E51DB" w:rsidRPr="00BB3B34">
        <w:t>ffective ex-manufacturer price</w:t>
      </w:r>
    </w:p>
    <w:p w:rsidR="00601CF1" w:rsidRPr="00BB3B34" w:rsidRDefault="00601CF1" w:rsidP="00D22AD4">
      <w:pPr>
        <w:pStyle w:val="TableFooter"/>
      </w:pPr>
      <w:proofErr w:type="spellStart"/>
      <w:proofErr w:type="gramStart"/>
      <w:r w:rsidRPr="00BB3B34">
        <w:rPr>
          <w:vertAlign w:val="superscript"/>
        </w:rPr>
        <w:t>a</w:t>
      </w:r>
      <w:proofErr w:type="spellEnd"/>
      <w:proofErr w:type="gramEnd"/>
      <w:r w:rsidRPr="00BB3B34">
        <w:t xml:space="preserve"> </w:t>
      </w:r>
      <w:r w:rsidR="00305C22" w:rsidRPr="00BB3B34">
        <w:t>The proposed effective ex-manufacturer price (AEMP) of $</w:t>
      </w:r>
      <w:r w:rsidR="00CE0CAB">
        <w:rPr>
          <w:noProof/>
          <w:color w:val="000000"/>
          <w:highlight w:val="black"/>
        </w:rPr>
        <w:t>''''''''''''''''''''</w:t>
      </w:r>
      <w:r w:rsidR="00305C22" w:rsidRPr="00BB3B34">
        <w:t xml:space="preserve"> per 1,200 mg vial in November 2019 (paragraph 5.14,</w:t>
      </w:r>
      <w:r w:rsidR="00D22AD4" w:rsidRPr="00BB3B34">
        <w:t xml:space="preserve"> atezolizumab (ES-SCLC) PSD</w:t>
      </w:r>
      <w:r w:rsidR="00305C22" w:rsidRPr="00BB3B34">
        <w:t>, November</w:t>
      </w:r>
      <w:r w:rsidR="00D22AD4" w:rsidRPr="00BB3B34">
        <w:t>,</w:t>
      </w:r>
      <w:r w:rsidR="00305C22" w:rsidRPr="00BB3B34">
        <w:t xml:space="preserve"> 2019</w:t>
      </w:r>
      <w:r w:rsidR="00EA737E" w:rsidRPr="00BB3B34">
        <w:t>)</w:t>
      </w:r>
    </w:p>
    <w:p w:rsidR="008E51DB" w:rsidRPr="00BB3B34" w:rsidRDefault="00601CF1" w:rsidP="006C257F">
      <w:pPr>
        <w:pStyle w:val="TableFooter"/>
        <w:rPr>
          <w:i/>
        </w:rPr>
      </w:pPr>
      <w:proofErr w:type="gramStart"/>
      <w:r w:rsidRPr="00BB3B34">
        <w:rPr>
          <w:vertAlign w:val="superscript"/>
        </w:rPr>
        <w:t>b</w:t>
      </w:r>
      <w:proofErr w:type="gramEnd"/>
      <w:r w:rsidRPr="00BB3B34">
        <w:rPr>
          <w:vertAlign w:val="superscript"/>
        </w:rPr>
        <w:t xml:space="preserve"> </w:t>
      </w:r>
      <w:r w:rsidR="008E51DB" w:rsidRPr="00BB3B34">
        <w:t>Estimated effective ex-manufacturer price for atezolizumab 840 mg x 2 vials</w:t>
      </w:r>
    </w:p>
    <w:p w:rsidR="00601CF1" w:rsidRPr="00BB3B34" w:rsidRDefault="008E51DB" w:rsidP="006C257F">
      <w:pPr>
        <w:pStyle w:val="TableFooter"/>
      </w:pPr>
      <w:proofErr w:type="gramStart"/>
      <w:r w:rsidRPr="00BB3B34">
        <w:rPr>
          <w:vertAlign w:val="superscript"/>
        </w:rPr>
        <w:t>c</w:t>
      </w:r>
      <w:proofErr w:type="gramEnd"/>
      <w:r w:rsidRPr="00BB3B34">
        <w:t xml:space="preserve"> </w:t>
      </w:r>
      <w:r w:rsidR="00601CF1" w:rsidRPr="00BB3B34">
        <w:t>Administration/infusion costs</w:t>
      </w:r>
      <w:r w:rsidR="00DD363D" w:rsidRPr="00BB3B34">
        <w:t xml:space="preserve"> of $66.10</w:t>
      </w:r>
      <w:r w:rsidR="00601CF1" w:rsidRPr="00BB3B34">
        <w:t xml:space="preserve"> based on MBS item 13915.</w:t>
      </w:r>
    </w:p>
    <w:p w:rsidR="005A3173" w:rsidRPr="00BB3B34" w:rsidRDefault="005A3173" w:rsidP="000F78FD">
      <w:pPr>
        <w:pStyle w:val="Heading2"/>
        <w:keepLines/>
        <w:spacing w:before="120"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Estimated PBS usage &amp; financial implications</w:t>
      </w:r>
    </w:p>
    <w:p w:rsidR="0011582D" w:rsidRPr="00BB3B34" w:rsidRDefault="001F6F9E" w:rsidP="00FA2A9B">
      <w:pPr>
        <w:pStyle w:val="Bodytextitalics"/>
        <w:spacing w:before="120"/>
        <w:jc w:val="both"/>
        <w:rPr>
          <w:rFonts w:cstheme="minorHAnsi"/>
          <w:i w:val="0"/>
          <w:iCs/>
          <w:szCs w:val="24"/>
        </w:rPr>
      </w:pPr>
      <w:r w:rsidRPr="00BB3B34">
        <w:rPr>
          <w:i w:val="0"/>
          <w:iCs/>
          <w:szCs w:val="24"/>
        </w:rPr>
        <w:t xml:space="preserve">The </w:t>
      </w:r>
      <w:r w:rsidR="00B0549B" w:rsidRPr="00BB3B34">
        <w:rPr>
          <w:i w:val="0"/>
          <w:iCs/>
          <w:szCs w:val="24"/>
        </w:rPr>
        <w:t xml:space="preserve">minor </w:t>
      </w:r>
      <w:r w:rsidRPr="00BB3B34">
        <w:rPr>
          <w:i w:val="0"/>
          <w:iCs/>
          <w:szCs w:val="24"/>
        </w:rPr>
        <w:t>submission</w:t>
      </w:r>
      <w:r w:rsidR="006476E9" w:rsidRPr="00BB3B34">
        <w:rPr>
          <w:i w:val="0"/>
          <w:iCs/>
          <w:szCs w:val="24"/>
        </w:rPr>
        <w:t xml:space="preserve"> </w:t>
      </w:r>
      <w:r w:rsidR="00CE54DC" w:rsidRPr="00BB3B34">
        <w:rPr>
          <w:i w:val="0"/>
          <w:iCs/>
          <w:szCs w:val="24"/>
        </w:rPr>
        <w:t xml:space="preserve">presented the financial estimates based on </w:t>
      </w:r>
      <w:r w:rsidR="00E862AC" w:rsidRPr="00BB3B34">
        <w:rPr>
          <w:i w:val="0"/>
          <w:iCs/>
          <w:szCs w:val="24"/>
        </w:rPr>
        <w:t>the predicted</w:t>
      </w:r>
      <w:r w:rsidR="0023551F" w:rsidRPr="00BB3B34">
        <w:rPr>
          <w:i w:val="0"/>
          <w:iCs/>
          <w:szCs w:val="24"/>
        </w:rPr>
        <w:t xml:space="preserve"> utilisation of atezolizumab</w:t>
      </w:r>
      <w:r w:rsidR="00891BE8" w:rsidRPr="00BB3B34">
        <w:rPr>
          <w:i w:val="0"/>
          <w:iCs/>
          <w:szCs w:val="24"/>
        </w:rPr>
        <w:t xml:space="preserve"> 1200 mg Q3W for 1L ES-SCLC,</w:t>
      </w:r>
      <w:r w:rsidR="00BB1489" w:rsidRPr="00BB3B34">
        <w:rPr>
          <w:i w:val="0"/>
          <w:iCs/>
          <w:szCs w:val="24"/>
        </w:rPr>
        <w:t xml:space="preserve"> </w:t>
      </w:r>
      <w:r w:rsidR="00F43978" w:rsidRPr="00BB3B34">
        <w:rPr>
          <w:i w:val="0"/>
          <w:iCs/>
          <w:szCs w:val="24"/>
        </w:rPr>
        <w:t xml:space="preserve">which </w:t>
      </w:r>
      <w:r w:rsidR="00BB1489" w:rsidRPr="00BB3B34">
        <w:rPr>
          <w:i w:val="0"/>
          <w:iCs/>
          <w:szCs w:val="24"/>
        </w:rPr>
        <w:t>the PBAC</w:t>
      </w:r>
      <w:r w:rsidR="0023551F" w:rsidRPr="00BB3B34">
        <w:rPr>
          <w:i w:val="0"/>
          <w:iCs/>
          <w:szCs w:val="24"/>
        </w:rPr>
        <w:t xml:space="preserve"> </w:t>
      </w:r>
      <w:r w:rsidR="00F43978" w:rsidRPr="00BB3B34">
        <w:rPr>
          <w:i w:val="0"/>
          <w:iCs/>
          <w:szCs w:val="24"/>
        </w:rPr>
        <w:t xml:space="preserve">considered were sufficiently reliable to form the basis for the RSA </w:t>
      </w:r>
      <w:r w:rsidR="0023551F" w:rsidRPr="00BB3B34">
        <w:rPr>
          <w:i w:val="0"/>
          <w:iCs/>
          <w:szCs w:val="24"/>
        </w:rPr>
        <w:t xml:space="preserve">in November 2019 </w:t>
      </w:r>
      <w:r w:rsidR="00BB1489" w:rsidRPr="00BB3B34">
        <w:rPr>
          <w:i w:val="0"/>
          <w:iCs/>
          <w:szCs w:val="24"/>
        </w:rPr>
        <w:t>(paragraph 6.10, atezolizumab (ES-SCLC)</w:t>
      </w:r>
      <w:r w:rsidR="0096403F" w:rsidRPr="00BB3B34">
        <w:rPr>
          <w:i w:val="0"/>
          <w:iCs/>
          <w:szCs w:val="24"/>
        </w:rPr>
        <w:t xml:space="preserve"> PSD</w:t>
      </w:r>
      <w:r w:rsidR="00BB1489" w:rsidRPr="00BB3B34">
        <w:rPr>
          <w:i w:val="0"/>
          <w:iCs/>
          <w:szCs w:val="24"/>
        </w:rPr>
        <w:t>, November</w:t>
      </w:r>
      <w:r w:rsidR="0096403F" w:rsidRPr="00BB3B34">
        <w:rPr>
          <w:i w:val="0"/>
          <w:iCs/>
          <w:szCs w:val="24"/>
        </w:rPr>
        <w:t>,</w:t>
      </w:r>
      <w:r w:rsidR="00BB1489" w:rsidRPr="00BB3B34">
        <w:rPr>
          <w:i w:val="0"/>
          <w:iCs/>
          <w:szCs w:val="24"/>
        </w:rPr>
        <w:t xml:space="preserve"> 2019).</w:t>
      </w:r>
      <w:r w:rsidR="00E83123" w:rsidRPr="00BB3B34">
        <w:rPr>
          <w:i w:val="0"/>
          <w:iCs/>
          <w:szCs w:val="24"/>
        </w:rPr>
        <w:t xml:space="preserve"> </w:t>
      </w:r>
      <w:r w:rsidR="0011582D" w:rsidRPr="00BB3B34">
        <w:rPr>
          <w:i w:val="0"/>
          <w:iCs/>
          <w:szCs w:val="24"/>
        </w:rPr>
        <w:t xml:space="preserve">The estimated </w:t>
      </w:r>
      <w:r w:rsidR="0016387E" w:rsidRPr="00BB3B34">
        <w:rPr>
          <w:i w:val="0"/>
          <w:iCs/>
          <w:szCs w:val="24"/>
        </w:rPr>
        <w:t xml:space="preserve">use </w:t>
      </w:r>
      <w:r w:rsidR="0011582D" w:rsidRPr="00BB3B34">
        <w:rPr>
          <w:i w:val="0"/>
          <w:iCs/>
          <w:szCs w:val="24"/>
        </w:rPr>
        <w:t xml:space="preserve">and financial implications for the addition of </w:t>
      </w:r>
      <w:r w:rsidR="0067310D" w:rsidRPr="00BB3B34">
        <w:rPr>
          <w:i w:val="0"/>
          <w:iCs/>
          <w:szCs w:val="24"/>
        </w:rPr>
        <w:t>atezolizu</w:t>
      </w:r>
      <w:r w:rsidR="0011582D" w:rsidRPr="00BB3B34">
        <w:rPr>
          <w:i w:val="0"/>
          <w:iCs/>
          <w:szCs w:val="24"/>
        </w:rPr>
        <w:t>m</w:t>
      </w:r>
      <w:r w:rsidR="0067310D" w:rsidRPr="00BB3B34">
        <w:rPr>
          <w:i w:val="0"/>
          <w:iCs/>
          <w:szCs w:val="24"/>
        </w:rPr>
        <w:t>a</w:t>
      </w:r>
      <w:r w:rsidR="0011582D" w:rsidRPr="00BB3B34">
        <w:rPr>
          <w:i w:val="0"/>
          <w:iCs/>
          <w:szCs w:val="24"/>
        </w:rPr>
        <w:t xml:space="preserve">b 1680 mg Q4W dosing regimen as monotherapy for continuing treatment in 1L ES-SCLC </w:t>
      </w:r>
      <w:r w:rsidR="0011582D" w:rsidRPr="00BB3B34">
        <w:rPr>
          <w:rFonts w:cstheme="minorHAnsi"/>
          <w:i w:val="0"/>
          <w:iCs/>
          <w:szCs w:val="24"/>
        </w:rPr>
        <w:t>is</w:t>
      </w:r>
      <w:r w:rsidR="0016387E" w:rsidRPr="00BB3B34">
        <w:rPr>
          <w:rFonts w:cstheme="minorHAnsi"/>
          <w:i w:val="0"/>
          <w:iCs/>
          <w:szCs w:val="24"/>
        </w:rPr>
        <w:t xml:space="preserve"> </w:t>
      </w:r>
      <w:r w:rsidR="00721693" w:rsidRPr="00BB3B34">
        <w:rPr>
          <w:rFonts w:cstheme="minorHAnsi"/>
          <w:i w:val="0"/>
          <w:iCs/>
          <w:szCs w:val="24"/>
        </w:rPr>
        <w:t>presented</w:t>
      </w:r>
      <w:r w:rsidR="0011582D" w:rsidRPr="00BB3B34">
        <w:rPr>
          <w:rFonts w:cstheme="minorHAnsi"/>
          <w:i w:val="0"/>
          <w:iCs/>
          <w:szCs w:val="24"/>
        </w:rPr>
        <w:t xml:space="preserve"> below in </w:t>
      </w:r>
      <w:r w:rsidR="006653DB" w:rsidRPr="00BB3B34">
        <w:rPr>
          <w:i w:val="0"/>
          <w:iCs/>
          <w:szCs w:val="24"/>
        </w:rPr>
        <w:t xml:space="preserve">Table </w:t>
      </w:r>
      <w:r w:rsidR="006653DB" w:rsidRPr="003F0C78">
        <w:rPr>
          <w:i w:val="0"/>
          <w:iCs/>
          <w:szCs w:val="24"/>
        </w:rPr>
        <w:t>3</w:t>
      </w:r>
      <w:r w:rsidR="0011582D" w:rsidRPr="00BB3B34">
        <w:rPr>
          <w:rFonts w:cstheme="minorHAnsi"/>
          <w:i w:val="0"/>
          <w:iCs/>
          <w:szCs w:val="24"/>
        </w:rPr>
        <w:t>.</w:t>
      </w:r>
    </w:p>
    <w:p w:rsidR="00A81900" w:rsidRPr="00734027" w:rsidRDefault="00EC33C3" w:rsidP="00F16A3B">
      <w:pPr>
        <w:pStyle w:val="TableHeadingRow"/>
        <w:keepLines/>
        <w:rPr>
          <w:rFonts w:ascii="Arial Narrow" w:hAnsi="Arial Narrow"/>
          <w:b w:val="0"/>
          <w:iCs/>
        </w:rPr>
      </w:pPr>
      <w:bookmarkStart w:id="3" w:name="_Ref31895361"/>
      <w:bookmarkStart w:id="4" w:name="_Ref31895348"/>
      <w:bookmarkStart w:id="5" w:name="_Ref22126493"/>
      <w:r w:rsidRPr="00734027">
        <w:rPr>
          <w:rFonts w:ascii="Arial Narrow" w:hAnsi="Arial Narrow"/>
        </w:rPr>
        <w:lastRenderedPageBreak/>
        <w:t xml:space="preserve">Table </w:t>
      </w:r>
      <w:r w:rsidR="006653DB" w:rsidRPr="00734027">
        <w:rPr>
          <w:rFonts w:ascii="Arial Narrow" w:hAnsi="Arial Narrow"/>
        </w:rPr>
        <w:t>3</w:t>
      </w:r>
      <w:bookmarkEnd w:id="3"/>
      <w:r w:rsidR="002F4513" w:rsidRPr="00734027">
        <w:rPr>
          <w:rFonts w:ascii="Arial Narrow" w:hAnsi="Arial Narrow"/>
        </w:rPr>
        <w:t xml:space="preserve">: </w:t>
      </w:r>
      <w:r w:rsidR="002F4513" w:rsidRPr="00734027">
        <w:rPr>
          <w:rStyle w:val="CommentReference"/>
          <w:rFonts w:ascii="Arial Narrow" w:hAnsi="Arial Narrow"/>
          <w:bCs/>
          <w:sz w:val="20"/>
          <w:szCs w:val="20"/>
        </w:rPr>
        <w:t xml:space="preserve">Estimated use and financial implications for </w:t>
      </w:r>
      <w:proofErr w:type="gramStart"/>
      <w:r w:rsidR="002F4513" w:rsidRPr="00734027">
        <w:rPr>
          <w:rStyle w:val="CommentReference"/>
          <w:rFonts w:ascii="Arial Narrow" w:hAnsi="Arial Narrow"/>
          <w:bCs/>
          <w:sz w:val="20"/>
          <w:szCs w:val="20"/>
        </w:rPr>
        <w:t>1L</w:t>
      </w:r>
      <w:proofErr w:type="gramEnd"/>
      <w:r w:rsidR="002F4513" w:rsidRPr="00734027">
        <w:rPr>
          <w:rStyle w:val="CommentReference"/>
          <w:rFonts w:ascii="Arial Narrow" w:hAnsi="Arial Narrow"/>
          <w:bCs/>
          <w:sz w:val="20"/>
          <w:szCs w:val="20"/>
        </w:rPr>
        <w:t xml:space="preserve"> ES-SCLC a</w:t>
      </w:r>
      <w:r w:rsidR="006328CA" w:rsidRPr="00734027">
        <w:rPr>
          <w:rStyle w:val="CommentReference"/>
          <w:rFonts w:ascii="Arial Narrow" w:hAnsi="Arial Narrow"/>
          <w:bCs/>
          <w:sz w:val="20"/>
          <w:szCs w:val="20"/>
        </w:rPr>
        <w:t xml:space="preserve">s monotherapy </w:t>
      </w:r>
      <w:bookmarkEnd w:id="4"/>
      <w:bookmarkEnd w:id="5"/>
      <w:r w:rsidR="00F0448E" w:rsidRPr="00734027">
        <w:rPr>
          <w:rStyle w:val="CommentReference"/>
          <w:rFonts w:ascii="Arial Narrow" w:hAnsi="Arial Narrow"/>
          <w:bCs/>
          <w:sz w:val="20"/>
          <w:szCs w:val="20"/>
        </w:rPr>
        <w:t>for</w:t>
      </w:r>
      <w:r w:rsidR="0021411F" w:rsidRPr="00734027">
        <w:rPr>
          <w:rStyle w:val="CommentReference"/>
          <w:rFonts w:ascii="Arial Narrow" w:hAnsi="Arial Narrow"/>
          <w:bCs/>
          <w:sz w:val="20"/>
          <w:szCs w:val="20"/>
        </w:rPr>
        <w:t xml:space="preserve"> </w:t>
      </w:r>
      <w:r w:rsidR="006328CA" w:rsidRPr="00734027">
        <w:rPr>
          <w:rStyle w:val="CommentReference"/>
          <w:rFonts w:ascii="Arial Narrow" w:hAnsi="Arial Narrow"/>
          <w:bCs/>
          <w:sz w:val="20"/>
          <w:szCs w:val="20"/>
        </w:rPr>
        <w:t xml:space="preserve">continuing treatment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Table 3: Estimated use and financial implications for 1L ES-SCLC as monotherapy in the maintenance phase"/>
      </w:tblPr>
      <w:tblGrid>
        <w:gridCol w:w="2124"/>
        <w:gridCol w:w="1135"/>
        <w:gridCol w:w="1135"/>
        <w:gridCol w:w="1135"/>
        <w:gridCol w:w="1135"/>
        <w:gridCol w:w="1135"/>
        <w:gridCol w:w="1139"/>
      </w:tblGrid>
      <w:tr w:rsidR="001F45F1" w:rsidRPr="00BB3B34" w:rsidTr="00C43EC4">
        <w:trPr>
          <w:tblHeader/>
        </w:trPr>
        <w:tc>
          <w:tcPr>
            <w:tcW w:w="1188" w:type="pct"/>
            <w:shd w:val="clear" w:color="auto" w:fill="auto"/>
            <w:vAlign w:val="center"/>
          </w:tcPr>
          <w:p w:rsidR="00C7409E" w:rsidRPr="00BB3B34" w:rsidRDefault="00C7409E" w:rsidP="00F16A3B">
            <w:pPr>
              <w:pStyle w:val="Tabletext"/>
              <w:keepNext/>
              <w:keepLines/>
              <w:spacing w:after="0"/>
              <w:rPr>
                <w:rFonts w:ascii="Arial Narrow" w:hAnsi="Arial Narrow"/>
              </w:rPr>
            </w:pPr>
          </w:p>
        </w:tc>
        <w:tc>
          <w:tcPr>
            <w:tcW w:w="635" w:type="pct"/>
            <w:shd w:val="clear" w:color="auto" w:fill="auto"/>
            <w:vAlign w:val="center"/>
          </w:tcPr>
          <w:p w:rsidR="00C7409E" w:rsidRPr="00BB3B34" w:rsidRDefault="00C7409E" w:rsidP="00F16A3B">
            <w:pPr>
              <w:pStyle w:val="Tabletext"/>
              <w:keepNext/>
              <w:keepLines/>
              <w:spacing w:after="0"/>
              <w:jc w:val="center"/>
              <w:rPr>
                <w:rFonts w:ascii="Arial Narrow" w:hAnsi="Arial Narrow"/>
                <w:b/>
                <w:bCs/>
              </w:rPr>
            </w:pPr>
            <w:r w:rsidRPr="00BB3B34">
              <w:rPr>
                <w:rFonts w:ascii="Arial Narrow" w:hAnsi="Arial Narrow"/>
                <w:b/>
                <w:bCs/>
              </w:rPr>
              <w:t>Year 1</w:t>
            </w:r>
          </w:p>
        </w:tc>
        <w:tc>
          <w:tcPr>
            <w:tcW w:w="635" w:type="pct"/>
            <w:shd w:val="clear" w:color="auto" w:fill="auto"/>
            <w:vAlign w:val="center"/>
          </w:tcPr>
          <w:p w:rsidR="00C7409E" w:rsidRPr="00BB3B34" w:rsidRDefault="00C7409E" w:rsidP="00F16A3B">
            <w:pPr>
              <w:pStyle w:val="Tabletext"/>
              <w:keepNext/>
              <w:keepLines/>
              <w:spacing w:after="0"/>
              <w:jc w:val="center"/>
              <w:rPr>
                <w:rFonts w:ascii="Arial Narrow" w:hAnsi="Arial Narrow"/>
                <w:b/>
                <w:bCs/>
              </w:rPr>
            </w:pPr>
            <w:r w:rsidRPr="00BB3B34">
              <w:rPr>
                <w:rFonts w:ascii="Arial Narrow" w:hAnsi="Arial Narrow"/>
                <w:b/>
                <w:bCs/>
              </w:rPr>
              <w:t>Year 2</w:t>
            </w:r>
          </w:p>
        </w:tc>
        <w:tc>
          <w:tcPr>
            <w:tcW w:w="635" w:type="pct"/>
            <w:shd w:val="clear" w:color="auto" w:fill="auto"/>
            <w:vAlign w:val="center"/>
          </w:tcPr>
          <w:p w:rsidR="00C7409E" w:rsidRPr="00BB3B34" w:rsidRDefault="00C7409E" w:rsidP="00F16A3B">
            <w:pPr>
              <w:pStyle w:val="Tabletext"/>
              <w:keepNext/>
              <w:keepLines/>
              <w:spacing w:after="0"/>
              <w:jc w:val="center"/>
              <w:rPr>
                <w:rFonts w:ascii="Arial Narrow" w:hAnsi="Arial Narrow"/>
                <w:b/>
                <w:bCs/>
              </w:rPr>
            </w:pPr>
            <w:r w:rsidRPr="00BB3B34">
              <w:rPr>
                <w:rFonts w:ascii="Arial Narrow" w:hAnsi="Arial Narrow"/>
                <w:b/>
                <w:bCs/>
              </w:rPr>
              <w:t>Year 3</w:t>
            </w:r>
          </w:p>
        </w:tc>
        <w:tc>
          <w:tcPr>
            <w:tcW w:w="635" w:type="pct"/>
            <w:shd w:val="clear" w:color="auto" w:fill="auto"/>
            <w:vAlign w:val="center"/>
          </w:tcPr>
          <w:p w:rsidR="00C7409E" w:rsidRPr="00BB3B34" w:rsidRDefault="00C7409E" w:rsidP="00F16A3B">
            <w:pPr>
              <w:pStyle w:val="Tabletext"/>
              <w:keepNext/>
              <w:keepLines/>
              <w:spacing w:after="0"/>
              <w:jc w:val="center"/>
              <w:rPr>
                <w:rFonts w:ascii="Arial Narrow" w:hAnsi="Arial Narrow"/>
                <w:b/>
                <w:bCs/>
              </w:rPr>
            </w:pPr>
            <w:r w:rsidRPr="00BB3B34">
              <w:rPr>
                <w:rFonts w:ascii="Arial Narrow" w:hAnsi="Arial Narrow"/>
                <w:b/>
                <w:bCs/>
              </w:rPr>
              <w:t>Year 4</w:t>
            </w:r>
          </w:p>
        </w:tc>
        <w:tc>
          <w:tcPr>
            <w:tcW w:w="635" w:type="pct"/>
            <w:shd w:val="clear" w:color="auto" w:fill="auto"/>
            <w:vAlign w:val="center"/>
          </w:tcPr>
          <w:p w:rsidR="00C7409E" w:rsidRPr="00BB3B34" w:rsidRDefault="00C7409E" w:rsidP="00F16A3B">
            <w:pPr>
              <w:pStyle w:val="Tabletext"/>
              <w:keepNext/>
              <w:keepLines/>
              <w:spacing w:after="0"/>
              <w:jc w:val="center"/>
              <w:rPr>
                <w:rFonts w:ascii="Arial Narrow" w:hAnsi="Arial Narrow"/>
                <w:b/>
                <w:bCs/>
              </w:rPr>
            </w:pPr>
            <w:r w:rsidRPr="00BB3B34">
              <w:rPr>
                <w:rFonts w:ascii="Arial Narrow" w:hAnsi="Arial Narrow"/>
                <w:b/>
                <w:bCs/>
              </w:rPr>
              <w:t>Year 5</w:t>
            </w:r>
          </w:p>
        </w:tc>
        <w:tc>
          <w:tcPr>
            <w:tcW w:w="637" w:type="pct"/>
          </w:tcPr>
          <w:p w:rsidR="00C7409E" w:rsidRPr="00BB3B34" w:rsidRDefault="00C7409E" w:rsidP="00F16A3B">
            <w:pPr>
              <w:pStyle w:val="Tabletext"/>
              <w:keepNext/>
              <w:keepLines/>
              <w:spacing w:after="0"/>
              <w:jc w:val="center"/>
              <w:rPr>
                <w:rFonts w:ascii="Arial Narrow" w:hAnsi="Arial Narrow"/>
                <w:b/>
                <w:bCs/>
              </w:rPr>
            </w:pPr>
            <w:r w:rsidRPr="00BB3B34">
              <w:rPr>
                <w:rFonts w:ascii="Arial Narrow" w:hAnsi="Arial Narrow"/>
                <w:b/>
                <w:bCs/>
              </w:rPr>
              <w:t>Year 6</w:t>
            </w:r>
          </w:p>
        </w:tc>
      </w:tr>
      <w:tr w:rsidR="00C7409E" w:rsidRPr="00BB3B34" w:rsidTr="00503AD7">
        <w:tc>
          <w:tcPr>
            <w:tcW w:w="5000" w:type="pct"/>
            <w:gridSpan w:val="7"/>
            <w:shd w:val="clear" w:color="auto" w:fill="auto"/>
            <w:vAlign w:val="center"/>
          </w:tcPr>
          <w:p w:rsidR="00C7409E" w:rsidRPr="00BB3B34" w:rsidRDefault="00C7409E" w:rsidP="00F16A3B">
            <w:pPr>
              <w:pStyle w:val="Tabletext"/>
              <w:keepNext/>
              <w:keepLines/>
              <w:spacing w:after="0"/>
              <w:rPr>
                <w:rFonts w:ascii="Arial Narrow" w:hAnsi="Arial Narrow"/>
                <w:b/>
                <w:bCs/>
              </w:rPr>
            </w:pPr>
            <w:r w:rsidRPr="00BB3B34">
              <w:rPr>
                <w:rFonts w:ascii="Arial Narrow" w:hAnsi="Arial Narrow"/>
                <w:b/>
                <w:bCs/>
              </w:rPr>
              <w:t>Estimated extent of use</w:t>
            </w:r>
          </w:p>
        </w:tc>
      </w:tr>
      <w:tr w:rsidR="00E90CF1" w:rsidRPr="00BB3B34" w:rsidTr="00C43EC4">
        <w:tc>
          <w:tcPr>
            <w:tcW w:w="1188" w:type="pct"/>
            <w:shd w:val="clear" w:color="auto" w:fill="auto"/>
            <w:vAlign w:val="center"/>
          </w:tcPr>
          <w:p w:rsidR="00E90CF1" w:rsidRPr="00BB3B34" w:rsidRDefault="00E90CF1" w:rsidP="00F16A3B">
            <w:pPr>
              <w:pStyle w:val="Tabletext"/>
              <w:keepNext/>
              <w:keepLines/>
              <w:spacing w:after="0"/>
              <w:rPr>
                <w:rFonts w:ascii="Arial Narrow" w:hAnsi="Arial Narrow"/>
              </w:rPr>
            </w:pPr>
            <w:r w:rsidRPr="00BB3B34">
              <w:rPr>
                <w:rFonts w:ascii="Arial Narrow" w:hAnsi="Arial Narrow"/>
              </w:rPr>
              <w:t>Number of patients</w:t>
            </w:r>
            <w:r w:rsidR="009B6434" w:rsidRPr="00BB3B34">
              <w:rPr>
                <w:rFonts w:ascii="Arial Narrow" w:hAnsi="Arial Narrow"/>
                <w:vertAlign w:val="superscript"/>
              </w:rPr>
              <w:t>a</w:t>
            </w:r>
            <w:r w:rsidRPr="00BB3B34">
              <w:rPr>
                <w:rFonts w:ascii="Arial Narrow" w:hAnsi="Arial Narrow"/>
              </w:rPr>
              <w:t xml:space="preserve"> for continuing </w:t>
            </w:r>
            <w:r w:rsidR="00E04F46" w:rsidRPr="00BB3B34">
              <w:rPr>
                <w:rFonts w:ascii="Arial Narrow" w:hAnsi="Arial Narrow"/>
              </w:rPr>
              <w:t>treatment</w:t>
            </w:r>
          </w:p>
        </w:tc>
        <w:tc>
          <w:tcPr>
            <w:tcW w:w="635" w:type="pct"/>
            <w:shd w:val="clear" w:color="auto" w:fill="auto"/>
            <w:vAlign w:val="center"/>
          </w:tcPr>
          <w:p w:rsidR="00E90CF1" w:rsidRPr="00CE0CAB" w:rsidRDefault="00CE0CAB" w:rsidP="00F16A3B">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E90CF1" w:rsidRPr="00CE0CAB" w:rsidRDefault="00CE0CAB" w:rsidP="00F16A3B">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E90CF1" w:rsidRPr="00CE0CAB" w:rsidRDefault="00CE0CAB" w:rsidP="00F16A3B">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E90CF1" w:rsidRPr="00CE0CAB" w:rsidRDefault="00CE0CAB" w:rsidP="00F16A3B">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E90CF1" w:rsidRPr="00CE0CAB" w:rsidRDefault="00CE0CAB" w:rsidP="00F16A3B">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7" w:type="pct"/>
            <w:vAlign w:val="center"/>
          </w:tcPr>
          <w:p w:rsidR="00E90CF1" w:rsidRPr="00CE0CAB" w:rsidRDefault="00CE0CAB" w:rsidP="00F16A3B">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r>
      <w:tr w:rsidR="00C7409E" w:rsidRPr="00BB3B34" w:rsidTr="00503AD7">
        <w:tc>
          <w:tcPr>
            <w:tcW w:w="5000" w:type="pct"/>
            <w:gridSpan w:val="7"/>
            <w:shd w:val="clear" w:color="auto" w:fill="auto"/>
            <w:vAlign w:val="center"/>
          </w:tcPr>
          <w:p w:rsidR="00C7409E" w:rsidRPr="00BB3B34" w:rsidRDefault="00C7409E" w:rsidP="00F16A3B">
            <w:pPr>
              <w:pStyle w:val="Tabletext"/>
              <w:keepNext/>
              <w:keepLines/>
              <w:spacing w:after="0"/>
              <w:rPr>
                <w:rFonts w:ascii="Arial Narrow" w:hAnsi="Arial Narrow"/>
                <w:b/>
                <w:bCs/>
              </w:rPr>
            </w:pPr>
            <w:r w:rsidRPr="00BB3B34">
              <w:rPr>
                <w:rFonts w:ascii="Arial Narrow" w:hAnsi="Arial Narrow"/>
                <w:b/>
                <w:bCs/>
              </w:rPr>
              <w:t>Estimated financial implica</w:t>
            </w:r>
            <w:r w:rsidR="00CF3E12" w:rsidRPr="00BB3B34">
              <w:rPr>
                <w:rFonts w:ascii="Arial Narrow" w:hAnsi="Arial Narrow"/>
                <w:b/>
                <w:bCs/>
              </w:rPr>
              <w:t>tions of atezolizumab 1680 mg Q4W</w:t>
            </w:r>
            <w:r w:rsidR="00E90CF1" w:rsidRPr="00BB3B34">
              <w:rPr>
                <w:rFonts w:ascii="Arial Narrow" w:hAnsi="Arial Narrow"/>
                <w:b/>
                <w:bCs/>
              </w:rPr>
              <w:t xml:space="preserve"> – Continuing treatment </w:t>
            </w:r>
          </w:p>
        </w:tc>
      </w:tr>
      <w:tr w:rsidR="00423821" w:rsidRPr="00BB3B34" w:rsidTr="00C43EC4">
        <w:tc>
          <w:tcPr>
            <w:tcW w:w="1188" w:type="pct"/>
            <w:shd w:val="clear" w:color="auto" w:fill="auto"/>
            <w:vAlign w:val="center"/>
          </w:tcPr>
          <w:p w:rsidR="00423821" w:rsidRPr="00BB3B34" w:rsidRDefault="00423821" w:rsidP="00F16A3B">
            <w:pPr>
              <w:pStyle w:val="Tabletext"/>
              <w:keepNext/>
              <w:keepLines/>
              <w:spacing w:after="0"/>
              <w:rPr>
                <w:rFonts w:ascii="Arial Narrow" w:hAnsi="Arial Narrow"/>
              </w:rPr>
            </w:pPr>
            <w:r w:rsidRPr="00BB3B34">
              <w:rPr>
                <w:rFonts w:ascii="Arial Narrow" w:hAnsi="Arial Narrow"/>
              </w:rPr>
              <w:t>Number of scripts dispensed</w:t>
            </w:r>
            <w:r w:rsidR="001E5E41" w:rsidRPr="00BB3B34">
              <w:rPr>
                <w:rFonts w:ascii="Arial Narrow" w:hAnsi="Arial Narrow"/>
                <w:vertAlign w:val="superscript"/>
              </w:rPr>
              <w:t>b</w:t>
            </w:r>
          </w:p>
        </w:tc>
        <w:tc>
          <w:tcPr>
            <w:tcW w:w="635" w:type="pct"/>
            <w:shd w:val="clear" w:color="auto" w:fill="auto"/>
            <w:vAlign w:val="center"/>
          </w:tcPr>
          <w:p w:rsidR="00423821"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423821"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423821"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423821"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423821"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7" w:type="pct"/>
            <w:vAlign w:val="center"/>
          </w:tcPr>
          <w:p w:rsidR="00423821"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r>
      <w:tr w:rsidR="00572FCD" w:rsidRPr="00BB3B34" w:rsidTr="00C43EC4">
        <w:tc>
          <w:tcPr>
            <w:tcW w:w="1188" w:type="pct"/>
            <w:shd w:val="clear" w:color="auto" w:fill="auto"/>
            <w:vAlign w:val="center"/>
          </w:tcPr>
          <w:p w:rsidR="00572FCD" w:rsidRPr="00BB3B34" w:rsidRDefault="00572FCD" w:rsidP="00F16A3B">
            <w:pPr>
              <w:pStyle w:val="Tabletext"/>
              <w:keepNext/>
              <w:keepLines/>
              <w:spacing w:after="0"/>
              <w:rPr>
                <w:rFonts w:ascii="Arial Narrow" w:hAnsi="Arial Narrow"/>
              </w:rPr>
            </w:pPr>
            <w:r w:rsidRPr="00BB3B34">
              <w:rPr>
                <w:rFonts w:ascii="Arial Narrow" w:hAnsi="Arial Narrow"/>
              </w:rPr>
              <w:t>Cost to PBS/RPBS less copayments</w:t>
            </w:r>
            <w:r w:rsidR="001E5E41" w:rsidRPr="00BB3B34">
              <w:rPr>
                <w:rFonts w:ascii="Arial Narrow" w:hAnsi="Arial Narrow"/>
                <w:vertAlign w:val="superscript"/>
              </w:rPr>
              <w:t>c</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7" w:type="pct"/>
            <w:vAlign w:val="center"/>
          </w:tcPr>
          <w:p w:rsidR="00572FCD" w:rsidRPr="00CE0CAB" w:rsidRDefault="00572FCD" w:rsidP="00F16A3B">
            <w:pPr>
              <w:pStyle w:val="Tabletext"/>
              <w:keepNext/>
              <w:keepLines/>
              <w:spacing w:after="0"/>
              <w:jc w:val="center"/>
              <w:rPr>
                <w:rFonts w:ascii="Arial Narrow" w:hAnsi="Arial Narrow"/>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r>
      <w:tr w:rsidR="00C7409E" w:rsidRPr="00BB3B34" w:rsidTr="00503AD7">
        <w:tc>
          <w:tcPr>
            <w:tcW w:w="5000" w:type="pct"/>
            <w:gridSpan w:val="7"/>
            <w:shd w:val="clear" w:color="auto" w:fill="auto"/>
            <w:vAlign w:val="center"/>
          </w:tcPr>
          <w:p w:rsidR="00C7409E" w:rsidRPr="00BB3B34" w:rsidRDefault="00C7409E" w:rsidP="00F16A3B">
            <w:pPr>
              <w:pStyle w:val="Tabletext"/>
              <w:keepNext/>
              <w:keepLines/>
              <w:spacing w:after="0"/>
              <w:rPr>
                <w:rFonts w:ascii="Arial Narrow" w:hAnsi="Arial Narrow"/>
                <w:b/>
                <w:bCs/>
              </w:rPr>
            </w:pPr>
            <w:r w:rsidRPr="00BB3B34">
              <w:rPr>
                <w:rFonts w:ascii="Arial Narrow" w:hAnsi="Arial Narrow"/>
                <w:b/>
                <w:bCs/>
              </w:rPr>
              <w:t>Estimated financial im</w:t>
            </w:r>
            <w:r w:rsidR="00CF3E12" w:rsidRPr="00BB3B34">
              <w:rPr>
                <w:rFonts w:ascii="Arial Narrow" w:hAnsi="Arial Narrow"/>
                <w:b/>
                <w:bCs/>
              </w:rPr>
              <w:t>plications for atezolizumab 1200 mg Q3W</w:t>
            </w:r>
            <w:r w:rsidR="00E90CF1" w:rsidRPr="00BB3B34">
              <w:rPr>
                <w:rFonts w:ascii="Arial Narrow" w:hAnsi="Arial Narrow"/>
                <w:b/>
                <w:bCs/>
              </w:rPr>
              <w:t xml:space="preserve"> – Continuing treatment </w:t>
            </w:r>
          </w:p>
        </w:tc>
      </w:tr>
      <w:tr w:rsidR="00B57B53" w:rsidRPr="00BB3B34" w:rsidTr="00C43EC4">
        <w:tc>
          <w:tcPr>
            <w:tcW w:w="1188" w:type="pct"/>
            <w:shd w:val="clear" w:color="auto" w:fill="auto"/>
            <w:vAlign w:val="center"/>
          </w:tcPr>
          <w:p w:rsidR="00B57B53" w:rsidRPr="00BB3B34" w:rsidRDefault="00B57B53" w:rsidP="00F16A3B">
            <w:pPr>
              <w:pStyle w:val="Tabletext"/>
              <w:keepNext/>
              <w:keepLines/>
              <w:spacing w:after="0"/>
              <w:rPr>
                <w:rFonts w:ascii="Arial Narrow" w:hAnsi="Arial Narrow"/>
              </w:rPr>
            </w:pPr>
            <w:r w:rsidRPr="00BB3B34">
              <w:rPr>
                <w:rFonts w:ascii="Arial Narrow" w:hAnsi="Arial Narrow"/>
              </w:rPr>
              <w:t>Number of scripts dispensed</w:t>
            </w:r>
            <w:r w:rsidR="0045648D" w:rsidRPr="00BB3B34">
              <w:rPr>
                <w:rFonts w:ascii="Arial Narrow" w:hAnsi="Arial Narrow"/>
                <w:vertAlign w:val="superscript"/>
              </w:rPr>
              <w:t>d</w:t>
            </w:r>
          </w:p>
        </w:tc>
        <w:tc>
          <w:tcPr>
            <w:tcW w:w="635" w:type="pct"/>
            <w:shd w:val="clear" w:color="auto" w:fill="auto"/>
            <w:vAlign w:val="center"/>
          </w:tcPr>
          <w:p w:rsidR="00B57B53"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B57B53"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B57B53"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B57B53"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5" w:type="pct"/>
            <w:shd w:val="clear" w:color="auto" w:fill="auto"/>
            <w:vAlign w:val="center"/>
          </w:tcPr>
          <w:p w:rsidR="00B57B53"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37" w:type="pct"/>
            <w:vAlign w:val="center"/>
          </w:tcPr>
          <w:p w:rsidR="00B57B53" w:rsidRPr="00CE0CAB" w:rsidRDefault="00CE0CAB" w:rsidP="00F16A3B">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r>
      <w:tr w:rsidR="00572FCD" w:rsidRPr="00BB3B34" w:rsidTr="00C43EC4">
        <w:tc>
          <w:tcPr>
            <w:tcW w:w="1188" w:type="pct"/>
            <w:shd w:val="clear" w:color="auto" w:fill="auto"/>
            <w:vAlign w:val="center"/>
          </w:tcPr>
          <w:p w:rsidR="00572FCD" w:rsidRPr="00BB3B34" w:rsidRDefault="00572FCD" w:rsidP="00F16A3B">
            <w:pPr>
              <w:pStyle w:val="Tabletext"/>
              <w:keepNext/>
              <w:keepLines/>
              <w:spacing w:after="0"/>
              <w:rPr>
                <w:rFonts w:ascii="Arial Narrow" w:hAnsi="Arial Narrow"/>
              </w:rPr>
            </w:pPr>
            <w:r w:rsidRPr="00BB3B34">
              <w:rPr>
                <w:rFonts w:ascii="Arial Narrow" w:hAnsi="Arial Narrow"/>
              </w:rPr>
              <w:t>Cost to PBS/RPBS less copayments</w:t>
            </w:r>
            <w:r w:rsidR="00BB168E" w:rsidRPr="00BB3B34">
              <w:rPr>
                <w:rFonts w:ascii="Arial Narrow" w:hAnsi="Arial Narrow"/>
                <w:vertAlign w:val="superscript"/>
              </w:rPr>
              <w:t>e</w:t>
            </w:r>
          </w:p>
        </w:tc>
        <w:tc>
          <w:tcPr>
            <w:tcW w:w="635" w:type="pct"/>
            <w:shd w:val="clear" w:color="auto" w:fill="auto"/>
            <w:vAlign w:val="center"/>
          </w:tcPr>
          <w:p w:rsidR="00572FCD" w:rsidRPr="00CE0CAB" w:rsidRDefault="009658D2" w:rsidP="00F16A3B">
            <w:pPr>
              <w:pStyle w:val="Tabletext"/>
              <w:keepNext/>
              <w:keepLines/>
              <w:spacing w:after="0"/>
              <w:jc w:val="center"/>
              <w:rPr>
                <w:rFonts w:ascii="Arial Narrow" w:hAnsi="Arial Narrow"/>
              </w:rPr>
            </w:pPr>
            <w:r w:rsidRPr="00F35B64">
              <w:rPr>
                <w:rFonts w:ascii="Arial Narrow" w:hAnsi="Arial Narrow" w:cs="Arial"/>
              </w:rPr>
              <w:t>-</w:t>
            </w:r>
            <w:r w:rsidR="00572FCD" w:rsidRPr="00F35B64">
              <w:rPr>
                <w:rFonts w:ascii="Arial Narrow" w:hAnsi="Arial Narrow" w:cs="Arial"/>
              </w:rPr>
              <w:t>$</w:t>
            </w:r>
            <w:r w:rsidR="00CE0CAB">
              <w:rPr>
                <w:rFonts w:ascii="Arial Narrow" w:hAnsi="Arial Narrow" w:cs="Arial"/>
                <w:noProof/>
                <w:color w:val="000000"/>
                <w:highlight w:val="black"/>
              </w:rPr>
              <w:t>'''''''''''''''''''''''</w:t>
            </w:r>
            <w:r w:rsidR="00572FCD" w:rsidRPr="00F35B64">
              <w:rPr>
                <w:rFonts w:ascii="Arial Narrow" w:hAnsi="Arial Narrow" w:cs="Arial"/>
              </w:rPr>
              <w:t xml:space="preserve"> </w:t>
            </w:r>
          </w:p>
        </w:tc>
        <w:tc>
          <w:tcPr>
            <w:tcW w:w="635" w:type="pct"/>
            <w:shd w:val="clear" w:color="auto" w:fill="auto"/>
            <w:vAlign w:val="center"/>
          </w:tcPr>
          <w:p w:rsidR="00572FCD" w:rsidRPr="00CE0CAB" w:rsidRDefault="009658D2" w:rsidP="00F16A3B">
            <w:pPr>
              <w:pStyle w:val="Tabletext"/>
              <w:keepNext/>
              <w:keepLines/>
              <w:spacing w:after="0"/>
              <w:jc w:val="center"/>
              <w:rPr>
                <w:rFonts w:ascii="Arial Narrow" w:hAnsi="Arial Narrow"/>
              </w:rPr>
            </w:pPr>
            <w:r w:rsidRPr="00F35B64">
              <w:rPr>
                <w:rFonts w:ascii="Arial Narrow" w:hAnsi="Arial Narrow" w:cs="Arial"/>
              </w:rPr>
              <w:t>-</w:t>
            </w:r>
            <w:r w:rsidR="00572FCD" w:rsidRPr="00F35B64">
              <w:rPr>
                <w:rFonts w:ascii="Arial Narrow" w:hAnsi="Arial Narrow" w:cs="Arial"/>
              </w:rPr>
              <w:t>$</w:t>
            </w:r>
            <w:r w:rsidR="00CE0CAB">
              <w:rPr>
                <w:rFonts w:ascii="Arial Narrow" w:hAnsi="Arial Narrow" w:cs="Arial"/>
                <w:noProof/>
                <w:color w:val="000000"/>
                <w:highlight w:val="black"/>
              </w:rPr>
              <w:t>''''''''''''''''''''''</w:t>
            </w:r>
            <w:r w:rsidR="00572FCD" w:rsidRPr="00F35B64">
              <w:rPr>
                <w:rFonts w:ascii="Arial Narrow" w:hAnsi="Arial Narrow" w:cs="Arial"/>
              </w:rPr>
              <w:t xml:space="preserve"> </w:t>
            </w:r>
          </w:p>
        </w:tc>
        <w:tc>
          <w:tcPr>
            <w:tcW w:w="635" w:type="pct"/>
            <w:shd w:val="clear" w:color="auto" w:fill="auto"/>
            <w:vAlign w:val="center"/>
          </w:tcPr>
          <w:p w:rsidR="00572FCD" w:rsidRPr="00CE0CAB" w:rsidRDefault="009658D2" w:rsidP="00F16A3B">
            <w:pPr>
              <w:pStyle w:val="Tabletext"/>
              <w:keepNext/>
              <w:keepLines/>
              <w:spacing w:after="0"/>
              <w:jc w:val="center"/>
              <w:rPr>
                <w:rFonts w:ascii="Arial Narrow" w:hAnsi="Arial Narrow"/>
              </w:rPr>
            </w:pPr>
            <w:r w:rsidRPr="00F35B64">
              <w:rPr>
                <w:rFonts w:ascii="Arial Narrow" w:hAnsi="Arial Narrow" w:cs="Arial"/>
              </w:rPr>
              <w:t>-</w:t>
            </w:r>
            <w:r w:rsidR="00572FCD" w:rsidRPr="00F35B64">
              <w:rPr>
                <w:rFonts w:ascii="Arial Narrow" w:hAnsi="Arial Narrow" w:cs="Arial"/>
              </w:rPr>
              <w:t>$</w:t>
            </w:r>
            <w:r w:rsidR="00CE0CAB">
              <w:rPr>
                <w:rFonts w:ascii="Arial Narrow" w:hAnsi="Arial Narrow" w:cs="Arial"/>
                <w:noProof/>
                <w:color w:val="000000"/>
                <w:highlight w:val="black"/>
              </w:rPr>
              <w:t>''''''''''''''''''''''''</w:t>
            </w:r>
            <w:r w:rsidR="00572FCD" w:rsidRPr="00F35B64">
              <w:rPr>
                <w:rFonts w:ascii="Arial Narrow" w:hAnsi="Arial Narrow" w:cs="Arial"/>
              </w:rPr>
              <w:t xml:space="preserve"> </w:t>
            </w:r>
          </w:p>
        </w:tc>
        <w:tc>
          <w:tcPr>
            <w:tcW w:w="635" w:type="pct"/>
            <w:shd w:val="clear" w:color="auto" w:fill="auto"/>
            <w:vAlign w:val="center"/>
          </w:tcPr>
          <w:p w:rsidR="00572FCD" w:rsidRPr="00CE0CAB" w:rsidRDefault="009658D2" w:rsidP="00F16A3B">
            <w:pPr>
              <w:pStyle w:val="Tabletext"/>
              <w:keepNext/>
              <w:keepLines/>
              <w:spacing w:after="0"/>
              <w:jc w:val="center"/>
              <w:rPr>
                <w:rFonts w:ascii="Arial Narrow" w:hAnsi="Arial Narrow"/>
              </w:rPr>
            </w:pPr>
            <w:r w:rsidRPr="00F35B64">
              <w:rPr>
                <w:rFonts w:ascii="Arial Narrow" w:hAnsi="Arial Narrow" w:cs="Arial"/>
              </w:rPr>
              <w:t>-</w:t>
            </w:r>
            <w:r w:rsidR="00572FCD" w:rsidRPr="00F35B64">
              <w:rPr>
                <w:rFonts w:ascii="Arial Narrow" w:hAnsi="Arial Narrow" w:cs="Arial"/>
              </w:rPr>
              <w:t>$</w:t>
            </w:r>
            <w:r w:rsidR="00CE0CAB">
              <w:rPr>
                <w:rFonts w:ascii="Arial Narrow" w:hAnsi="Arial Narrow" w:cs="Arial"/>
                <w:noProof/>
                <w:color w:val="000000"/>
                <w:highlight w:val="black"/>
              </w:rPr>
              <w:t>'''''''''''''''''''''''</w:t>
            </w:r>
            <w:r w:rsidR="00572FCD" w:rsidRPr="00F35B64">
              <w:rPr>
                <w:rFonts w:ascii="Arial Narrow" w:hAnsi="Arial Narrow" w:cs="Arial"/>
              </w:rPr>
              <w:t xml:space="preserve"> </w:t>
            </w:r>
          </w:p>
        </w:tc>
        <w:tc>
          <w:tcPr>
            <w:tcW w:w="635" w:type="pct"/>
            <w:shd w:val="clear" w:color="auto" w:fill="auto"/>
            <w:vAlign w:val="center"/>
          </w:tcPr>
          <w:p w:rsidR="00572FCD" w:rsidRPr="00CE0CAB" w:rsidRDefault="009658D2" w:rsidP="00F16A3B">
            <w:pPr>
              <w:pStyle w:val="Tabletext"/>
              <w:keepNext/>
              <w:keepLines/>
              <w:spacing w:after="0"/>
              <w:jc w:val="center"/>
              <w:rPr>
                <w:rFonts w:ascii="Arial Narrow" w:hAnsi="Arial Narrow"/>
              </w:rPr>
            </w:pPr>
            <w:r w:rsidRPr="00F35B64">
              <w:rPr>
                <w:rFonts w:ascii="Arial Narrow" w:hAnsi="Arial Narrow" w:cs="Arial"/>
              </w:rPr>
              <w:t>-</w:t>
            </w:r>
            <w:r w:rsidR="00572FCD" w:rsidRPr="00F35B64">
              <w:rPr>
                <w:rFonts w:ascii="Arial Narrow" w:hAnsi="Arial Narrow" w:cs="Arial"/>
              </w:rPr>
              <w:t>$</w:t>
            </w:r>
            <w:r w:rsidR="00CE0CAB">
              <w:rPr>
                <w:rFonts w:ascii="Arial Narrow" w:hAnsi="Arial Narrow" w:cs="Arial"/>
                <w:noProof/>
                <w:color w:val="000000"/>
                <w:highlight w:val="black"/>
              </w:rPr>
              <w:t>'''''''''''''''''''''''</w:t>
            </w:r>
            <w:r w:rsidR="00572FCD" w:rsidRPr="00F35B64">
              <w:rPr>
                <w:rFonts w:ascii="Arial Narrow" w:hAnsi="Arial Narrow" w:cs="Arial"/>
              </w:rPr>
              <w:t xml:space="preserve"> </w:t>
            </w:r>
          </w:p>
        </w:tc>
        <w:tc>
          <w:tcPr>
            <w:tcW w:w="637" w:type="pct"/>
            <w:vAlign w:val="center"/>
          </w:tcPr>
          <w:p w:rsidR="00572FCD" w:rsidRPr="00CE0CAB" w:rsidRDefault="009658D2" w:rsidP="00F16A3B">
            <w:pPr>
              <w:pStyle w:val="Tabletext"/>
              <w:keepNext/>
              <w:keepLines/>
              <w:spacing w:after="0"/>
              <w:jc w:val="center"/>
              <w:rPr>
                <w:rFonts w:ascii="Arial Narrow" w:hAnsi="Arial Narrow"/>
              </w:rPr>
            </w:pPr>
            <w:r w:rsidRPr="00F35B64">
              <w:rPr>
                <w:rFonts w:ascii="Arial Narrow" w:hAnsi="Arial Narrow" w:cs="Arial"/>
              </w:rPr>
              <w:t>-</w:t>
            </w:r>
            <w:r w:rsidR="00572FCD" w:rsidRPr="00F35B64">
              <w:rPr>
                <w:rFonts w:ascii="Arial Narrow" w:hAnsi="Arial Narrow" w:cs="Arial"/>
              </w:rPr>
              <w:t>$</w:t>
            </w:r>
            <w:r w:rsidR="00CE0CAB">
              <w:rPr>
                <w:rFonts w:ascii="Arial Narrow" w:hAnsi="Arial Narrow" w:cs="Arial"/>
                <w:noProof/>
                <w:color w:val="000000"/>
                <w:highlight w:val="black"/>
              </w:rPr>
              <w:t>''''''''''''''''''''''''</w:t>
            </w:r>
            <w:r w:rsidR="00572FCD" w:rsidRPr="00F35B64">
              <w:rPr>
                <w:rFonts w:ascii="Arial Narrow" w:hAnsi="Arial Narrow" w:cs="Arial"/>
              </w:rPr>
              <w:t xml:space="preserve"> </w:t>
            </w:r>
          </w:p>
        </w:tc>
      </w:tr>
      <w:tr w:rsidR="00C7409E" w:rsidRPr="00BB3B34" w:rsidTr="00503AD7">
        <w:tc>
          <w:tcPr>
            <w:tcW w:w="5000" w:type="pct"/>
            <w:gridSpan w:val="7"/>
            <w:shd w:val="clear" w:color="auto" w:fill="auto"/>
            <w:vAlign w:val="center"/>
          </w:tcPr>
          <w:p w:rsidR="00C7409E" w:rsidRPr="00BB3B34" w:rsidRDefault="00C7409E" w:rsidP="00F16A3B">
            <w:pPr>
              <w:pStyle w:val="Tabletext"/>
              <w:keepNext/>
              <w:keepLines/>
              <w:spacing w:after="0"/>
              <w:rPr>
                <w:rFonts w:ascii="Arial Narrow" w:hAnsi="Arial Narrow"/>
              </w:rPr>
            </w:pPr>
            <w:r w:rsidRPr="00BB3B34">
              <w:rPr>
                <w:rFonts w:ascii="Arial Narrow" w:hAnsi="Arial Narrow"/>
                <w:b/>
                <w:bCs/>
              </w:rPr>
              <w:t>Net financial implications</w:t>
            </w:r>
            <w:r w:rsidRPr="00BB3B34">
              <w:rPr>
                <w:rFonts w:ascii="Arial Narrow" w:hAnsi="Arial Narrow"/>
              </w:rPr>
              <w:t xml:space="preserve"> </w:t>
            </w:r>
          </w:p>
        </w:tc>
      </w:tr>
      <w:tr w:rsidR="00572FCD" w:rsidRPr="00BB3B34" w:rsidTr="00C43EC4">
        <w:tc>
          <w:tcPr>
            <w:tcW w:w="1188" w:type="pct"/>
            <w:shd w:val="clear" w:color="auto" w:fill="auto"/>
            <w:vAlign w:val="center"/>
          </w:tcPr>
          <w:p w:rsidR="00572FCD" w:rsidRPr="00BB3B34" w:rsidRDefault="00572FCD" w:rsidP="00F16A3B">
            <w:pPr>
              <w:pStyle w:val="Tabletext"/>
              <w:keepNext/>
              <w:keepLines/>
              <w:spacing w:after="0"/>
              <w:rPr>
                <w:rFonts w:ascii="Arial Narrow" w:hAnsi="Arial Narrow"/>
              </w:rPr>
            </w:pPr>
            <w:r w:rsidRPr="00BB3B34">
              <w:rPr>
                <w:rFonts w:ascii="Arial Narrow" w:hAnsi="Arial Narrow"/>
              </w:rPr>
              <w:t xml:space="preserve">Net cost to PBS/RPBS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F35B64">
              <w:rPr>
                <w:rFonts w:ascii="Arial Narrow" w:hAnsi="Arial Narrow" w:cs="Arial"/>
              </w:rPr>
              <w:t>$</w:t>
            </w:r>
            <w:r w:rsidR="00CE0CAB">
              <w:rPr>
                <w:rFonts w:ascii="Arial Narrow" w:hAnsi="Arial Narrow" w:cs="Arial"/>
                <w:noProof/>
                <w:color w:val="000000"/>
                <w:highlight w:val="black"/>
              </w:rPr>
              <w:t>'''''''''''''''</w:t>
            </w:r>
            <w:r w:rsidRPr="00F35B64">
              <w:rPr>
                <w:rFonts w:ascii="Arial Narrow" w:hAnsi="Arial Narrow" w:cs="Arial"/>
              </w:rPr>
              <w:t xml:space="preserve"> </w:t>
            </w:r>
          </w:p>
        </w:tc>
        <w:tc>
          <w:tcPr>
            <w:tcW w:w="637" w:type="pct"/>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r w:rsidRPr="008E6979">
              <w:rPr>
                <w:rFonts w:ascii="Arial Narrow" w:hAnsi="Arial Narrow" w:cs="Arial"/>
              </w:rPr>
              <w:t xml:space="preserve"> </w:t>
            </w:r>
          </w:p>
        </w:tc>
      </w:tr>
      <w:tr w:rsidR="00572FCD" w:rsidRPr="00BB3B34" w:rsidTr="00C43EC4">
        <w:tc>
          <w:tcPr>
            <w:tcW w:w="1188" w:type="pct"/>
            <w:shd w:val="clear" w:color="auto" w:fill="auto"/>
            <w:vAlign w:val="center"/>
          </w:tcPr>
          <w:p w:rsidR="00572FCD" w:rsidRPr="00BB3B34" w:rsidRDefault="00572FCD" w:rsidP="00F16A3B">
            <w:pPr>
              <w:pStyle w:val="Tabletext"/>
              <w:keepNext/>
              <w:keepLines/>
              <w:spacing w:after="0"/>
              <w:rPr>
                <w:rFonts w:ascii="Arial Narrow" w:hAnsi="Arial Narrow"/>
              </w:rPr>
            </w:pPr>
            <w:r w:rsidRPr="00BB3B34">
              <w:rPr>
                <w:rFonts w:ascii="Arial Narrow" w:hAnsi="Arial Narrow"/>
              </w:rPr>
              <w:t>Net cost to MBS</w:t>
            </w:r>
            <w:r w:rsidR="00EB30D2" w:rsidRPr="00BB3B34">
              <w:rPr>
                <w:rFonts w:ascii="Arial Narrow" w:hAnsi="Arial Narrow"/>
                <w:vertAlign w:val="superscript"/>
              </w:rPr>
              <w:t>f</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8E6979">
              <w:rPr>
                <w:rFonts w:ascii="Arial Narrow" w:hAnsi="Arial Narrow" w:cs="Arial"/>
              </w:rPr>
              <w:t>-</w:t>
            </w:r>
            <w:r w:rsidR="00071550"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8E6979">
              <w:rPr>
                <w:rFonts w:ascii="Arial Narrow" w:hAnsi="Arial Narrow" w:cs="Arial"/>
              </w:rPr>
              <w:t>-</w:t>
            </w:r>
            <w:r w:rsidR="00071550"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8E6979">
              <w:rPr>
                <w:rFonts w:ascii="Arial Narrow" w:hAnsi="Arial Narrow" w:cs="Arial"/>
              </w:rPr>
              <w:t>-</w:t>
            </w:r>
            <w:r w:rsidR="00071550"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8E6979">
              <w:rPr>
                <w:rFonts w:ascii="Arial Narrow" w:hAnsi="Arial Narrow" w:cs="Arial"/>
              </w:rPr>
              <w:t>-</w:t>
            </w:r>
            <w:r w:rsidR="00071550"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rPr>
            </w:pPr>
            <w:r w:rsidRPr="008E6979">
              <w:rPr>
                <w:rFonts w:ascii="Arial Narrow" w:hAnsi="Arial Narrow" w:cs="Arial"/>
              </w:rPr>
              <w:t>-</w:t>
            </w:r>
            <w:r w:rsidR="00071550" w:rsidRPr="008E6979">
              <w:rPr>
                <w:rFonts w:ascii="Arial Narrow" w:hAnsi="Arial Narrow" w:cs="Arial"/>
              </w:rPr>
              <w:t>$</w:t>
            </w:r>
            <w:r w:rsidR="00CE0CAB">
              <w:rPr>
                <w:rFonts w:ascii="Arial Narrow" w:hAnsi="Arial Narrow" w:cs="Arial"/>
                <w:noProof/>
                <w:color w:val="000000"/>
                <w:highlight w:val="black"/>
              </w:rPr>
              <w:t>''''''''''''''''</w:t>
            </w:r>
          </w:p>
        </w:tc>
        <w:tc>
          <w:tcPr>
            <w:tcW w:w="637" w:type="pct"/>
            <w:vAlign w:val="center"/>
          </w:tcPr>
          <w:p w:rsidR="00572FCD" w:rsidRPr="00CE0CAB" w:rsidRDefault="00572FCD" w:rsidP="00F16A3B">
            <w:pPr>
              <w:pStyle w:val="Tabletext"/>
              <w:keepNext/>
              <w:keepLines/>
              <w:spacing w:after="0"/>
              <w:jc w:val="center"/>
              <w:rPr>
                <w:rFonts w:ascii="Arial Narrow" w:hAnsi="Arial Narrow"/>
              </w:rPr>
            </w:pPr>
            <w:r w:rsidRPr="008E6979">
              <w:rPr>
                <w:rFonts w:ascii="Arial Narrow" w:hAnsi="Arial Narrow" w:cs="Arial"/>
              </w:rPr>
              <w:t>-</w:t>
            </w:r>
            <w:r w:rsidR="00071550" w:rsidRPr="008E6979">
              <w:rPr>
                <w:rFonts w:ascii="Arial Narrow" w:hAnsi="Arial Narrow" w:cs="Arial"/>
              </w:rPr>
              <w:t>$</w:t>
            </w:r>
            <w:r w:rsidR="00CE0CAB">
              <w:rPr>
                <w:rFonts w:ascii="Arial Narrow" w:hAnsi="Arial Narrow" w:cs="Arial"/>
                <w:noProof/>
                <w:color w:val="000000"/>
                <w:highlight w:val="black"/>
              </w:rPr>
              <w:t>'''''''''''''''''</w:t>
            </w:r>
          </w:p>
        </w:tc>
      </w:tr>
      <w:tr w:rsidR="00572FCD" w:rsidRPr="00BB3B34" w:rsidTr="00C43EC4">
        <w:tc>
          <w:tcPr>
            <w:tcW w:w="1188" w:type="pct"/>
            <w:shd w:val="clear" w:color="auto" w:fill="auto"/>
            <w:vAlign w:val="center"/>
          </w:tcPr>
          <w:p w:rsidR="00572FCD" w:rsidRPr="00BB3B34" w:rsidRDefault="00572FCD" w:rsidP="00F16A3B">
            <w:pPr>
              <w:pStyle w:val="Tabletext"/>
              <w:keepNext/>
              <w:keepLines/>
              <w:spacing w:after="0"/>
              <w:rPr>
                <w:rFonts w:ascii="Arial Narrow" w:hAnsi="Arial Narrow"/>
              </w:rPr>
            </w:pPr>
            <w:r w:rsidRPr="00BB3B34">
              <w:rPr>
                <w:rFonts w:ascii="Arial Narrow" w:hAnsi="Arial Narrow"/>
              </w:rPr>
              <w:t>Net cost to Government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p>
        </w:tc>
        <w:tc>
          <w:tcPr>
            <w:tcW w:w="635" w:type="pct"/>
            <w:shd w:val="clear" w:color="auto" w:fill="auto"/>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p>
        </w:tc>
        <w:tc>
          <w:tcPr>
            <w:tcW w:w="637" w:type="pct"/>
            <w:vAlign w:val="center"/>
          </w:tcPr>
          <w:p w:rsidR="00572FCD" w:rsidRPr="00CE0CAB" w:rsidRDefault="00572FCD" w:rsidP="00F16A3B">
            <w:pPr>
              <w:pStyle w:val="Tabletext"/>
              <w:keepNext/>
              <w:keepLines/>
              <w:spacing w:after="0"/>
              <w:jc w:val="center"/>
              <w:rPr>
                <w:rFonts w:ascii="Arial Narrow" w:hAnsi="Arial Narrow" w:cs="Arial"/>
              </w:rPr>
            </w:pPr>
            <w:r w:rsidRPr="008E6979">
              <w:rPr>
                <w:rFonts w:ascii="Arial Narrow" w:hAnsi="Arial Narrow" w:cs="Arial"/>
              </w:rPr>
              <w:t>-$</w:t>
            </w:r>
            <w:r w:rsidR="00CE0CAB">
              <w:rPr>
                <w:rFonts w:ascii="Arial Narrow" w:hAnsi="Arial Narrow" w:cs="Arial"/>
                <w:noProof/>
                <w:color w:val="000000"/>
                <w:highlight w:val="black"/>
              </w:rPr>
              <w:t>'''</w:t>
            </w:r>
          </w:p>
        </w:tc>
      </w:tr>
      <w:tr w:rsidR="00C43EC4" w:rsidRPr="00BB3B34" w:rsidTr="00C43EC4">
        <w:tc>
          <w:tcPr>
            <w:tcW w:w="5000" w:type="pct"/>
            <w:gridSpan w:val="7"/>
            <w:shd w:val="clear" w:color="auto" w:fill="auto"/>
            <w:vAlign w:val="center"/>
          </w:tcPr>
          <w:p w:rsidR="00C43EC4" w:rsidRPr="00BB3B34" w:rsidRDefault="00C43EC4" w:rsidP="00F16A3B">
            <w:pPr>
              <w:pStyle w:val="Tabletext"/>
              <w:keepNext/>
              <w:keepLines/>
              <w:spacing w:after="0"/>
              <w:rPr>
                <w:rFonts w:ascii="Arial Narrow" w:hAnsi="Arial Narrow" w:cs="Arial"/>
                <w:b/>
                <w:bCs/>
                <w:i/>
                <w:iCs/>
              </w:rPr>
            </w:pPr>
            <w:r w:rsidRPr="00BB3B34">
              <w:rPr>
                <w:rFonts w:ascii="Arial Narrow" w:hAnsi="Arial Narrow"/>
                <w:b/>
                <w:bCs/>
                <w:iCs/>
              </w:rPr>
              <w:t>Sensitivity analysis: uptake rate 100% → 50%</w:t>
            </w:r>
            <w:r w:rsidR="00E96E4B" w:rsidRPr="00BB3B34">
              <w:rPr>
                <w:rFonts w:ascii="Arial Narrow" w:hAnsi="Arial Narrow"/>
                <w:b/>
                <w:bCs/>
                <w:vertAlign w:val="superscript"/>
              </w:rPr>
              <w:t>g</w:t>
            </w:r>
          </w:p>
        </w:tc>
      </w:tr>
      <w:tr w:rsidR="00C43EC4" w:rsidRPr="00BB3B34" w:rsidTr="00C43EC4">
        <w:tc>
          <w:tcPr>
            <w:tcW w:w="1188" w:type="pct"/>
            <w:shd w:val="clear" w:color="auto" w:fill="auto"/>
            <w:vAlign w:val="center"/>
          </w:tcPr>
          <w:p w:rsidR="00C43EC4" w:rsidRPr="00BB3B34" w:rsidRDefault="00C43EC4" w:rsidP="00F16A3B">
            <w:pPr>
              <w:pStyle w:val="Tabletext"/>
              <w:keepNext/>
              <w:keepLines/>
              <w:spacing w:after="0"/>
              <w:rPr>
                <w:rFonts w:ascii="Arial Narrow" w:hAnsi="Arial Narrow"/>
                <w:iCs/>
              </w:rPr>
            </w:pPr>
            <w:r w:rsidRPr="00BB3B34">
              <w:rPr>
                <w:rFonts w:ascii="Arial Narrow" w:hAnsi="Arial Narrow"/>
                <w:iCs/>
              </w:rPr>
              <w:t>Net cost to Government</w:t>
            </w:r>
          </w:p>
        </w:tc>
        <w:tc>
          <w:tcPr>
            <w:tcW w:w="635" w:type="pct"/>
            <w:shd w:val="clear" w:color="auto" w:fill="auto"/>
            <w:vAlign w:val="bottom"/>
          </w:tcPr>
          <w:p w:rsidR="00C43EC4" w:rsidRPr="00CE0CAB" w:rsidRDefault="00C43EC4" w:rsidP="00F16A3B">
            <w:pPr>
              <w:pStyle w:val="Tabletext"/>
              <w:keepNext/>
              <w:keepLines/>
              <w:spacing w:after="0"/>
              <w:jc w:val="center"/>
              <w:rPr>
                <w:rFonts w:ascii="Arial Narrow" w:hAnsi="Arial Narrow" w:cs="Arial"/>
                <w:iCs/>
              </w:rPr>
            </w:pPr>
            <w:r w:rsidRPr="008E6979">
              <w:rPr>
                <w:rFonts w:ascii="Arial Narrow" w:hAnsi="Arial Narrow" w:cs="Calibri"/>
                <w:iCs/>
                <w:color w:val="000000"/>
              </w:rPr>
              <w:t>-$</w:t>
            </w:r>
            <w:r w:rsidR="00CE0CAB">
              <w:rPr>
                <w:rFonts w:ascii="Arial Narrow" w:hAnsi="Arial Narrow" w:cs="Calibri"/>
                <w:iCs/>
                <w:noProof/>
                <w:color w:val="000000"/>
                <w:highlight w:val="black"/>
              </w:rPr>
              <w:t>'''</w:t>
            </w:r>
          </w:p>
        </w:tc>
        <w:tc>
          <w:tcPr>
            <w:tcW w:w="635" w:type="pct"/>
            <w:shd w:val="clear" w:color="auto" w:fill="auto"/>
            <w:vAlign w:val="bottom"/>
          </w:tcPr>
          <w:p w:rsidR="00C43EC4" w:rsidRPr="00CE0CAB" w:rsidRDefault="00C43EC4" w:rsidP="00F16A3B">
            <w:pPr>
              <w:pStyle w:val="Tabletext"/>
              <w:keepNext/>
              <w:keepLines/>
              <w:spacing w:after="0"/>
              <w:jc w:val="center"/>
              <w:rPr>
                <w:rFonts w:ascii="Arial Narrow" w:hAnsi="Arial Narrow" w:cs="Arial"/>
                <w:iCs/>
              </w:rPr>
            </w:pPr>
            <w:r w:rsidRPr="008E6979">
              <w:rPr>
                <w:rFonts w:ascii="Arial Narrow" w:hAnsi="Arial Narrow" w:cs="Calibri"/>
                <w:iCs/>
                <w:color w:val="000000"/>
              </w:rPr>
              <w:t>-$</w:t>
            </w:r>
            <w:r w:rsidR="00CE0CAB">
              <w:rPr>
                <w:rFonts w:ascii="Arial Narrow" w:hAnsi="Arial Narrow" w:cs="Calibri"/>
                <w:iCs/>
                <w:noProof/>
                <w:color w:val="000000"/>
                <w:highlight w:val="black"/>
              </w:rPr>
              <w:t>''''</w:t>
            </w:r>
          </w:p>
        </w:tc>
        <w:tc>
          <w:tcPr>
            <w:tcW w:w="635" w:type="pct"/>
            <w:shd w:val="clear" w:color="auto" w:fill="auto"/>
            <w:vAlign w:val="bottom"/>
          </w:tcPr>
          <w:p w:rsidR="00C43EC4" w:rsidRPr="00CE0CAB" w:rsidRDefault="00C43EC4" w:rsidP="00F16A3B">
            <w:pPr>
              <w:pStyle w:val="Tabletext"/>
              <w:keepNext/>
              <w:keepLines/>
              <w:spacing w:after="0"/>
              <w:jc w:val="center"/>
              <w:rPr>
                <w:rFonts w:ascii="Arial Narrow" w:hAnsi="Arial Narrow" w:cs="Arial"/>
                <w:iCs/>
              </w:rPr>
            </w:pPr>
            <w:r w:rsidRPr="008E6979">
              <w:rPr>
                <w:rFonts w:ascii="Arial Narrow" w:hAnsi="Arial Narrow" w:cs="Calibri"/>
                <w:iCs/>
                <w:color w:val="000000"/>
              </w:rPr>
              <w:t>-$</w:t>
            </w:r>
            <w:r w:rsidR="00CE0CAB">
              <w:rPr>
                <w:rFonts w:ascii="Arial Narrow" w:hAnsi="Arial Narrow" w:cs="Calibri"/>
                <w:iCs/>
                <w:noProof/>
                <w:color w:val="000000"/>
                <w:highlight w:val="black"/>
              </w:rPr>
              <w:t>'''</w:t>
            </w:r>
          </w:p>
        </w:tc>
        <w:tc>
          <w:tcPr>
            <w:tcW w:w="635" w:type="pct"/>
            <w:shd w:val="clear" w:color="auto" w:fill="auto"/>
            <w:vAlign w:val="bottom"/>
          </w:tcPr>
          <w:p w:rsidR="00C43EC4" w:rsidRPr="00CE0CAB" w:rsidRDefault="00C43EC4" w:rsidP="00F16A3B">
            <w:pPr>
              <w:pStyle w:val="Tabletext"/>
              <w:keepNext/>
              <w:keepLines/>
              <w:spacing w:after="0"/>
              <w:jc w:val="center"/>
              <w:rPr>
                <w:rFonts w:ascii="Arial Narrow" w:hAnsi="Arial Narrow" w:cs="Arial"/>
                <w:iCs/>
              </w:rPr>
            </w:pPr>
            <w:r w:rsidRPr="008E6979">
              <w:rPr>
                <w:rFonts w:ascii="Arial Narrow" w:hAnsi="Arial Narrow" w:cs="Calibri"/>
                <w:iCs/>
                <w:color w:val="000000"/>
              </w:rPr>
              <w:t>-$</w:t>
            </w:r>
            <w:r w:rsidR="00CE0CAB">
              <w:rPr>
                <w:rFonts w:ascii="Arial Narrow" w:hAnsi="Arial Narrow" w:cs="Calibri"/>
                <w:iCs/>
                <w:noProof/>
                <w:color w:val="000000"/>
                <w:highlight w:val="black"/>
              </w:rPr>
              <w:t>''''</w:t>
            </w:r>
          </w:p>
        </w:tc>
        <w:tc>
          <w:tcPr>
            <w:tcW w:w="635" w:type="pct"/>
            <w:shd w:val="clear" w:color="auto" w:fill="auto"/>
            <w:vAlign w:val="bottom"/>
          </w:tcPr>
          <w:p w:rsidR="00C43EC4" w:rsidRPr="00CE0CAB" w:rsidRDefault="00C43EC4" w:rsidP="00F16A3B">
            <w:pPr>
              <w:pStyle w:val="Tabletext"/>
              <w:keepNext/>
              <w:keepLines/>
              <w:spacing w:after="0"/>
              <w:jc w:val="center"/>
              <w:rPr>
                <w:rFonts w:ascii="Arial Narrow" w:hAnsi="Arial Narrow" w:cs="Arial"/>
                <w:iCs/>
              </w:rPr>
            </w:pPr>
            <w:r w:rsidRPr="008E6979">
              <w:rPr>
                <w:rFonts w:ascii="Arial Narrow" w:hAnsi="Arial Narrow" w:cs="Calibri"/>
                <w:iCs/>
                <w:color w:val="000000"/>
              </w:rPr>
              <w:t>-$</w:t>
            </w:r>
            <w:r w:rsidR="00CE0CAB">
              <w:rPr>
                <w:rFonts w:ascii="Arial Narrow" w:hAnsi="Arial Narrow" w:cs="Calibri"/>
                <w:iCs/>
                <w:noProof/>
                <w:color w:val="000000"/>
                <w:highlight w:val="black"/>
              </w:rPr>
              <w:t>''''</w:t>
            </w:r>
          </w:p>
        </w:tc>
        <w:tc>
          <w:tcPr>
            <w:tcW w:w="637" w:type="pct"/>
            <w:vAlign w:val="bottom"/>
          </w:tcPr>
          <w:p w:rsidR="00C43EC4" w:rsidRPr="00CE0CAB" w:rsidRDefault="00C43EC4" w:rsidP="00F16A3B">
            <w:pPr>
              <w:pStyle w:val="Tabletext"/>
              <w:keepNext/>
              <w:keepLines/>
              <w:spacing w:after="0"/>
              <w:jc w:val="center"/>
              <w:rPr>
                <w:rFonts w:ascii="Arial Narrow" w:hAnsi="Arial Narrow" w:cs="Arial"/>
                <w:iCs/>
              </w:rPr>
            </w:pPr>
            <w:r w:rsidRPr="008E6979">
              <w:rPr>
                <w:rFonts w:ascii="Arial Narrow" w:hAnsi="Arial Narrow" w:cs="Calibri"/>
                <w:iCs/>
                <w:color w:val="000000"/>
              </w:rPr>
              <w:t>-$</w:t>
            </w:r>
            <w:r w:rsidR="00CE0CAB">
              <w:rPr>
                <w:rFonts w:ascii="Arial Narrow" w:hAnsi="Arial Narrow" w:cs="Calibri"/>
                <w:iCs/>
                <w:noProof/>
                <w:color w:val="000000"/>
                <w:highlight w:val="black"/>
              </w:rPr>
              <w:t>''''</w:t>
            </w:r>
          </w:p>
        </w:tc>
      </w:tr>
    </w:tbl>
    <w:p w:rsidR="0022140C" w:rsidRPr="00BB3B34" w:rsidRDefault="00C7409E" w:rsidP="00F16A3B">
      <w:pPr>
        <w:pStyle w:val="TableFooter"/>
        <w:keepNext/>
        <w:keepLines/>
        <w:widowControl/>
      </w:pPr>
      <w:r w:rsidRPr="00BB3B34">
        <w:rPr>
          <w:vertAlign w:val="superscript"/>
        </w:rPr>
        <w:t>a</w:t>
      </w:r>
      <w:r w:rsidR="0022140C" w:rsidRPr="00BB3B34">
        <w:t xml:space="preserve"> Number of patients were estimated using an epidemiologic approach based on data reported by Australian Institute of Health and Welfare and Australian hospital registries in the </w:t>
      </w:r>
      <w:r w:rsidR="00976274" w:rsidRPr="00BB3B34">
        <w:t>previous submission for 1L ES-SCLC</w:t>
      </w:r>
      <w:r w:rsidR="001E5E41" w:rsidRPr="00BB3B34">
        <w:t xml:space="preserve"> (atezolizumab PSD, July 2019)</w:t>
      </w:r>
      <w:r w:rsidR="00976274" w:rsidRPr="00BB3B34">
        <w:t xml:space="preserve">. </w:t>
      </w:r>
    </w:p>
    <w:p w:rsidR="00672572" w:rsidRPr="00BB3B34" w:rsidRDefault="004A6A43" w:rsidP="00F16A3B">
      <w:pPr>
        <w:pStyle w:val="TableFooter"/>
        <w:keepNext/>
        <w:keepLines/>
        <w:widowControl/>
      </w:pPr>
      <w:proofErr w:type="gramStart"/>
      <w:r w:rsidRPr="00BB3B34">
        <w:rPr>
          <w:vertAlign w:val="superscript"/>
        </w:rPr>
        <w:t>b</w:t>
      </w:r>
      <w:proofErr w:type="gramEnd"/>
      <w:r w:rsidR="00672572" w:rsidRPr="00BB3B34">
        <w:t xml:space="preserve"> Number of treatment cycles (3.68 cycles) for continuing treatment at a dose of 1680 mg Q4W = the extrapolated mean treatment duration of 6.17 months (8.91 cycles) – number of treatment cycles (4 cycles) for initial treatment at a dose of 1200 mg Q3W </w:t>
      </w:r>
    </w:p>
    <w:p w:rsidR="004A6A43" w:rsidRPr="00BB3B34" w:rsidRDefault="00BB168E" w:rsidP="00F16A3B">
      <w:pPr>
        <w:pStyle w:val="TableFooter"/>
        <w:keepNext/>
        <w:keepLines/>
        <w:widowControl/>
      </w:pPr>
      <w:proofErr w:type="gramStart"/>
      <w:r w:rsidRPr="00BB3B34">
        <w:rPr>
          <w:vertAlign w:val="superscript"/>
        </w:rPr>
        <w:t>c</w:t>
      </w:r>
      <w:proofErr w:type="gramEnd"/>
      <w:r w:rsidR="00672572" w:rsidRPr="00BB3B34">
        <w:t xml:space="preserve"> </w:t>
      </w:r>
      <w:r w:rsidR="004A6A43" w:rsidRPr="00BB3B34">
        <w:t xml:space="preserve">The financial estimates incorporated the </w:t>
      </w:r>
      <w:r w:rsidRPr="00BB3B34">
        <w:t xml:space="preserve">effective </w:t>
      </w:r>
      <w:r w:rsidR="004A6A43" w:rsidRPr="00BB3B34">
        <w:t xml:space="preserve">DPMA of </w:t>
      </w:r>
      <w:r w:rsidRPr="00BB3B34">
        <w:t>$</w:t>
      </w:r>
      <w:r w:rsidR="00CE0CAB">
        <w:rPr>
          <w:noProof/>
          <w:color w:val="000000"/>
          <w:highlight w:val="black"/>
        </w:rPr>
        <w:t>'''''''''''''''''''''</w:t>
      </w:r>
      <w:r w:rsidR="004A6A43" w:rsidRPr="00BB3B34">
        <w:t xml:space="preserve"> per 840 mg vial </w:t>
      </w:r>
      <w:r w:rsidRPr="00BB3B34">
        <w:t xml:space="preserve">weighted at </w:t>
      </w:r>
      <w:r w:rsidRPr="00BB3B34">
        <w:rPr>
          <w:rFonts w:eastAsiaTheme="minorHAnsi" w:cstheme="minorBidi"/>
        </w:rPr>
        <w:t>public (34.3%) and private (65.7%) hospital settings</w:t>
      </w:r>
      <w:r w:rsidRPr="00BB3B34">
        <w:t xml:space="preserve">. </w:t>
      </w:r>
    </w:p>
    <w:p w:rsidR="00EB30D2" w:rsidRPr="00BB3B34" w:rsidRDefault="004727AD" w:rsidP="00F16A3B">
      <w:pPr>
        <w:pStyle w:val="TableFooter"/>
        <w:keepNext/>
        <w:keepLines/>
        <w:widowControl/>
      </w:pPr>
      <w:proofErr w:type="gramStart"/>
      <w:r w:rsidRPr="00BB3B34">
        <w:rPr>
          <w:vertAlign w:val="superscript"/>
        </w:rPr>
        <w:t>d</w:t>
      </w:r>
      <w:proofErr w:type="gramEnd"/>
      <w:r w:rsidR="00672572" w:rsidRPr="00BB3B34">
        <w:t xml:space="preserve"> Number of treatment cycles (4.91 cycles) for continuing treatment at a dose of 1200 mg Q3W = the extrapolated mean treatment duration of 6.17 months (8.91 cycles) – number of treatment cycles (4 cycles) for initial treatment at a dose of 1200 mg Q3W</w:t>
      </w:r>
    </w:p>
    <w:p w:rsidR="004727AD" w:rsidRPr="00BB3B34" w:rsidRDefault="00EB30D2" w:rsidP="00F16A3B">
      <w:pPr>
        <w:pStyle w:val="TableFooter"/>
        <w:keepNext/>
        <w:keepLines/>
        <w:widowControl/>
      </w:pPr>
      <w:proofErr w:type="gramStart"/>
      <w:r w:rsidRPr="00BB3B34">
        <w:rPr>
          <w:vertAlign w:val="superscript"/>
        </w:rPr>
        <w:t>e</w:t>
      </w:r>
      <w:proofErr w:type="gramEnd"/>
      <w:r w:rsidRPr="00BB3B34">
        <w:rPr>
          <w:vertAlign w:val="superscript"/>
        </w:rPr>
        <w:t xml:space="preserve"> </w:t>
      </w:r>
      <w:r w:rsidRPr="00BB3B34">
        <w:t>The financial estimates incorporated the effective DPMA of $</w:t>
      </w:r>
      <w:r w:rsidR="00CE0CAB">
        <w:rPr>
          <w:noProof/>
          <w:color w:val="000000"/>
          <w:highlight w:val="black"/>
        </w:rPr>
        <w:t>'''''''''''''''''''''</w:t>
      </w:r>
      <w:r w:rsidRPr="00BB3B34">
        <w:t xml:space="preserve"> per 1200 mg vial weighted at </w:t>
      </w:r>
      <w:r w:rsidRPr="00BB3B34">
        <w:rPr>
          <w:rFonts w:eastAsiaTheme="minorHAnsi" w:cstheme="minorBidi"/>
        </w:rPr>
        <w:t>public (34.3%) and private (65.7%) hospital settings</w:t>
      </w:r>
      <w:r w:rsidRPr="00BB3B34">
        <w:t>.</w:t>
      </w:r>
    </w:p>
    <w:p w:rsidR="00340FFC" w:rsidRPr="00BB3B34" w:rsidRDefault="00EB30D2" w:rsidP="00F16A3B">
      <w:pPr>
        <w:pStyle w:val="TableFooter"/>
        <w:keepNext/>
        <w:keepLines/>
        <w:widowControl/>
      </w:pPr>
      <w:proofErr w:type="gramStart"/>
      <w:r w:rsidRPr="00BB3B34">
        <w:rPr>
          <w:vertAlign w:val="superscript"/>
        </w:rPr>
        <w:t xml:space="preserve">f </w:t>
      </w:r>
      <w:r w:rsidR="00516C09" w:rsidRPr="00BB3B34">
        <w:rPr>
          <w:vertAlign w:val="superscript"/>
        </w:rPr>
        <w:t xml:space="preserve"> </w:t>
      </w:r>
      <w:r w:rsidR="006B7701" w:rsidRPr="00BB3B34">
        <w:rPr>
          <w:rFonts w:eastAsiaTheme="minorHAnsi" w:cstheme="minorBidi"/>
        </w:rPr>
        <w:t>Administration</w:t>
      </w:r>
      <w:proofErr w:type="gramEnd"/>
      <w:r w:rsidR="006B7701" w:rsidRPr="00BB3B34">
        <w:rPr>
          <w:rFonts w:eastAsiaTheme="minorHAnsi" w:cstheme="minorBidi"/>
        </w:rPr>
        <w:t>/infusion costs based on MBS item 13915</w:t>
      </w:r>
      <w:r w:rsidR="00340FFC" w:rsidRPr="00BB3B34">
        <w:t xml:space="preserve"> </w:t>
      </w:r>
    </w:p>
    <w:p w:rsidR="00E96E4B" w:rsidRPr="00BB3B34" w:rsidRDefault="00E96E4B" w:rsidP="00F16A3B">
      <w:pPr>
        <w:pStyle w:val="TableFooter"/>
        <w:keepNext/>
        <w:keepLines/>
        <w:widowControl/>
      </w:pPr>
      <w:proofErr w:type="gramStart"/>
      <w:r w:rsidRPr="00BB3B34">
        <w:rPr>
          <w:vertAlign w:val="superscript"/>
        </w:rPr>
        <w:t>g</w:t>
      </w:r>
      <w:proofErr w:type="gramEnd"/>
      <w:r w:rsidRPr="00BB3B34">
        <w:rPr>
          <w:vertAlign w:val="superscript"/>
        </w:rPr>
        <w:t xml:space="preserve"> </w:t>
      </w:r>
      <w:r w:rsidR="00591E31" w:rsidRPr="00BB3B34">
        <w:t>Calculated by the Secretariat a</w:t>
      </w:r>
      <w:r w:rsidRPr="00BB3B34">
        <w:t xml:space="preserve">ssuming </w:t>
      </w:r>
      <w:r w:rsidR="00591E31" w:rsidRPr="00BB3B34">
        <w:t>an</w:t>
      </w:r>
      <w:r w:rsidRPr="00BB3B34">
        <w:t xml:space="preserve"> uptake rate of </w:t>
      </w:r>
      <w:r w:rsidR="002956EA" w:rsidRPr="00BB3B34">
        <w:t xml:space="preserve">50% for </w:t>
      </w:r>
      <w:r w:rsidRPr="00BB3B34">
        <w:t xml:space="preserve">the 1680 mg Q4W dosing regimen in the </w:t>
      </w:r>
      <w:r w:rsidR="006328CA" w:rsidRPr="00BB3B34">
        <w:t xml:space="preserve">continuing </w:t>
      </w:r>
      <w:r w:rsidRPr="00BB3B34">
        <w:t xml:space="preserve">treatment phase </w:t>
      </w:r>
    </w:p>
    <w:p w:rsidR="00340FFC" w:rsidRPr="00BB3B34" w:rsidRDefault="00340FFC" w:rsidP="00F16A3B">
      <w:pPr>
        <w:pStyle w:val="TableFooter"/>
        <w:keepNext/>
        <w:keepLines/>
        <w:widowControl/>
      </w:pPr>
      <w:r w:rsidRPr="00BB3B34">
        <w:rPr>
          <w:rFonts w:eastAsiaTheme="minorHAnsi" w:cstheme="minorBidi"/>
        </w:rPr>
        <w:t>Abbreviations:</w:t>
      </w:r>
      <w:r w:rsidRPr="00BB3B34">
        <w:t xml:space="preserve"> PBS: Pharmaceutical Benefits Scheme; RPBS: Repatriation Pharmaceutical Benefits Scheme; MBS: </w:t>
      </w:r>
      <w:r w:rsidRPr="00BB3B34">
        <w:rPr>
          <w:rStyle w:val="st1"/>
          <w:szCs w:val="18"/>
        </w:rPr>
        <w:t>the Medicare Benefits Schedule</w:t>
      </w:r>
    </w:p>
    <w:p w:rsidR="00071550" w:rsidRPr="00BB3B34" w:rsidRDefault="00C7409E" w:rsidP="00F16A3B">
      <w:pPr>
        <w:pStyle w:val="TableFooter"/>
        <w:keepNext/>
        <w:keepLines/>
        <w:widowControl/>
        <w:spacing w:after="120"/>
      </w:pPr>
      <w:r w:rsidRPr="00BB3B34">
        <w:t xml:space="preserve">Source: </w:t>
      </w:r>
      <w:r w:rsidR="00E17C01" w:rsidRPr="00BB3B34">
        <w:t xml:space="preserve">Section </w:t>
      </w:r>
      <w:r w:rsidR="00FF0B4C" w:rsidRPr="00BB3B34">
        <w:t xml:space="preserve">4 workbook </w:t>
      </w:r>
      <w:r w:rsidR="006B7701" w:rsidRPr="00BB3B34">
        <w:t xml:space="preserve">1L ES-SCLC </w:t>
      </w:r>
      <w:r w:rsidR="008B518C" w:rsidRPr="00BB3B34">
        <w:t>supplied with the submission</w:t>
      </w:r>
      <w:r w:rsidR="006B7701" w:rsidRPr="00BB3B34">
        <w:t xml:space="preserve"> </w:t>
      </w:r>
    </w:p>
    <w:p w:rsidR="004334C1" w:rsidRPr="005F4466" w:rsidRDefault="004334C1" w:rsidP="004334C1">
      <w:pPr>
        <w:pStyle w:val="TableFooter"/>
        <w:rPr>
          <w:rFonts w:asciiTheme="minorHAnsi" w:hAnsiTheme="minorHAnsi" w:cstheme="minorHAnsi"/>
          <w:i/>
          <w:sz w:val="24"/>
          <w:szCs w:val="24"/>
        </w:rPr>
      </w:pPr>
      <w:r w:rsidRPr="005F4466">
        <w:rPr>
          <w:rFonts w:asciiTheme="minorHAnsi" w:hAnsiTheme="minorHAnsi" w:cstheme="minorHAnsi"/>
          <w:i/>
          <w:sz w:val="24"/>
          <w:szCs w:val="24"/>
        </w:rPr>
        <w:t>The redacted table shows that at year 6, the estimated number of patients was less than 10,000 per year and the net cost to the PBS would be less than $10 million per year.</w:t>
      </w:r>
    </w:p>
    <w:p w:rsidR="004334C1" w:rsidRDefault="004334C1" w:rsidP="004334C1">
      <w:pPr>
        <w:pStyle w:val="Bodytextitalics"/>
        <w:numPr>
          <w:ilvl w:val="0"/>
          <w:numId w:val="0"/>
        </w:numPr>
        <w:ind w:left="720" w:hanging="720"/>
        <w:jc w:val="both"/>
        <w:rPr>
          <w:i w:val="0"/>
          <w:iCs/>
        </w:rPr>
      </w:pPr>
    </w:p>
    <w:p w:rsidR="007B07CE" w:rsidRPr="00BB3B34" w:rsidRDefault="007B07CE" w:rsidP="009830DD">
      <w:pPr>
        <w:pStyle w:val="Bodytextitalics"/>
        <w:numPr>
          <w:ilvl w:val="1"/>
          <w:numId w:val="1"/>
        </w:numPr>
        <w:jc w:val="both"/>
        <w:rPr>
          <w:i w:val="0"/>
          <w:iCs/>
        </w:rPr>
      </w:pPr>
      <w:r w:rsidRPr="00BB3B34">
        <w:rPr>
          <w:i w:val="0"/>
          <w:iCs/>
        </w:rPr>
        <w:t xml:space="preserve">The minor submission </w:t>
      </w:r>
      <w:r w:rsidR="005A033B" w:rsidRPr="00BB3B34">
        <w:rPr>
          <w:i w:val="0"/>
          <w:iCs/>
        </w:rPr>
        <w:t xml:space="preserve">estimated </w:t>
      </w:r>
      <w:r w:rsidRPr="00BB3B34">
        <w:rPr>
          <w:i w:val="0"/>
          <w:iCs/>
        </w:rPr>
        <w:t xml:space="preserve">that the addition of atezolizumab 840 mg injection for </w:t>
      </w:r>
      <w:r w:rsidR="00427757" w:rsidRPr="00BB3B34">
        <w:rPr>
          <w:i w:val="0"/>
          <w:iCs/>
        </w:rPr>
        <w:t xml:space="preserve">the </w:t>
      </w:r>
      <w:r w:rsidRPr="00BB3B34">
        <w:rPr>
          <w:i w:val="0"/>
          <w:iCs/>
        </w:rPr>
        <w:t>1680 mg Q4W flat dosing regimen in 1L ES-</w:t>
      </w:r>
      <w:r w:rsidR="005A033B" w:rsidRPr="00BB3B34">
        <w:rPr>
          <w:i w:val="0"/>
          <w:iCs/>
        </w:rPr>
        <w:t xml:space="preserve">SCLC to be cost </w:t>
      </w:r>
      <w:r w:rsidRPr="00BB3B34">
        <w:rPr>
          <w:i w:val="0"/>
          <w:iCs/>
        </w:rPr>
        <w:t>neu</w:t>
      </w:r>
      <w:r w:rsidR="00A303E8" w:rsidRPr="00BB3B34">
        <w:rPr>
          <w:i w:val="0"/>
          <w:iCs/>
        </w:rPr>
        <w:t>t</w:t>
      </w:r>
      <w:r w:rsidRPr="00BB3B34">
        <w:rPr>
          <w:i w:val="0"/>
          <w:iCs/>
        </w:rPr>
        <w:t>ral to the Government.</w:t>
      </w:r>
    </w:p>
    <w:p w:rsidR="0054307B" w:rsidRPr="00BB3B34" w:rsidRDefault="000A24B0" w:rsidP="00786DA3">
      <w:pPr>
        <w:pStyle w:val="ListParagraph"/>
        <w:widowControl/>
        <w:numPr>
          <w:ilvl w:val="1"/>
          <w:numId w:val="1"/>
        </w:numPr>
        <w:spacing w:after="120"/>
        <w:contextualSpacing w:val="0"/>
        <w:rPr>
          <w:rFonts w:asciiTheme="minorHAnsi" w:eastAsiaTheme="minorHAnsi" w:hAnsiTheme="minorHAnsi" w:cstheme="minorHAnsi"/>
          <w:snapToGrid/>
          <w:sz w:val="24"/>
          <w:szCs w:val="24"/>
        </w:rPr>
      </w:pPr>
      <w:r w:rsidRPr="00BB3B34">
        <w:rPr>
          <w:rFonts w:asciiTheme="minorHAnsi" w:hAnsiTheme="minorHAnsi" w:cstheme="minorHAnsi"/>
          <w:sz w:val="24"/>
          <w:szCs w:val="24"/>
        </w:rPr>
        <w:t xml:space="preserve">The </w:t>
      </w:r>
      <w:r w:rsidR="0054307B" w:rsidRPr="00BB3B34">
        <w:rPr>
          <w:rFonts w:asciiTheme="minorHAnsi" w:hAnsiTheme="minorHAnsi" w:cstheme="minorHAnsi"/>
          <w:sz w:val="24"/>
          <w:szCs w:val="24"/>
        </w:rPr>
        <w:t xml:space="preserve">minor submission assumed that 95% of patients initiating atezolizumab at a dose of 1200 mg Q3W </w:t>
      </w:r>
      <w:r w:rsidR="0054307B" w:rsidRPr="00BB3B34">
        <w:rPr>
          <w:rFonts w:asciiTheme="minorHAnsi" w:eastAsiaTheme="minorHAnsi" w:hAnsiTheme="minorHAnsi" w:cstheme="minorHAnsi"/>
          <w:snapToGrid/>
          <w:sz w:val="24"/>
          <w:szCs w:val="24"/>
        </w:rPr>
        <w:t xml:space="preserve">in combination with carboplatin and etoposide during the </w:t>
      </w:r>
      <w:r w:rsidR="0035133A" w:rsidRPr="00BB3B34">
        <w:rPr>
          <w:rFonts w:asciiTheme="minorHAnsi" w:eastAsiaTheme="minorHAnsi" w:hAnsiTheme="minorHAnsi" w:cstheme="minorHAnsi"/>
          <w:snapToGrid/>
          <w:sz w:val="24"/>
          <w:szCs w:val="24"/>
        </w:rPr>
        <w:t xml:space="preserve">initial treatment </w:t>
      </w:r>
      <w:r w:rsidR="0054307B" w:rsidRPr="00BB3B34">
        <w:rPr>
          <w:rFonts w:asciiTheme="minorHAnsi" w:eastAsiaTheme="minorHAnsi" w:hAnsiTheme="minorHAnsi" w:cstheme="minorHAnsi"/>
          <w:snapToGrid/>
          <w:sz w:val="24"/>
          <w:szCs w:val="24"/>
        </w:rPr>
        <w:t xml:space="preserve">phase </w:t>
      </w:r>
      <w:r w:rsidR="00CF157C" w:rsidRPr="00BB3B34">
        <w:rPr>
          <w:rFonts w:asciiTheme="minorHAnsi" w:eastAsiaTheme="minorHAnsi" w:hAnsiTheme="minorHAnsi" w:cstheme="minorHAnsi"/>
          <w:snapToGrid/>
          <w:sz w:val="24"/>
          <w:szCs w:val="24"/>
        </w:rPr>
        <w:t>would continue to use atezolizumab monotherapy and 100% of th</w:t>
      </w:r>
      <w:r w:rsidR="00A303E8" w:rsidRPr="00BB3B34">
        <w:rPr>
          <w:rFonts w:asciiTheme="minorHAnsi" w:eastAsiaTheme="minorHAnsi" w:hAnsiTheme="minorHAnsi" w:cstheme="minorHAnsi"/>
          <w:snapToGrid/>
          <w:sz w:val="24"/>
          <w:szCs w:val="24"/>
        </w:rPr>
        <w:t>ose</w:t>
      </w:r>
      <w:r w:rsidR="00CF157C" w:rsidRPr="00BB3B34">
        <w:rPr>
          <w:rFonts w:asciiTheme="minorHAnsi" w:eastAsiaTheme="minorHAnsi" w:hAnsiTheme="minorHAnsi" w:cstheme="minorHAnsi"/>
          <w:snapToGrid/>
          <w:sz w:val="24"/>
          <w:szCs w:val="24"/>
        </w:rPr>
        <w:t xml:space="preserve"> </w:t>
      </w:r>
      <w:r w:rsidR="00C45866" w:rsidRPr="00BB3B34">
        <w:rPr>
          <w:rFonts w:asciiTheme="minorHAnsi" w:eastAsiaTheme="minorHAnsi" w:hAnsiTheme="minorHAnsi" w:cstheme="minorHAnsi"/>
          <w:snapToGrid/>
          <w:sz w:val="24"/>
          <w:szCs w:val="24"/>
        </w:rPr>
        <w:t xml:space="preserve">patients </w:t>
      </w:r>
      <w:r w:rsidR="00CF157C" w:rsidRPr="00BB3B34">
        <w:rPr>
          <w:rFonts w:asciiTheme="minorHAnsi" w:eastAsiaTheme="minorHAnsi" w:hAnsiTheme="minorHAnsi" w:cstheme="minorHAnsi"/>
          <w:snapToGrid/>
          <w:sz w:val="24"/>
          <w:szCs w:val="24"/>
        </w:rPr>
        <w:t xml:space="preserve">would switch from the 1200 mg Q3W to 1680 mg Q4W dosing regimen for </w:t>
      </w:r>
      <w:r w:rsidR="00786DA3" w:rsidRPr="00BB3B34">
        <w:rPr>
          <w:rFonts w:asciiTheme="minorHAnsi" w:eastAsiaTheme="minorHAnsi" w:hAnsiTheme="minorHAnsi" w:cstheme="minorHAnsi"/>
          <w:snapToGrid/>
          <w:sz w:val="24"/>
          <w:szCs w:val="24"/>
        </w:rPr>
        <w:t>continuing treatment</w:t>
      </w:r>
      <w:r w:rsidR="0054307B" w:rsidRPr="00BB3B34">
        <w:rPr>
          <w:rFonts w:asciiTheme="minorHAnsi" w:eastAsiaTheme="minorHAnsi" w:hAnsiTheme="minorHAnsi" w:cstheme="minorHAnsi"/>
          <w:snapToGrid/>
          <w:sz w:val="24"/>
          <w:szCs w:val="24"/>
        </w:rPr>
        <w:t xml:space="preserve">. </w:t>
      </w:r>
      <w:r w:rsidR="001E7BF7" w:rsidRPr="00BB3B34">
        <w:rPr>
          <w:rFonts w:asciiTheme="minorHAnsi" w:eastAsiaTheme="minorHAnsi" w:hAnsiTheme="minorHAnsi" w:cstheme="minorHAnsi"/>
          <w:iCs/>
          <w:snapToGrid/>
          <w:sz w:val="24"/>
          <w:szCs w:val="24"/>
        </w:rPr>
        <w:t xml:space="preserve">The Secretariat considered that </w:t>
      </w:r>
      <w:r w:rsidRPr="00BB3B34">
        <w:rPr>
          <w:rFonts w:asciiTheme="minorHAnsi" w:eastAsiaTheme="minorHAnsi" w:hAnsiTheme="minorHAnsi" w:cstheme="minorHAnsi"/>
          <w:iCs/>
          <w:snapToGrid/>
          <w:sz w:val="24"/>
          <w:szCs w:val="24"/>
        </w:rPr>
        <w:t>the</w:t>
      </w:r>
      <w:r w:rsidR="001E7BF7" w:rsidRPr="00BB3B34">
        <w:rPr>
          <w:rFonts w:asciiTheme="minorHAnsi" w:eastAsiaTheme="minorHAnsi" w:hAnsiTheme="minorHAnsi" w:cstheme="minorHAnsi"/>
          <w:iCs/>
          <w:snapToGrid/>
          <w:sz w:val="24"/>
          <w:szCs w:val="24"/>
        </w:rPr>
        <w:t xml:space="preserve"> assumption of 100% uptake for the 1680 mg Q4W </w:t>
      </w:r>
      <w:r w:rsidR="001C3755" w:rsidRPr="00BB3B34">
        <w:rPr>
          <w:rFonts w:asciiTheme="minorHAnsi" w:eastAsiaTheme="minorHAnsi" w:hAnsiTheme="minorHAnsi" w:cstheme="minorHAnsi"/>
          <w:iCs/>
          <w:snapToGrid/>
          <w:sz w:val="24"/>
          <w:szCs w:val="24"/>
        </w:rPr>
        <w:t xml:space="preserve">dosing regimen </w:t>
      </w:r>
      <w:r w:rsidR="00A303E8" w:rsidRPr="00BB3B34">
        <w:rPr>
          <w:rFonts w:asciiTheme="minorHAnsi" w:eastAsiaTheme="minorHAnsi" w:hAnsiTheme="minorHAnsi" w:cstheme="minorHAnsi"/>
          <w:iCs/>
          <w:snapToGrid/>
          <w:sz w:val="24"/>
          <w:szCs w:val="24"/>
        </w:rPr>
        <w:t>was uncertain but</w:t>
      </w:r>
      <w:r w:rsidR="00A303E8" w:rsidRPr="00BB3B34">
        <w:rPr>
          <w:rFonts w:asciiTheme="minorHAnsi" w:eastAsiaTheme="minorHAnsi" w:hAnsiTheme="minorHAnsi" w:cstheme="minorHAnsi"/>
          <w:snapToGrid/>
          <w:sz w:val="24"/>
          <w:szCs w:val="24"/>
        </w:rPr>
        <w:t xml:space="preserve"> </w:t>
      </w:r>
      <w:r w:rsidR="00A303E8" w:rsidRPr="00BB3B34">
        <w:rPr>
          <w:rFonts w:asciiTheme="minorHAnsi" w:eastAsiaTheme="minorHAnsi" w:hAnsiTheme="minorHAnsi" w:cstheme="minorHAnsi"/>
          <w:iCs/>
          <w:snapToGrid/>
          <w:sz w:val="24"/>
          <w:szCs w:val="24"/>
        </w:rPr>
        <w:t xml:space="preserve">noted that </w:t>
      </w:r>
      <w:r w:rsidR="00AD638A" w:rsidRPr="00BB3B34">
        <w:rPr>
          <w:rFonts w:asciiTheme="minorHAnsi" w:eastAsiaTheme="minorHAnsi" w:hAnsiTheme="minorHAnsi" w:cstheme="minorHAnsi"/>
          <w:iCs/>
          <w:snapToGrid/>
          <w:sz w:val="24"/>
          <w:szCs w:val="24"/>
        </w:rPr>
        <w:t xml:space="preserve">the </w:t>
      </w:r>
      <w:r w:rsidR="00A303E8" w:rsidRPr="00BB3B34">
        <w:rPr>
          <w:rFonts w:asciiTheme="minorHAnsi" w:eastAsiaTheme="minorHAnsi" w:hAnsiTheme="minorHAnsi" w:cstheme="minorHAnsi"/>
          <w:iCs/>
          <w:snapToGrid/>
          <w:sz w:val="24"/>
          <w:szCs w:val="24"/>
        </w:rPr>
        <w:t xml:space="preserve">financial implications were not sensitive to this assumption (see </w:t>
      </w:r>
      <w:r w:rsidR="00932783" w:rsidRPr="00BB3B34">
        <w:rPr>
          <w:rFonts w:asciiTheme="minorHAnsi" w:eastAsiaTheme="minorHAnsi" w:hAnsiTheme="minorHAnsi" w:cstheme="minorHAnsi"/>
          <w:iCs/>
          <w:snapToGrid/>
          <w:sz w:val="24"/>
          <w:szCs w:val="24"/>
        </w:rPr>
        <w:t>the sensitiv</w:t>
      </w:r>
      <w:r w:rsidR="00EE7ECA" w:rsidRPr="00BB3B34">
        <w:rPr>
          <w:rFonts w:asciiTheme="minorHAnsi" w:eastAsiaTheme="minorHAnsi" w:hAnsiTheme="minorHAnsi" w:cstheme="minorHAnsi"/>
          <w:iCs/>
          <w:snapToGrid/>
          <w:sz w:val="24"/>
          <w:szCs w:val="24"/>
        </w:rPr>
        <w:t>ity</w:t>
      </w:r>
      <w:r w:rsidR="00932783" w:rsidRPr="00BB3B34">
        <w:rPr>
          <w:rFonts w:asciiTheme="minorHAnsi" w:eastAsiaTheme="minorHAnsi" w:hAnsiTheme="minorHAnsi" w:cstheme="minorHAnsi"/>
          <w:iCs/>
          <w:snapToGrid/>
          <w:sz w:val="24"/>
          <w:szCs w:val="24"/>
        </w:rPr>
        <w:t xml:space="preserve"> analysis </w:t>
      </w:r>
      <w:r w:rsidR="00EE7ECA" w:rsidRPr="00BB3B34">
        <w:rPr>
          <w:rFonts w:asciiTheme="minorHAnsi" w:eastAsiaTheme="minorHAnsi" w:hAnsiTheme="minorHAnsi" w:cstheme="minorHAnsi"/>
          <w:iCs/>
          <w:snapToGrid/>
          <w:sz w:val="24"/>
          <w:szCs w:val="24"/>
        </w:rPr>
        <w:t>in</w:t>
      </w:r>
      <w:r w:rsidR="000342FD" w:rsidRPr="00BB3B34">
        <w:rPr>
          <w:rFonts w:asciiTheme="minorHAnsi" w:eastAsiaTheme="minorHAnsi" w:hAnsiTheme="minorHAnsi" w:cstheme="minorHAnsi"/>
          <w:iCs/>
          <w:snapToGrid/>
          <w:sz w:val="24"/>
          <w:szCs w:val="24"/>
        </w:rPr>
        <w:t xml:space="preserve"> Table 3</w:t>
      </w:r>
      <w:r w:rsidR="00A303E8" w:rsidRPr="00BB3B34">
        <w:rPr>
          <w:rFonts w:asciiTheme="minorHAnsi" w:eastAsiaTheme="minorHAnsi" w:hAnsiTheme="minorHAnsi" w:cstheme="minorHAnsi"/>
          <w:iCs/>
          <w:snapToGrid/>
          <w:sz w:val="24"/>
          <w:szCs w:val="24"/>
        </w:rPr>
        <w:t>)</w:t>
      </w:r>
      <w:r w:rsidR="00AD638A" w:rsidRPr="00BB3B34">
        <w:rPr>
          <w:rFonts w:asciiTheme="minorHAnsi" w:eastAsiaTheme="minorHAnsi" w:hAnsiTheme="minorHAnsi" w:cstheme="minorHAnsi"/>
          <w:snapToGrid/>
          <w:sz w:val="24"/>
          <w:szCs w:val="24"/>
        </w:rPr>
        <w:t xml:space="preserve">. </w:t>
      </w:r>
    </w:p>
    <w:p w:rsidR="00BA347C" w:rsidRPr="00BB3B34" w:rsidRDefault="00BA347C" w:rsidP="009830DD">
      <w:pPr>
        <w:pStyle w:val="Bodytextitalics"/>
        <w:jc w:val="both"/>
        <w:rPr>
          <w:rFonts w:cstheme="minorHAnsi"/>
          <w:i w:val="0"/>
          <w:iCs/>
        </w:rPr>
      </w:pPr>
      <w:r w:rsidRPr="00BB3B34">
        <w:rPr>
          <w:rFonts w:cstheme="minorHAnsi"/>
          <w:i w:val="0"/>
          <w:iCs/>
        </w:rPr>
        <w:lastRenderedPageBreak/>
        <w:t xml:space="preserve">As a minor submission, the financial estimates have </w:t>
      </w:r>
      <w:proofErr w:type="gramStart"/>
      <w:r w:rsidRPr="00BB3B34">
        <w:rPr>
          <w:rFonts w:cstheme="minorHAnsi"/>
          <w:i w:val="0"/>
          <w:iCs/>
        </w:rPr>
        <w:t>not been independently</w:t>
      </w:r>
      <w:proofErr w:type="gramEnd"/>
      <w:r w:rsidRPr="00BB3B34">
        <w:rPr>
          <w:rFonts w:cstheme="minorHAnsi"/>
          <w:i w:val="0"/>
          <w:iCs/>
        </w:rPr>
        <w:t xml:space="preserve"> evaluated.</w:t>
      </w:r>
    </w:p>
    <w:p w:rsidR="006C5023" w:rsidRPr="00BB3B34" w:rsidRDefault="006C5023" w:rsidP="009830DD">
      <w:pPr>
        <w:pStyle w:val="Heading2"/>
        <w:keepLines/>
        <w:spacing w:after="120"/>
        <w:rPr>
          <w:rFonts w:asciiTheme="minorHAnsi" w:eastAsiaTheme="majorEastAsia" w:hAnsiTheme="minorHAnsi" w:cstheme="majorBidi"/>
          <w:sz w:val="28"/>
          <w:szCs w:val="28"/>
          <w:lang w:eastAsia="en-US"/>
        </w:rPr>
      </w:pPr>
      <w:r w:rsidRPr="00BB3B34">
        <w:rPr>
          <w:rFonts w:asciiTheme="minorHAnsi" w:eastAsiaTheme="majorEastAsia" w:hAnsiTheme="minorHAnsi" w:cstheme="majorBidi"/>
          <w:sz w:val="28"/>
          <w:szCs w:val="28"/>
          <w:lang w:eastAsia="en-US"/>
        </w:rPr>
        <w:t>Financial Management – Risk Sharing Arrangement</w:t>
      </w:r>
    </w:p>
    <w:p w:rsidR="00C37B35" w:rsidRPr="00BB3B34" w:rsidRDefault="00BC2477" w:rsidP="00D13079">
      <w:pPr>
        <w:pStyle w:val="Bodytextitalics"/>
        <w:jc w:val="both"/>
        <w:rPr>
          <w:rFonts w:cstheme="minorHAnsi"/>
          <w:i w:val="0"/>
          <w:iCs/>
        </w:rPr>
      </w:pPr>
      <w:r w:rsidRPr="00BB3B34">
        <w:rPr>
          <w:rFonts w:cstheme="minorHAnsi"/>
          <w:i w:val="0"/>
          <w:iCs/>
        </w:rPr>
        <w:t xml:space="preserve">The PBAC recommended atezolizumab in November 2019 for </w:t>
      </w:r>
      <w:proofErr w:type="gramStart"/>
      <w:r w:rsidRPr="00BB3B34">
        <w:rPr>
          <w:rFonts w:cstheme="minorHAnsi"/>
          <w:i w:val="0"/>
          <w:iCs/>
        </w:rPr>
        <w:t>1L</w:t>
      </w:r>
      <w:proofErr w:type="gramEnd"/>
      <w:r w:rsidRPr="00BB3B34">
        <w:rPr>
          <w:rFonts w:cstheme="minorHAnsi"/>
          <w:i w:val="0"/>
          <w:iCs/>
        </w:rPr>
        <w:t xml:space="preserve"> ES-SCLC based on, among other matters, its assessment that the cost-effectiveness of atezolizumab would be acceptable at the price applied in the economic model</w:t>
      </w:r>
      <w:r w:rsidR="00AC718E" w:rsidRPr="00BB3B34">
        <w:rPr>
          <w:rFonts w:cstheme="minorHAnsi"/>
          <w:i w:val="0"/>
          <w:iCs/>
        </w:rPr>
        <w:t>. The PBAC was satisfied that the proposal to achieve cost-effectiveness through RSA rebates, in addition to a proposed reduction in the effective price, was reasonable in this case as the Committee had a high degree of confid</w:t>
      </w:r>
      <w:r w:rsidR="003C50B8">
        <w:rPr>
          <w:rFonts w:cstheme="minorHAnsi"/>
          <w:i w:val="0"/>
          <w:iCs/>
        </w:rPr>
        <w:t xml:space="preserve">ence in the financial estimates </w:t>
      </w:r>
      <w:r w:rsidR="006E2D6B" w:rsidRPr="00BB3B34">
        <w:rPr>
          <w:rFonts w:cstheme="minorHAnsi"/>
          <w:i w:val="0"/>
          <w:iCs/>
        </w:rPr>
        <w:t>(</w:t>
      </w:r>
      <w:r w:rsidR="005778DF" w:rsidRPr="00BB3B34">
        <w:rPr>
          <w:rFonts w:cstheme="minorHAnsi"/>
          <w:i w:val="0"/>
          <w:iCs/>
        </w:rPr>
        <w:t>paragraph</w:t>
      </w:r>
      <w:r w:rsidR="006E2D6B" w:rsidRPr="00BB3B34">
        <w:rPr>
          <w:rFonts w:cstheme="minorHAnsi"/>
          <w:i w:val="0"/>
          <w:iCs/>
        </w:rPr>
        <w:t xml:space="preserve"> 6.1</w:t>
      </w:r>
      <w:r w:rsidR="00AD6E91" w:rsidRPr="00BB3B34">
        <w:rPr>
          <w:rFonts w:cstheme="minorHAnsi"/>
          <w:i w:val="0"/>
          <w:iCs/>
        </w:rPr>
        <w:t xml:space="preserve">, atezolizumab </w:t>
      </w:r>
      <w:r w:rsidR="005778DF" w:rsidRPr="00BB3B34">
        <w:rPr>
          <w:rFonts w:cstheme="minorHAnsi"/>
          <w:i w:val="0"/>
          <w:iCs/>
        </w:rPr>
        <w:t xml:space="preserve">(ES-SCLC) </w:t>
      </w:r>
      <w:r w:rsidR="00D13079" w:rsidRPr="00BB3B34">
        <w:rPr>
          <w:rFonts w:cstheme="minorHAnsi"/>
          <w:i w:val="0"/>
          <w:iCs/>
        </w:rPr>
        <w:t>PSD</w:t>
      </w:r>
      <w:r w:rsidR="00AD6E91" w:rsidRPr="00BB3B34">
        <w:rPr>
          <w:rFonts w:cstheme="minorHAnsi"/>
          <w:i w:val="0"/>
          <w:iCs/>
        </w:rPr>
        <w:t xml:space="preserve">, </w:t>
      </w:r>
      <w:r w:rsidR="00F2164F" w:rsidRPr="00BB3B34">
        <w:rPr>
          <w:rFonts w:cstheme="minorHAnsi"/>
          <w:i w:val="0"/>
          <w:iCs/>
        </w:rPr>
        <w:t>November,</w:t>
      </w:r>
      <w:r w:rsidR="00AD6E91" w:rsidRPr="00BB3B34">
        <w:rPr>
          <w:rFonts w:cstheme="minorHAnsi"/>
          <w:i w:val="0"/>
          <w:iCs/>
        </w:rPr>
        <w:t xml:space="preserve"> 2019</w:t>
      </w:r>
      <w:r w:rsidR="006E2D6B" w:rsidRPr="00BB3B34">
        <w:rPr>
          <w:rFonts w:cstheme="minorHAnsi"/>
          <w:i w:val="0"/>
          <w:iCs/>
        </w:rPr>
        <w:t>).</w:t>
      </w:r>
    </w:p>
    <w:p w:rsidR="006E2D6B" w:rsidRPr="00BB3B34" w:rsidRDefault="006E2D6B" w:rsidP="001A1B56">
      <w:pPr>
        <w:pStyle w:val="3Bodytext"/>
        <w:numPr>
          <w:ilvl w:val="1"/>
          <w:numId w:val="1"/>
        </w:numPr>
        <w:jc w:val="both"/>
      </w:pPr>
      <w:r w:rsidRPr="00BB3B34">
        <w:t>The Secretariat noted that, if implemented, the new form of atezolizumab, 840 mg/14</w:t>
      </w:r>
      <w:r w:rsidR="005778DF" w:rsidRPr="00BB3B34">
        <w:t xml:space="preserve"> </w:t>
      </w:r>
      <w:r w:rsidRPr="00BB3B34">
        <w:t>mL injection, would be included under the RSA for ES-SCLC</w:t>
      </w:r>
      <w:r w:rsidR="00201D18" w:rsidRPr="00BB3B34">
        <w:t xml:space="preserve">. </w:t>
      </w:r>
    </w:p>
    <w:p w:rsidR="00CC5E0C" w:rsidRPr="00BB3B34" w:rsidRDefault="00CC5E0C" w:rsidP="00CC5E0C">
      <w:pPr>
        <w:pStyle w:val="3Bodytext"/>
        <w:ind w:left="720"/>
        <w:jc w:val="both"/>
        <w:rPr>
          <w:i/>
          <w:iCs/>
        </w:rPr>
      </w:pPr>
      <w:r w:rsidRPr="00BB3B34">
        <w:rPr>
          <w:i/>
          <w:iCs/>
        </w:rPr>
        <w:t>For more detail</w:t>
      </w:r>
      <w:r w:rsidR="00AA295F" w:rsidRPr="00BB3B34">
        <w:rPr>
          <w:i/>
          <w:iCs/>
        </w:rPr>
        <w:t xml:space="preserve"> on PBAC’s view, see section 6</w:t>
      </w:r>
      <w:r w:rsidRPr="00BB3B34">
        <w:rPr>
          <w:i/>
          <w:iCs/>
        </w:rPr>
        <w:t xml:space="preserve"> PBAC outcome.</w:t>
      </w:r>
    </w:p>
    <w:p w:rsidR="006D6F74" w:rsidRPr="00BB3B34" w:rsidRDefault="006D6F74" w:rsidP="003D6716">
      <w:pPr>
        <w:pStyle w:val="2Sections"/>
      </w:pPr>
      <w:r w:rsidRPr="00BB3B34">
        <w:t>PBAC Outcome</w:t>
      </w:r>
    </w:p>
    <w:p w:rsidR="0088299B" w:rsidRPr="00BB3B34" w:rsidRDefault="002E06A9" w:rsidP="00E25B8D">
      <w:pPr>
        <w:pStyle w:val="3Bodytext"/>
        <w:numPr>
          <w:ilvl w:val="1"/>
          <w:numId w:val="1"/>
        </w:numPr>
        <w:jc w:val="both"/>
        <w:rPr>
          <w:bCs/>
        </w:rPr>
      </w:pPr>
      <w:r w:rsidRPr="00BB3B34">
        <w:t>The PBAC recommended</w:t>
      </w:r>
      <w:r w:rsidR="00A31042" w:rsidRPr="00BB3B34">
        <w:t xml:space="preserve"> extending</w:t>
      </w:r>
      <w:r w:rsidR="0090131D" w:rsidRPr="00BB3B34">
        <w:t xml:space="preserve"> </w:t>
      </w:r>
      <w:r w:rsidR="00A31042" w:rsidRPr="00BB3B34">
        <w:t xml:space="preserve">its November 2019 recommendation for </w:t>
      </w:r>
      <w:r w:rsidR="00911180" w:rsidRPr="00BB3B34">
        <w:t xml:space="preserve">the </w:t>
      </w:r>
      <w:r w:rsidR="00B93BFC" w:rsidRPr="00BB3B34">
        <w:t xml:space="preserve">840 mg in </w:t>
      </w:r>
      <w:r w:rsidR="00A31042" w:rsidRPr="00BB3B34">
        <w:t>14 mL injection</w:t>
      </w:r>
      <w:r w:rsidR="0014410B" w:rsidRPr="00BB3B34">
        <w:t xml:space="preserve"> of atezolizumab</w:t>
      </w:r>
      <w:r w:rsidR="00A31042" w:rsidRPr="00BB3B34">
        <w:t xml:space="preserve"> and</w:t>
      </w:r>
      <w:r w:rsidRPr="00BB3B34">
        <w:t xml:space="preserve"> the addition of </w:t>
      </w:r>
      <w:r w:rsidR="00A16F88" w:rsidRPr="00BB3B34">
        <w:t xml:space="preserve">the </w:t>
      </w:r>
      <w:r w:rsidR="0088299B" w:rsidRPr="00BB3B34">
        <w:t xml:space="preserve">1680 mg Q4W flat dosing regimen </w:t>
      </w:r>
      <w:r w:rsidR="00B93BFC" w:rsidRPr="00BB3B34">
        <w:t xml:space="preserve">to include </w:t>
      </w:r>
      <w:r w:rsidR="0088299B" w:rsidRPr="00BB3B34">
        <w:t>the treatment of previously untreated patients with extensive stage small cell lung cancer (1L ES-SCLC) where atezolizumab monotherapy is used for continuing treatment.</w:t>
      </w:r>
    </w:p>
    <w:p w:rsidR="00E92A5A" w:rsidRPr="00BB3B34" w:rsidRDefault="00246CFF" w:rsidP="00462C46">
      <w:pPr>
        <w:pStyle w:val="Bodytextitalics"/>
        <w:jc w:val="both"/>
        <w:rPr>
          <w:i w:val="0"/>
          <w:iCs/>
        </w:rPr>
      </w:pPr>
      <w:r w:rsidRPr="00BB3B34">
        <w:rPr>
          <w:i w:val="0"/>
          <w:iCs/>
        </w:rPr>
        <w:t xml:space="preserve">The PBAC noted that no </w:t>
      </w:r>
      <w:r w:rsidR="00E92A5A" w:rsidRPr="00BB3B34">
        <w:rPr>
          <w:i w:val="0"/>
          <w:iCs/>
        </w:rPr>
        <w:t xml:space="preserve">new </w:t>
      </w:r>
      <w:r w:rsidR="00A53519" w:rsidRPr="00BB3B34">
        <w:rPr>
          <w:i w:val="0"/>
          <w:iCs/>
        </w:rPr>
        <w:t xml:space="preserve">clinical </w:t>
      </w:r>
      <w:r w:rsidR="00E92A5A" w:rsidRPr="00BB3B34">
        <w:rPr>
          <w:i w:val="0"/>
          <w:iCs/>
        </w:rPr>
        <w:t xml:space="preserve">evidence </w:t>
      </w:r>
      <w:proofErr w:type="gramStart"/>
      <w:r w:rsidRPr="00BB3B34">
        <w:rPr>
          <w:i w:val="0"/>
          <w:iCs/>
        </w:rPr>
        <w:t>was provided</w:t>
      </w:r>
      <w:proofErr w:type="gramEnd"/>
      <w:r w:rsidRPr="00BB3B34">
        <w:rPr>
          <w:i w:val="0"/>
          <w:iCs/>
        </w:rPr>
        <w:t xml:space="preserve"> to </w:t>
      </w:r>
      <w:r w:rsidR="00C81F51" w:rsidRPr="00BB3B34">
        <w:rPr>
          <w:i w:val="0"/>
          <w:iCs/>
        </w:rPr>
        <w:t>compare</w:t>
      </w:r>
      <w:r w:rsidR="00E92A5A" w:rsidRPr="00BB3B34">
        <w:rPr>
          <w:i w:val="0"/>
          <w:iCs/>
        </w:rPr>
        <w:t xml:space="preserve"> </w:t>
      </w:r>
      <w:r w:rsidR="00C81F51" w:rsidRPr="00BB3B34">
        <w:rPr>
          <w:i w:val="0"/>
          <w:iCs/>
        </w:rPr>
        <w:t>the two flat dosing regimens in terms of efficacy and safety</w:t>
      </w:r>
      <w:r w:rsidRPr="00BB3B34">
        <w:rPr>
          <w:i w:val="0"/>
          <w:iCs/>
        </w:rPr>
        <w:t>. However, the PBAC</w:t>
      </w:r>
      <w:r w:rsidR="000B2F41" w:rsidRPr="00BB3B34">
        <w:rPr>
          <w:i w:val="0"/>
          <w:iCs/>
        </w:rPr>
        <w:t xml:space="preserve"> recalled it previously considered</w:t>
      </w:r>
      <w:r w:rsidRPr="00BB3B34">
        <w:rPr>
          <w:i w:val="0"/>
          <w:iCs/>
        </w:rPr>
        <w:t xml:space="preserve"> </w:t>
      </w:r>
      <w:r w:rsidR="000B2F41" w:rsidRPr="00BB3B34">
        <w:rPr>
          <w:i w:val="0"/>
          <w:iCs/>
        </w:rPr>
        <w:t>that the 1680 mg Q4W dosing regimen was likely comparable to the 1200 mg Q3W dosing regimen based on the same evidence in its November 2019 consideration of the addition of the 1680 mg Q4W dosing regimen for NSCLC indications.</w:t>
      </w:r>
      <w:r w:rsidR="005C5CE2" w:rsidRPr="00BB3B34">
        <w:rPr>
          <w:i w:val="0"/>
          <w:iCs/>
        </w:rPr>
        <w:t xml:space="preserve"> In this regard, the PBAC </w:t>
      </w:r>
      <w:r w:rsidR="00B04F47" w:rsidRPr="00BB3B34">
        <w:rPr>
          <w:i w:val="0"/>
          <w:iCs/>
        </w:rPr>
        <w:t>considered</w:t>
      </w:r>
      <w:r w:rsidR="00462C46" w:rsidRPr="00BB3B34">
        <w:rPr>
          <w:i w:val="0"/>
          <w:iCs/>
        </w:rPr>
        <w:t xml:space="preserve"> </w:t>
      </w:r>
      <w:r w:rsidRPr="00BB3B34">
        <w:rPr>
          <w:i w:val="0"/>
          <w:iCs/>
        </w:rPr>
        <w:t xml:space="preserve">that </w:t>
      </w:r>
      <w:r w:rsidR="00C81F51" w:rsidRPr="00BB3B34">
        <w:rPr>
          <w:i w:val="0"/>
          <w:iCs/>
        </w:rPr>
        <w:t xml:space="preserve">the effectiveness and safety of </w:t>
      </w:r>
      <w:r w:rsidRPr="00BB3B34">
        <w:rPr>
          <w:i w:val="0"/>
          <w:iCs/>
        </w:rPr>
        <w:t xml:space="preserve">the 1680 mg Q4W dosing regimen </w:t>
      </w:r>
      <w:r w:rsidR="00C81F51" w:rsidRPr="00BB3B34">
        <w:rPr>
          <w:i w:val="0"/>
          <w:iCs/>
        </w:rPr>
        <w:t xml:space="preserve">is </w:t>
      </w:r>
      <w:r w:rsidRPr="00BB3B34">
        <w:rPr>
          <w:i w:val="0"/>
          <w:iCs/>
        </w:rPr>
        <w:t xml:space="preserve">likely comparable to </w:t>
      </w:r>
      <w:r w:rsidR="00C81F51" w:rsidRPr="00BB3B34">
        <w:rPr>
          <w:i w:val="0"/>
          <w:iCs/>
        </w:rPr>
        <w:t xml:space="preserve">that of </w:t>
      </w:r>
      <w:r w:rsidRPr="00BB3B34">
        <w:rPr>
          <w:i w:val="0"/>
          <w:iCs/>
        </w:rPr>
        <w:t>the 1200 mg Q3W dosing regimen</w:t>
      </w:r>
      <w:r w:rsidR="00DF6647" w:rsidRPr="00BB3B34">
        <w:rPr>
          <w:i w:val="0"/>
          <w:iCs/>
        </w:rPr>
        <w:t xml:space="preserve"> for 1L ES-SCLC.</w:t>
      </w:r>
    </w:p>
    <w:p w:rsidR="00244D82" w:rsidRPr="00BB3B34" w:rsidRDefault="0099634D" w:rsidP="00540C61">
      <w:pPr>
        <w:pStyle w:val="Bodytextitalics"/>
        <w:jc w:val="both"/>
        <w:rPr>
          <w:rFonts w:ascii="Arial" w:eastAsia="Times New Roman" w:hAnsi="Arial" w:cs="Arial"/>
          <w:i w:val="0"/>
          <w:iCs/>
          <w:snapToGrid w:val="0"/>
          <w:sz w:val="22"/>
          <w:szCs w:val="20"/>
        </w:rPr>
      </w:pPr>
      <w:r>
        <w:rPr>
          <w:i w:val="0"/>
          <w:iCs/>
        </w:rPr>
        <w:t xml:space="preserve">The PBAC noted that the sponsor had previously agreed to pricing </w:t>
      </w:r>
      <w:r w:rsidR="004B5472">
        <w:rPr>
          <w:i w:val="0"/>
          <w:iCs/>
        </w:rPr>
        <w:t xml:space="preserve">for the 1680 mg </w:t>
      </w:r>
      <w:r>
        <w:rPr>
          <w:i w:val="0"/>
          <w:iCs/>
        </w:rPr>
        <w:t xml:space="preserve">Q4W dosing regimen in 1L and 2L NSCLC based on cost-minimisation at the ex-manufacturer level compared to the </w:t>
      </w:r>
      <w:r w:rsidR="004B5472">
        <w:rPr>
          <w:i w:val="0"/>
          <w:iCs/>
        </w:rPr>
        <w:t xml:space="preserve">1200 mg </w:t>
      </w:r>
      <w:r>
        <w:rPr>
          <w:i w:val="0"/>
          <w:iCs/>
        </w:rPr>
        <w:t xml:space="preserve">Q3W dosing regimen, and </w:t>
      </w:r>
      <w:r w:rsidR="007272C4" w:rsidRPr="00BB3B34">
        <w:rPr>
          <w:i w:val="0"/>
          <w:iCs/>
        </w:rPr>
        <w:t xml:space="preserve">considered it would be appropriate </w:t>
      </w:r>
      <w:r>
        <w:rPr>
          <w:i w:val="0"/>
          <w:iCs/>
        </w:rPr>
        <w:t>to apply consistent methodology for the 1L ES-SCLC indication. Further, t</w:t>
      </w:r>
      <w:r w:rsidR="00D36A20" w:rsidRPr="00BB3B34">
        <w:rPr>
          <w:i w:val="0"/>
          <w:iCs/>
        </w:rPr>
        <w:t>he PBAC considered that the cost of treatment with the 1680 mg Q4W dosing regimen should not exceed that of the 1200 mg Q3W dosing regimen.</w:t>
      </w:r>
      <w:r w:rsidR="007272C4" w:rsidRPr="00BB3B34">
        <w:rPr>
          <w:i w:val="0"/>
          <w:iCs/>
        </w:rPr>
        <w:t xml:space="preserve"> </w:t>
      </w:r>
    </w:p>
    <w:p w:rsidR="00246CFF" w:rsidRPr="00BB3B34" w:rsidRDefault="009D4773" w:rsidP="00244D82">
      <w:pPr>
        <w:pStyle w:val="ListParagraph"/>
        <w:widowControl/>
        <w:numPr>
          <w:ilvl w:val="1"/>
          <w:numId w:val="1"/>
        </w:numPr>
        <w:spacing w:after="120"/>
        <w:contextualSpacing w:val="0"/>
      </w:pPr>
      <w:r w:rsidRPr="00BB3B34">
        <w:rPr>
          <w:rFonts w:asciiTheme="minorHAnsi" w:eastAsiaTheme="minorHAnsi" w:hAnsiTheme="minorHAnsi" w:cstheme="minorHAnsi"/>
          <w:iCs/>
          <w:snapToGrid/>
          <w:sz w:val="24"/>
          <w:szCs w:val="24"/>
        </w:rPr>
        <w:t xml:space="preserve">The PBAC noted the uncertainty around the estimated </w:t>
      </w:r>
      <w:r w:rsidR="00CC4F9E" w:rsidRPr="00BB3B34">
        <w:rPr>
          <w:rFonts w:asciiTheme="minorHAnsi" w:eastAsiaTheme="minorHAnsi" w:hAnsiTheme="minorHAnsi" w:cstheme="minorHAnsi"/>
          <w:iCs/>
          <w:snapToGrid/>
          <w:sz w:val="24"/>
          <w:szCs w:val="24"/>
        </w:rPr>
        <w:t xml:space="preserve">100% </w:t>
      </w:r>
      <w:r w:rsidRPr="00BB3B34">
        <w:rPr>
          <w:rFonts w:asciiTheme="minorHAnsi" w:eastAsiaTheme="minorHAnsi" w:hAnsiTheme="minorHAnsi" w:cstheme="minorHAnsi"/>
          <w:iCs/>
          <w:snapToGrid/>
          <w:sz w:val="24"/>
          <w:szCs w:val="24"/>
        </w:rPr>
        <w:t>uptake of</w:t>
      </w:r>
      <w:r w:rsidRPr="00BB3B34">
        <w:rPr>
          <w:rFonts w:asciiTheme="minorHAnsi" w:hAnsiTheme="minorHAnsi" w:cstheme="minorHAnsi"/>
          <w:iCs/>
          <w:sz w:val="24"/>
          <w:szCs w:val="24"/>
        </w:rPr>
        <w:t xml:space="preserve"> the 1680 mg Q4W dosing regimen</w:t>
      </w:r>
      <w:r w:rsidR="00CC4F9E" w:rsidRPr="00BB3B34">
        <w:rPr>
          <w:rFonts w:asciiTheme="minorHAnsi" w:hAnsiTheme="minorHAnsi" w:cstheme="minorHAnsi"/>
          <w:iCs/>
          <w:sz w:val="24"/>
          <w:szCs w:val="24"/>
        </w:rPr>
        <w:t xml:space="preserve"> for continuing treatment</w:t>
      </w:r>
      <w:r w:rsidRPr="00BB3B34">
        <w:rPr>
          <w:rFonts w:asciiTheme="minorHAnsi" w:hAnsiTheme="minorHAnsi" w:cstheme="minorHAnsi"/>
          <w:iCs/>
          <w:sz w:val="24"/>
          <w:szCs w:val="24"/>
        </w:rPr>
        <w:t>. H</w:t>
      </w:r>
      <w:r w:rsidRPr="00BB3B34">
        <w:rPr>
          <w:rFonts w:asciiTheme="minorHAnsi" w:eastAsiaTheme="minorHAnsi" w:hAnsiTheme="minorHAnsi" w:cstheme="minorHAnsi"/>
          <w:iCs/>
          <w:snapToGrid/>
          <w:sz w:val="24"/>
          <w:szCs w:val="24"/>
        </w:rPr>
        <w:t>owever, the PBAC considered</w:t>
      </w:r>
      <w:r w:rsidR="003E0EA0" w:rsidRPr="00BB3B34">
        <w:rPr>
          <w:rFonts w:asciiTheme="minorHAnsi" w:eastAsiaTheme="minorHAnsi" w:hAnsiTheme="minorHAnsi" w:cstheme="minorHAnsi"/>
          <w:iCs/>
          <w:snapToGrid/>
          <w:sz w:val="24"/>
          <w:szCs w:val="24"/>
        </w:rPr>
        <w:t xml:space="preserve"> </w:t>
      </w:r>
      <w:r w:rsidR="009D171F" w:rsidRPr="00BB3B34">
        <w:rPr>
          <w:rFonts w:asciiTheme="minorHAnsi" w:eastAsiaTheme="minorHAnsi" w:hAnsiTheme="minorHAnsi" w:cstheme="minorHAnsi"/>
          <w:iCs/>
          <w:snapToGrid/>
          <w:sz w:val="24"/>
          <w:szCs w:val="24"/>
        </w:rPr>
        <w:t xml:space="preserve">it was likely that most patients </w:t>
      </w:r>
      <w:proofErr w:type="gramStart"/>
      <w:r w:rsidR="009D171F" w:rsidRPr="00BB3B34">
        <w:rPr>
          <w:rFonts w:asciiTheme="minorHAnsi" w:eastAsiaTheme="minorHAnsi" w:hAnsiTheme="minorHAnsi" w:cstheme="minorHAnsi"/>
          <w:iCs/>
          <w:snapToGrid/>
          <w:sz w:val="24"/>
          <w:szCs w:val="24"/>
        </w:rPr>
        <w:t>would be prescribed</w:t>
      </w:r>
      <w:proofErr w:type="gramEnd"/>
      <w:r w:rsidR="009D171F" w:rsidRPr="00BB3B34">
        <w:rPr>
          <w:rFonts w:asciiTheme="minorHAnsi" w:eastAsiaTheme="minorHAnsi" w:hAnsiTheme="minorHAnsi" w:cstheme="minorHAnsi"/>
          <w:iCs/>
          <w:snapToGrid/>
          <w:sz w:val="24"/>
          <w:szCs w:val="24"/>
        </w:rPr>
        <w:t xml:space="preserve"> this new dosing regimen once it became available. The PBAC considered that overall the addition of the 1680 mg Q4W dosing regimen for </w:t>
      </w:r>
      <w:proofErr w:type="gramStart"/>
      <w:r w:rsidR="009D171F" w:rsidRPr="00BB3B34">
        <w:rPr>
          <w:rFonts w:asciiTheme="minorHAnsi" w:eastAsiaTheme="minorHAnsi" w:hAnsiTheme="minorHAnsi" w:cstheme="minorHAnsi"/>
          <w:iCs/>
          <w:snapToGrid/>
          <w:sz w:val="24"/>
          <w:szCs w:val="24"/>
        </w:rPr>
        <w:t>1L</w:t>
      </w:r>
      <w:proofErr w:type="gramEnd"/>
      <w:r w:rsidR="009D171F" w:rsidRPr="00BB3B34">
        <w:rPr>
          <w:rFonts w:asciiTheme="minorHAnsi" w:eastAsiaTheme="minorHAnsi" w:hAnsiTheme="minorHAnsi" w:cstheme="minorHAnsi"/>
          <w:iCs/>
          <w:snapToGrid/>
          <w:sz w:val="24"/>
          <w:szCs w:val="24"/>
        </w:rPr>
        <w:t xml:space="preserve"> ES-SCLC, would likely have </w:t>
      </w:r>
      <w:r w:rsidR="003E0EA0" w:rsidRPr="00BB3B34">
        <w:rPr>
          <w:rFonts w:asciiTheme="minorHAnsi" w:eastAsiaTheme="minorHAnsi" w:hAnsiTheme="minorHAnsi" w:cstheme="minorHAnsi"/>
          <w:iCs/>
          <w:snapToGrid/>
          <w:sz w:val="24"/>
          <w:szCs w:val="24"/>
        </w:rPr>
        <w:t xml:space="preserve">a negligible </w:t>
      </w:r>
      <w:r w:rsidR="009D171F" w:rsidRPr="00BB3B34">
        <w:rPr>
          <w:rFonts w:asciiTheme="minorHAnsi" w:eastAsiaTheme="minorHAnsi" w:hAnsiTheme="minorHAnsi" w:cstheme="minorHAnsi"/>
          <w:iCs/>
          <w:snapToGrid/>
          <w:sz w:val="24"/>
          <w:szCs w:val="24"/>
        </w:rPr>
        <w:t xml:space="preserve">financial </w:t>
      </w:r>
      <w:r w:rsidR="003E0EA0" w:rsidRPr="00BB3B34">
        <w:rPr>
          <w:rFonts w:asciiTheme="minorHAnsi" w:eastAsiaTheme="minorHAnsi" w:hAnsiTheme="minorHAnsi" w:cstheme="minorHAnsi"/>
          <w:iCs/>
          <w:snapToGrid/>
          <w:sz w:val="24"/>
          <w:szCs w:val="24"/>
        </w:rPr>
        <w:t xml:space="preserve">impact </w:t>
      </w:r>
      <w:r w:rsidR="009D171F" w:rsidRPr="00BB3B34">
        <w:rPr>
          <w:rFonts w:asciiTheme="minorHAnsi" w:eastAsiaTheme="minorHAnsi" w:hAnsiTheme="minorHAnsi" w:cstheme="minorHAnsi"/>
          <w:iCs/>
          <w:snapToGrid/>
          <w:sz w:val="24"/>
          <w:szCs w:val="24"/>
        </w:rPr>
        <w:t>for</w:t>
      </w:r>
      <w:r w:rsidR="003E0EA0" w:rsidRPr="00BB3B34">
        <w:rPr>
          <w:rFonts w:asciiTheme="minorHAnsi" w:eastAsiaTheme="minorHAnsi" w:hAnsiTheme="minorHAnsi" w:cstheme="minorHAnsi"/>
          <w:iCs/>
          <w:snapToGrid/>
          <w:sz w:val="24"/>
          <w:szCs w:val="24"/>
        </w:rPr>
        <w:t xml:space="preserve"> </w:t>
      </w:r>
      <w:r w:rsidR="00C307AF" w:rsidRPr="00BB3B34">
        <w:rPr>
          <w:rFonts w:asciiTheme="minorHAnsi" w:eastAsiaTheme="minorHAnsi" w:hAnsiTheme="minorHAnsi" w:cstheme="minorHAnsi"/>
          <w:iCs/>
          <w:snapToGrid/>
          <w:sz w:val="24"/>
          <w:szCs w:val="24"/>
        </w:rPr>
        <w:t xml:space="preserve">the </w:t>
      </w:r>
      <w:r w:rsidR="003E0EA0" w:rsidRPr="00BB3B34">
        <w:rPr>
          <w:rFonts w:asciiTheme="minorHAnsi" w:eastAsiaTheme="minorHAnsi" w:hAnsiTheme="minorHAnsi" w:cstheme="minorHAnsi"/>
          <w:iCs/>
          <w:snapToGrid/>
          <w:sz w:val="24"/>
          <w:szCs w:val="24"/>
        </w:rPr>
        <w:t>Government</w:t>
      </w:r>
      <w:r w:rsidR="00244D82" w:rsidRPr="00BB3B34">
        <w:rPr>
          <w:rFonts w:asciiTheme="minorHAnsi" w:eastAsiaTheme="minorHAnsi" w:hAnsiTheme="minorHAnsi" w:cstheme="minorHAnsi"/>
          <w:iCs/>
          <w:snapToGrid/>
          <w:sz w:val="24"/>
          <w:szCs w:val="24"/>
        </w:rPr>
        <w:t xml:space="preserve">. </w:t>
      </w:r>
    </w:p>
    <w:p w:rsidR="00CC4F9E" w:rsidRPr="00BB3B34" w:rsidRDefault="00CC4F9E" w:rsidP="00E7267E">
      <w:pPr>
        <w:pStyle w:val="Bodytextitalics"/>
        <w:numPr>
          <w:ilvl w:val="1"/>
          <w:numId w:val="1"/>
        </w:numPr>
        <w:jc w:val="both"/>
        <w:rPr>
          <w:i w:val="0"/>
          <w:iCs/>
        </w:rPr>
      </w:pPr>
      <w:r w:rsidRPr="00BB3B34">
        <w:rPr>
          <w:rFonts w:cstheme="minorHAnsi"/>
          <w:i w:val="0"/>
          <w:iCs/>
          <w:szCs w:val="24"/>
        </w:rPr>
        <w:lastRenderedPageBreak/>
        <w:t xml:space="preserve">The PBAC </w:t>
      </w:r>
      <w:r w:rsidR="005B1224" w:rsidRPr="00BB3B34">
        <w:rPr>
          <w:rFonts w:cstheme="minorHAnsi"/>
          <w:i w:val="0"/>
          <w:iCs/>
          <w:szCs w:val="24"/>
        </w:rPr>
        <w:t xml:space="preserve">considered that </w:t>
      </w:r>
      <w:proofErr w:type="gramStart"/>
      <w:r w:rsidR="00714ABC" w:rsidRPr="00BB3B34">
        <w:rPr>
          <w:i w:val="0"/>
          <w:iCs/>
        </w:rPr>
        <w:t>3</w:t>
      </w:r>
      <w:proofErr w:type="gramEnd"/>
      <w:r w:rsidR="00714ABC" w:rsidRPr="00BB3B34">
        <w:rPr>
          <w:i w:val="0"/>
          <w:iCs/>
        </w:rPr>
        <w:t xml:space="preserve"> repeats for continuing treatment</w:t>
      </w:r>
      <w:r w:rsidR="00341ACE" w:rsidRPr="00BB3B34">
        <w:rPr>
          <w:i w:val="0"/>
          <w:iCs/>
        </w:rPr>
        <w:t xml:space="preserve">, </w:t>
      </w:r>
      <w:r w:rsidR="00C96CD7" w:rsidRPr="00BB3B34">
        <w:rPr>
          <w:i w:val="0"/>
          <w:iCs/>
        </w:rPr>
        <w:t>which would provide 16 weeks of therapy under a Q4W dosing regimen</w:t>
      </w:r>
      <w:r w:rsidR="00341ACE" w:rsidRPr="00BB3B34">
        <w:rPr>
          <w:i w:val="0"/>
          <w:iCs/>
        </w:rPr>
        <w:t>,</w:t>
      </w:r>
      <w:r w:rsidR="00C96CD7" w:rsidRPr="00BB3B34">
        <w:rPr>
          <w:i w:val="0"/>
          <w:iCs/>
        </w:rPr>
        <w:t xml:space="preserve"> would be appropriate</w:t>
      </w:r>
      <w:r w:rsidR="00714ABC" w:rsidRPr="00BB3B34">
        <w:rPr>
          <w:bCs/>
          <w:i w:val="0"/>
          <w:iCs/>
        </w:rPr>
        <w:t xml:space="preserve">. </w:t>
      </w:r>
    </w:p>
    <w:p w:rsidR="00746AD4" w:rsidRPr="00BB3B34" w:rsidRDefault="00746AD4" w:rsidP="00EB6945">
      <w:pPr>
        <w:pStyle w:val="Bodytextitalics"/>
        <w:numPr>
          <w:ilvl w:val="1"/>
          <w:numId w:val="1"/>
        </w:numPr>
        <w:jc w:val="both"/>
        <w:rPr>
          <w:i w:val="0"/>
          <w:iCs/>
        </w:rPr>
      </w:pPr>
      <w:r w:rsidRPr="00BB3B34">
        <w:rPr>
          <w:rFonts w:cstheme="minorHAnsi"/>
          <w:i w:val="0"/>
          <w:iCs/>
          <w:szCs w:val="24"/>
        </w:rPr>
        <w:t>The PBAC considered that additional grandfathering provisions for the 1680 mg Q4W dosing regimen would not be required as any</w:t>
      </w:r>
      <w:r w:rsidR="007C2F68" w:rsidRPr="00BB3B34">
        <w:rPr>
          <w:rFonts w:cstheme="minorHAnsi"/>
          <w:i w:val="0"/>
          <w:iCs/>
          <w:szCs w:val="24"/>
        </w:rPr>
        <w:t xml:space="preserve"> 1L ES-SCLC</w:t>
      </w:r>
      <w:r w:rsidRPr="00BB3B34">
        <w:rPr>
          <w:rFonts w:cstheme="minorHAnsi"/>
          <w:i w:val="0"/>
          <w:iCs/>
          <w:szCs w:val="24"/>
        </w:rPr>
        <w:t xml:space="preserve"> grand</w:t>
      </w:r>
      <w:r w:rsidR="00EB6945" w:rsidRPr="00BB3B34">
        <w:rPr>
          <w:rFonts w:cstheme="minorHAnsi"/>
          <w:i w:val="0"/>
          <w:iCs/>
          <w:szCs w:val="24"/>
        </w:rPr>
        <w:t>fathered</w:t>
      </w:r>
      <w:r w:rsidR="007C2F68" w:rsidRPr="00BB3B34">
        <w:rPr>
          <w:rFonts w:cstheme="minorHAnsi"/>
          <w:i w:val="0"/>
          <w:iCs/>
          <w:szCs w:val="24"/>
        </w:rPr>
        <w:t xml:space="preserve"> patients could be prescribed the 1680 mg Q4W dosing regimen under the continuing treatment restriction following PBS subsidised treatment under the existing grandfather restriction for 1L ES-SCLC. </w:t>
      </w:r>
    </w:p>
    <w:p w:rsidR="006E29B3" w:rsidRPr="00BB3B34" w:rsidRDefault="006E29B3" w:rsidP="009C563E">
      <w:pPr>
        <w:pStyle w:val="Bodytextitalics"/>
        <w:numPr>
          <w:ilvl w:val="1"/>
          <w:numId w:val="1"/>
        </w:numPr>
        <w:jc w:val="both"/>
        <w:rPr>
          <w:i w:val="0"/>
          <w:iCs/>
        </w:rPr>
      </w:pPr>
      <w:r w:rsidRPr="00BB3B34">
        <w:rPr>
          <w:i w:val="0"/>
          <w:iCs/>
          <w:szCs w:val="24"/>
        </w:rPr>
        <w:t>The</w:t>
      </w:r>
      <w:r w:rsidRPr="00BB3B34">
        <w:rPr>
          <w:i w:val="0"/>
          <w:iCs/>
        </w:rPr>
        <w:t xml:space="preserve"> PBAC considered</w:t>
      </w:r>
      <w:r w:rsidR="009D171F" w:rsidRPr="00BB3B34">
        <w:rPr>
          <w:i w:val="0"/>
          <w:iCs/>
        </w:rPr>
        <w:t xml:space="preserve"> that</w:t>
      </w:r>
      <w:r w:rsidRPr="00BB3B34">
        <w:rPr>
          <w:i w:val="0"/>
          <w:iCs/>
        </w:rPr>
        <w:t xml:space="preserve"> </w:t>
      </w:r>
      <w:r w:rsidR="00F82B21" w:rsidRPr="00BB3B34">
        <w:rPr>
          <w:i w:val="0"/>
          <w:iCs/>
        </w:rPr>
        <w:t xml:space="preserve">improved convenience from less </w:t>
      </w:r>
      <w:r w:rsidR="00304A70" w:rsidRPr="00BB3B34">
        <w:rPr>
          <w:i w:val="0"/>
          <w:iCs/>
        </w:rPr>
        <w:t xml:space="preserve">frequent dosing would </w:t>
      </w:r>
      <w:r w:rsidR="00F82B21" w:rsidRPr="00BB3B34">
        <w:rPr>
          <w:i w:val="0"/>
          <w:iCs/>
        </w:rPr>
        <w:t>be</w:t>
      </w:r>
      <w:r w:rsidR="009C563E" w:rsidRPr="00BB3B34">
        <w:rPr>
          <w:i w:val="0"/>
          <w:iCs/>
        </w:rPr>
        <w:t xml:space="preserve"> </w:t>
      </w:r>
      <w:r w:rsidR="00F82B21" w:rsidRPr="00BB3B34">
        <w:rPr>
          <w:i w:val="0"/>
          <w:iCs/>
        </w:rPr>
        <w:t>beneficial</w:t>
      </w:r>
      <w:r w:rsidR="009C563E" w:rsidRPr="00BB3B34">
        <w:rPr>
          <w:i w:val="0"/>
          <w:iCs/>
        </w:rPr>
        <w:t xml:space="preserve"> for patients</w:t>
      </w:r>
      <w:r w:rsidR="009D171F" w:rsidRPr="00BB3B34">
        <w:rPr>
          <w:i w:val="0"/>
          <w:iCs/>
        </w:rPr>
        <w:t>, particularly those</w:t>
      </w:r>
      <w:r w:rsidR="00F82B21" w:rsidRPr="00BB3B34">
        <w:rPr>
          <w:i w:val="0"/>
          <w:iCs/>
        </w:rPr>
        <w:t xml:space="preserve"> </w:t>
      </w:r>
      <w:r w:rsidR="00304A70" w:rsidRPr="00BB3B34">
        <w:rPr>
          <w:i w:val="0"/>
          <w:iCs/>
        </w:rPr>
        <w:t xml:space="preserve">in rural </w:t>
      </w:r>
      <w:r w:rsidR="00F82B21" w:rsidRPr="00BB3B34">
        <w:rPr>
          <w:i w:val="0"/>
          <w:iCs/>
        </w:rPr>
        <w:t xml:space="preserve">or remote </w:t>
      </w:r>
      <w:r w:rsidR="00304A70" w:rsidRPr="00BB3B34">
        <w:rPr>
          <w:i w:val="0"/>
          <w:iCs/>
        </w:rPr>
        <w:t>areas.</w:t>
      </w:r>
    </w:p>
    <w:p w:rsidR="0003355F" w:rsidRPr="00BB3B34" w:rsidRDefault="0003355F" w:rsidP="00097321">
      <w:pPr>
        <w:numPr>
          <w:ilvl w:val="1"/>
          <w:numId w:val="1"/>
        </w:numPr>
        <w:spacing w:after="120"/>
        <w:jc w:val="both"/>
        <w:rPr>
          <w:rFonts w:asciiTheme="minorHAnsi" w:hAnsiTheme="minorHAnsi" w:cs="Arial"/>
          <w:b/>
          <w:bCs/>
          <w:snapToGrid w:val="0"/>
        </w:rPr>
      </w:pPr>
      <w:r w:rsidRPr="00BB3B34">
        <w:rPr>
          <w:rFonts w:asciiTheme="minorHAnsi" w:hAnsiTheme="minorHAnsi" w:cs="Arial"/>
          <w:bCs/>
          <w:snapToGrid w:val="0"/>
        </w:rPr>
        <w:t xml:space="preserve">The PBAC noted that this submission is not eligible for an Independent Review as it received a positive recommendation. </w:t>
      </w:r>
    </w:p>
    <w:p w:rsidR="006D6F74" w:rsidRPr="003F0C78" w:rsidRDefault="006D6F74" w:rsidP="006D6F74">
      <w:pPr>
        <w:spacing w:before="240"/>
        <w:jc w:val="both"/>
        <w:rPr>
          <w:rFonts w:asciiTheme="minorHAnsi" w:hAnsiTheme="minorHAnsi" w:cs="Arial"/>
          <w:b/>
          <w:bCs/>
          <w:snapToGrid w:val="0"/>
        </w:rPr>
      </w:pPr>
      <w:r w:rsidRPr="003F0C78">
        <w:rPr>
          <w:rFonts w:asciiTheme="minorHAnsi" w:hAnsiTheme="minorHAnsi" w:cs="Arial"/>
          <w:b/>
          <w:bCs/>
          <w:snapToGrid w:val="0"/>
        </w:rPr>
        <w:t>Outcome:</w:t>
      </w:r>
    </w:p>
    <w:p w:rsidR="006D6F74" w:rsidRPr="00A142A3" w:rsidRDefault="006D6F74" w:rsidP="00A142A3">
      <w:pPr>
        <w:jc w:val="both"/>
        <w:rPr>
          <w:rFonts w:asciiTheme="minorHAnsi" w:hAnsiTheme="minorHAnsi" w:cs="Arial"/>
          <w:bCs/>
          <w:snapToGrid w:val="0"/>
        </w:rPr>
      </w:pPr>
      <w:r w:rsidRPr="003F0C78">
        <w:rPr>
          <w:rFonts w:asciiTheme="minorHAnsi" w:hAnsiTheme="minorHAnsi" w:cs="Arial"/>
          <w:bCs/>
          <w:snapToGrid w:val="0"/>
        </w:rPr>
        <w:t>R</w:t>
      </w:r>
      <w:r w:rsidR="005D0574" w:rsidRPr="003F0C78">
        <w:rPr>
          <w:rFonts w:asciiTheme="minorHAnsi" w:hAnsiTheme="minorHAnsi" w:cs="Arial"/>
          <w:bCs/>
          <w:snapToGrid w:val="0"/>
        </w:rPr>
        <w:t>ecommended</w:t>
      </w:r>
    </w:p>
    <w:p w:rsidR="006D6F74" w:rsidRPr="00BB3B34" w:rsidRDefault="006D6F74" w:rsidP="003D6716">
      <w:pPr>
        <w:pStyle w:val="2Sections"/>
      </w:pPr>
      <w:r w:rsidRPr="00BB3B34">
        <w:t>Recommended listing</w:t>
      </w:r>
    </w:p>
    <w:p w:rsidR="00511693" w:rsidRPr="00BB3B34" w:rsidRDefault="00511693" w:rsidP="00511693">
      <w:pPr>
        <w:pStyle w:val="Bodytextitalics"/>
        <w:jc w:val="both"/>
        <w:rPr>
          <w:i w:val="0"/>
          <w:iCs/>
        </w:rPr>
      </w:pPr>
      <w:r w:rsidRPr="00BB3B34">
        <w:rPr>
          <w:i w:val="0"/>
          <w:iCs/>
        </w:rPr>
        <w:t xml:space="preserve">Add new </w:t>
      </w:r>
      <w:r w:rsidR="00363D85" w:rsidRPr="00BB3B34">
        <w:rPr>
          <w:i w:val="0"/>
          <w:iCs/>
        </w:rPr>
        <w:t xml:space="preserve">vial presentation </w:t>
      </w:r>
      <w:r w:rsidR="003C37BA" w:rsidRPr="00BB3B34">
        <w:rPr>
          <w:i w:val="0"/>
          <w:iCs/>
        </w:rPr>
        <w:t>(840 mg/14 mL injection, 14 mL vial)</w:t>
      </w:r>
      <w:r w:rsidR="003C37BA" w:rsidRPr="00BB3B34">
        <w:rPr>
          <w:iCs/>
        </w:rPr>
        <w:t xml:space="preserve"> </w:t>
      </w:r>
      <w:r w:rsidR="00363D85" w:rsidRPr="00BB3B34">
        <w:rPr>
          <w:i w:val="0"/>
          <w:iCs/>
        </w:rPr>
        <w:t xml:space="preserve">and </w:t>
      </w:r>
      <w:r w:rsidR="00095CB9" w:rsidRPr="00BB3B34">
        <w:rPr>
          <w:i w:val="0"/>
          <w:iCs/>
        </w:rPr>
        <w:t>4-weekly dosing regimen listing in the continuing treatment phase only as follows</w:t>
      </w:r>
      <w:r w:rsidRPr="00BB3B34">
        <w:rPr>
          <w:i w:val="0"/>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1277"/>
        <w:gridCol w:w="1134"/>
        <w:gridCol w:w="851"/>
        <w:gridCol w:w="1791"/>
      </w:tblGrid>
      <w:tr w:rsidR="00FA0EC0" w:rsidRPr="00BB3B34" w:rsidTr="00FA0EC0">
        <w:trPr>
          <w:cantSplit/>
        </w:trPr>
        <w:tc>
          <w:tcPr>
            <w:tcW w:w="2198" w:type="pct"/>
          </w:tcPr>
          <w:p w:rsidR="00095CB9" w:rsidRPr="00BB3B34" w:rsidRDefault="00095CB9" w:rsidP="00095CB9">
            <w:pPr>
              <w:keepNext/>
              <w:jc w:val="both"/>
              <w:rPr>
                <w:rFonts w:ascii="Arial Narrow" w:hAnsi="Arial Narrow" w:cs="Arial"/>
                <w:b/>
                <w:sz w:val="18"/>
                <w:szCs w:val="18"/>
              </w:rPr>
            </w:pPr>
            <w:r w:rsidRPr="00BB3B34">
              <w:rPr>
                <w:rFonts w:ascii="Arial Narrow" w:hAnsi="Arial Narrow" w:cs="Arial"/>
                <w:b/>
                <w:sz w:val="18"/>
                <w:szCs w:val="18"/>
              </w:rPr>
              <w:t>Name, Restriction,</w:t>
            </w:r>
            <w:r w:rsidR="00FA0EC0" w:rsidRPr="00BB3B34">
              <w:rPr>
                <w:rFonts w:ascii="Arial Narrow" w:hAnsi="Arial Narrow" w:cs="Arial"/>
                <w:b/>
                <w:sz w:val="18"/>
                <w:szCs w:val="18"/>
              </w:rPr>
              <w:t xml:space="preserve"> </w:t>
            </w:r>
            <w:r w:rsidRPr="00BB3B34">
              <w:rPr>
                <w:rFonts w:ascii="Arial Narrow" w:hAnsi="Arial Narrow" w:cs="Arial"/>
                <w:b/>
                <w:sz w:val="18"/>
                <w:szCs w:val="18"/>
              </w:rPr>
              <w:t>Manner of administration and form</w:t>
            </w:r>
          </w:p>
        </w:tc>
        <w:tc>
          <w:tcPr>
            <w:tcW w:w="708" w:type="pct"/>
          </w:tcPr>
          <w:p w:rsidR="00095CB9" w:rsidRPr="00BB3B34" w:rsidRDefault="00095CB9" w:rsidP="00FA0EC0">
            <w:pPr>
              <w:keepNext/>
              <w:ind w:left="-108"/>
              <w:jc w:val="center"/>
              <w:rPr>
                <w:rFonts w:ascii="Arial Narrow" w:hAnsi="Arial Narrow" w:cs="Arial"/>
                <w:b/>
                <w:sz w:val="18"/>
                <w:szCs w:val="18"/>
              </w:rPr>
            </w:pPr>
            <w:r w:rsidRPr="00BB3B34">
              <w:rPr>
                <w:rFonts w:ascii="Arial Narrow" w:hAnsi="Arial Narrow" w:cs="Arial"/>
                <w:b/>
                <w:sz w:val="18"/>
                <w:szCs w:val="18"/>
              </w:rPr>
              <w:t>PBS item code</w:t>
            </w:r>
          </w:p>
        </w:tc>
        <w:tc>
          <w:tcPr>
            <w:tcW w:w="629" w:type="pct"/>
          </w:tcPr>
          <w:p w:rsidR="00095CB9" w:rsidRPr="00BB3B34" w:rsidRDefault="00095CB9" w:rsidP="00FA0EC0">
            <w:pPr>
              <w:keepNext/>
              <w:ind w:left="-108"/>
              <w:jc w:val="center"/>
              <w:rPr>
                <w:rFonts w:ascii="Arial Narrow" w:hAnsi="Arial Narrow" w:cs="Arial"/>
                <w:b/>
                <w:sz w:val="18"/>
                <w:szCs w:val="18"/>
              </w:rPr>
            </w:pPr>
            <w:r w:rsidRPr="00BB3B34">
              <w:rPr>
                <w:rFonts w:ascii="Arial Narrow" w:hAnsi="Arial Narrow" w:cs="Arial"/>
                <w:b/>
                <w:sz w:val="18"/>
                <w:szCs w:val="18"/>
              </w:rPr>
              <w:t>Max.</w:t>
            </w:r>
            <w:r w:rsidR="00FA0EC0" w:rsidRPr="00BB3B34">
              <w:rPr>
                <w:rFonts w:ascii="Arial Narrow" w:hAnsi="Arial Narrow" w:cs="Arial"/>
                <w:b/>
                <w:sz w:val="18"/>
                <w:szCs w:val="18"/>
              </w:rPr>
              <w:t xml:space="preserve"> Amoun</w:t>
            </w:r>
            <w:r w:rsidRPr="00BB3B34">
              <w:rPr>
                <w:rFonts w:ascii="Arial Narrow" w:hAnsi="Arial Narrow" w:cs="Arial"/>
                <w:b/>
                <w:sz w:val="18"/>
                <w:szCs w:val="18"/>
              </w:rPr>
              <w:t>t</w:t>
            </w:r>
          </w:p>
        </w:tc>
        <w:tc>
          <w:tcPr>
            <w:tcW w:w="472" w:type="pct"/>
          </w:tcPr>
          <w:p w:rsidR="00095CB9" w:rsidRPr="00BB3B34" w:rsidRDefault="00095CB9" w:rsidP="00FA0EC0">
            <w:pPr>
              <w:keepNext/>
              <w:ind w:left="-108"/>
              <w:jc w:val="center"/>
              <w:rPr>
                <w:rFonts w:ascii="Arial Narrow" w:hAnsi="Arial Narrow" w:cs="Arial"/>
                <w:b/>
                <w:sz w:val="18"/>
                <w:szCs w:val="18"/>
              </w:rPr>
            </w:pPr>
            <w:r w:rsidRPr="00BB3B34">
              <w:rPr>
                <w:rFonts w:ascii="Arial Narrow" w:hAnsi="Arial Narrow" w:cs="Arial"/>
                <w:b/>
                <w:sz w:val="18"/>
                <w:szCs w:val="18"/>
              </w:rPr>
              <w:t>№.of</w:t>
            </w:r>
            <w:r w:rsidR="00FA0EC0" w:rsidRPr="00BB3B34">
              <w:rPr>
                <w:rFonts w:ascii="Arial Narrow" w:hAnsi="Arial Narrow" w:cs="Arial"/>
                <w:b/>
                <w:sz w:val="18"/>
                <w:szCs w:val="18"/>
              </w:rPr>
              <w:t xml:space="preserve"> </w:t>
            </w:r>
            <w:r w:rsidRPr="00BB3B34">
              <w:rPr>
                <w:rFonts w:ascii="Arial Narrow" w:hAnsi="Arial Narrow" w:cs="Arial"/>
                <w:b/>
                <w:sz w:val="18"/>
                <w:szCs w:val="18"/>
              </w:rPr>
              <w:t>Rpts</w:t>
            </w:r>
          </w:p>
        </w:tc>
        <w:tc>
          <w:tcPr>
            <w:tcW w:w="993" w:type="pct"/>
          </w:tcPr>
          <w:p w:rsidR="00095CB9" w:rsidRPr="005842EA" w:rsidRDefault="00095CB9" w:rsidP="00E7267E">
            <w:pPr>
              <w:keepNext/>
              <w:jc w:val="both"/>
              <w:rPr>
                <w:rFonts w:ascii="Arial Narrow" w:hAnsi="Arial Narrow" w:cs="Arial"/>
                <w:b/>
                <w:sz w:val="18"/>
                <w:szCs w:val="18"/>
              </w:rPr>
            </w:pPr>
            <w:r w:rsidRPr="00BB3B34">
              <w:rPr>
                <w:rFonts w:ascii="Arial Narrow" w:hAnsi="Arial Narrow" w:cs="Arial"/>
                <w:b/>
                <w:sz w:val="18"/>
                <w:szCs w:val="18"/>
              </w:rPr>
              <w:t>Manufacturer</w:t>
            </w:r>
          </w:p>
        </w:tc>
      </w:tr>
      <w:tr w:rsidR="00095CB9" w:rsidRPr="00BB3B34" w:rsidTr="00FA0EC0">
        <w:trPr>
          <w:cantSplit/>
        </w:trPr>
        <w:tc>
          <w:tcPr>
            <w:tcW w:w="2198" w:type="pct"/>
          </w:tcPr>
          <w:p w:rsidR="00095CB9" w:rsidRPr="00734027" w:rsidRDefault="00095CB9" w:rsidP="00095CB9">
            <w:pPr>
              <w:keepNext/>
              <w:ind w:left="29"/>
              <w:jc w:val="both"/>
              <w:rPr>
                <w:rFonts w:ascii="Arial Narrow" w:hAnsi="Arial Narrow" w:cs="Arial"/>
                <w:sz w:val="18"/>
                <w:szCs w:val="18"/>
              </w:rPr>
            </w:pPr>
            <w:r w:rsidRPr="00734027">
              <w:rPr>
                <w:rFonts w:ascii="Arial Narrow" w:hAnsi="Arial Narrow" w:cs="Arial"/>
                <w:smallCaps/>
                <w:sz w:val="18"/>
                <w:szCs w:val="18"/>
              </w:rPr>
              <w:t>atezolizumab</w:t>
            </w:r>
          </w:p>
          <w:p w:rsidR="00095CB9" w:rsidRPr="00BB3B34" w:rsidRDefault="00095CB9" w:rsidP="00095CB9">
            <w:pPr>
              <w:keepNext/>
              <w:jc w:val="both"/>
              <w:rPr>
                <w:rFonts w:ascii="Arial Narrow" w:hAnsi="Arial Narrow" w:cs="Arial"/>
                <w:sz w:val="18"/>
                <w:szCs w:val="18"/>
              </w:rPr>
            </w:pPr>
            <w:r w:rsidRPr="00734027">
              <w:rPr>
                <w:rFonts w:ascii="Arial Narrow" w:hAnsi="Arial Narrow" w:cs="Arial"/>
                <w:sz w:val="18"/>
                <w:szCs w:val="18"/>
              </w:rPr>
              <w:t>Injection</w:t>
            </w:r>
          </w:p>
        </w:tc>
        <w:tc>
          <w:tcPr>
            <w:tcW w:w="708" w:type="pct"/>
          </w:tcPr>
          <w:p w:rsidR="00095CB9" w:rsidRPr="00BB3B34" w:rsidRDefault="00095CB9" w:rsidP="00E7267E">
            <w:pPr>
              <w:keepNext/>
              <w:ind w:left="-108"/>
              <w:jc w:val="center"/>
              <w:rPr>
                <w:rFonts w:ascii="Arial Narrow" w:hAnsi="Arial Narrow" w:cs="Arial"/>
                <w:sz w:val="18"/>
                <w:szCs w:val="18"/>
              </w:rPr>
            </w:pPr>
            <w:r w:rsidRPr="00BB3B34">
              <w:rPr>
                <w:rFonts w:ascii="Arial Narrow" w:hAnsi="Arial Narrow" w:cs="Arial"/>
                <w:sz w:val="18"/>
                <w:szCs w:val="18"/>
              </w:rPr>
              <w:t>NEW (Public)</w:t>
            </w:r>
          </w:p>
          <w:p w:rsidR="00095CB9" w:rsidRPr="00BB3B34" w:rsidRDefault="00095CB9" w:rsidP="00095CB9">
            <w:pPr>
              <w:keepNext/>
              <w:ind w:left="-108"/>
              <w:jc w:val="center"/>
              <w:rPr>
                <w:rFonts w:ascii="Arial Narrow" w:hAnsi="Arial Narrow" w:cs="Arial"/>
                <w:sz w:val="18"/>
                <w:szCs w:val="18"/>
              </w:rPr>
            </w:pPr>
            <w:r w:rsidRPr="00BB3B34">
              <w:rPr>
                <w:rFonts w:ascii="Arial Narrow" w:hAnsi="Arial Narrow" w:cs="Arial"/>
                <w:sz w:val="18"/>
                <w:szCs w:val="18"/>
              </w:rPr>
              <w:t>NEW (Private)</w:t>
            </w:r>
          </w:p>
        </w:tc>
        <w:tc>
          <w:tcPr>
            <w:tcW w:w="629" w:type="pct"/>
          </w:tcPr>
          <w:p w:rsidR="00095CB9" w:rsidRPr="00BB3B34" w:rsidRDefault="00095CB9" w:rsidP="00E7267E">
            <w:pPr>
              <w:keepNext/>
              <w:ind w:left="-108"/>
              <w:jc w:val="center"/>
              <w:rPr>
                <w:rFonts w:ascii="Arial Narrow" w:hAnsi="Arial Narrow" w:cs="Arial"/>
                <w:sz w:val="18"/>
                <w:szCs w:val="18"/>
              </w:rPr>
            </w:pPr>
          </w:p>
          <w:p w:rsidR="00095CB9" w:rsidRPr="00BB3B34" w:rsidRDefault="00095CB9" w:rsidP="00E7267E">
            <w:pPr>
              <w:keepNext/>
              <w:ind w:left="-108"/>
              <w:jc w:val="center"/>
              <w:rPr>
                <w:rFonts w:ascii="Arial Narrow" w:hAnsi="Arial Narrow" w:cs="Arial"/>
                <w:sz w:val="18"/>
                <w:szCs w:val="18"/>
              </w:rPr>
            </w:pPr>
            <w:r w:rsidRPr="00BB3B34">
              <w:rPr>
                <w:rFonts w:ascii="Arial Narrow" w:hAnsi="Arial Narrow" w:cs="Arial"/>
                <w:sz w:val="18"/>
                <w:szCs w:val="18"/>
              </w:rPr>
              <w:t>1680 mg</w:t>
            </w:r>
          </w:p>
        </w:tc>
        <w:tc>
          <w:tcPr>
            <w:tcW w:w="472" w:type="pct"/>
          </w:tcPr>
          <w:p w:rsidR="00095CB9" w:rsidRPr="00BB3B34" w:rsidRDefault="00095CB9" w:rsidP="00E7267E">
            <w:pPr>
              <w:keepNext/>
              <w:ind w:left="-108"/>
              <w:jc w:val="center"/>
              <w:rPr>
                <w:rFonts w:ascii="Arial Narrow" w:hAnsi="Arial Narrow" w:cs="Arial"/>
                <w:sz w:val="18"/>
                <w:szCs w:val="18"/>
              </w:rPr>
            </w:pPr>
          </w:p>
          <w:p w:rsidR="00095CB9" w:rsidRPr="00BB3B34" w:rsidRDefault="00095CB9" w:rsidP="00E7267E">
            <w:pPr>
              <w:keepNext/>
              <w:ind w:left="-108"/>
              <w:jc w:val="center"/>
              <w:rPr>
                <w:rFonts w:ascii="Arial Narrow" w:hAnsi="Arial Narrow" w:cs="Arial"/>
                <w:sz w:val="18"/>
                <w:szCs w:val="18"/>
              </w:rPr>
            </w:pPr>
            <w:r w:rsidRPr="00BB3B34">
              <w:rPr>
                <w:rFonts w:ascii="Arial Narrow" w:hAnsi="Arial Narrow" w:cs="Arial"/>
                <w:sz w:val="18"/>
                <w:szCs w:val="18"/>
              </w:rPr>
              <w:t>3</w:t>
            </w:r>
          </w:p>
        </w:tc>
        <w:tc>
          <w:tcPr>
            <w:tcW w:w="993" w:type="pct"/>
          </w:tcPr>
          <w:p w:rsidR="00095CB9" w:rsidRPr="00BB3B34" w:rsidRDefault="00095CB9" w:rsidP="00E7267E">
            <w:pPr>
              <w:keepNext/>
              <w:jc w:val="both"/>
              <w:rPr>
                <w:rFonts w:ascii="Arial Narrow" w:hAnsi="Arial Narrow" w:cs="Arial"/>
                <w:sz w:val="18"/>
                <w:szCs w:val="18"/>
              </w:rPr>
            </w:pPr>
          </w:p>
          <w:p w:rsidR="00095CB9" w:rsidRPr="00BB3B34" w:rsidRDefault="00095CB9" w:rsidP="00E7267E">
            <w:pPr>
              <w:keepNext/>
              <w:jc w:val="both"/>
              <w:rPr>
                <w:rFonts w:ascii="Arial Narrow" w:hAnsi="Arial Narrow" w:cs="Arial"/>
                <w:sz w:val="18"/>
                <w:szCs w:val="18"/>
              </w:rPr>
            </w:pPr>
            <w:r w:rsidRPr="00BB3B34">
              <w:rPr>
                <w:rFonts w:ascii="Arial Narrow" w:hAnsi="Arial Narrow" w:cs="Arial"/>
                <w:sz w:val="18"/>
                <w:szCs w:val="18"/>
              </w:rPr>
              <w:t>Roche Products Pty Ltd</w:t>
            </w:r>
          </w:p>
        </w:tc>
      </w:tr>
      <w:tr w:rsidR="00095CB9" w:rsidRPr="00BB3B34" w:rsidTr="00095CB9">
        <w:trPr>
          <w:cantSplit/>
        </w:trPr>
        <w:tc>
          <w:tcPr>
            <w:tcW w:w="5000" w:type="pct"/>
            <w:gridSpan w:val="5"/>
          </w:tcPr>
          <w:p w:rsidR="00095CB9" w:rsidRPr="00BB3B34" w:rsidRDefault="00095CB9" w:rsidP="00E7267E">
            <w:pPr>
              <w:keepNext/>
              <w:jc w:val="both"/>
              <w:rPr>
                <w:rFonts w:ascii="Arial Narrow" w:hAnsi="Arial Narrow" w:cs="Arial"/>
                <w:sz w:val="18"/>
                <w:szCs w:val="18"/>
              </w:rPr>
            </w:pPr>
            <w:r w:rsidRPr="00BB3B34">
              <w:rPr>
                <w:rFonts w:ascii="Arial Narrow" w:hAnsi="Arial Narrow"/>
                <w:b/>
                <w:sz w:val="18"/>
                <w:szCs w:val="18"/>
              </w:rPr>
              <w:t>Available brands</w:t>
            </w:r>
          </w:p>
        </w:tc>
      </w:tr>
      <w:tr w:rsidR="00095CB9" w:rsidRPr="00BB3B34" w:rsidTr="00095CB9">
        <w:trPr>
          <w:cantSplit/>
        </w:trPr>
        <w:tc>
          <w:tcPr>
            <w:tcW w:w="5000" w:type="pct"/>
            <w:gridSpan w:val="5"/>
          </w:tcPr>
          <w:p w:rsidR="00095CB9" w:rsidRPr="00BB3B34" w:rsidRDefault="00095CB9" w:rsidP="00095CB9">
            <w:pPr>
              <w:keepNext/>
              <w:ind w:left="29"/>
              <w:jc w:val="both"/>
              <w:rPr>
                <w:rFonts w:ascii="Arial Narrow" w:hAnsi="Arial Narrow" w:cs="Arial"/>
                <w:sz w:val="18"/>
                <w:szCs w:val="18"/>
                <w:vertAlign w:val="superscript"/>
              </w:rPr>
            </w:pPr>
            <w:r w:rsidRPr="00BB3B34">
              <w:rPr>
                <w:rFonts w:ascii="Arial Narrow" w:hAnsi="Arial Narrow" w:cs="Arial"/>
                <w:sz w:val="18"/>
                <w:szCs w:val="18"/>
              </w:rPr>
              <w:t>Tecentriq</w:t>
            </w:r>
            <w:r w:rsidRPr="00BB3B34">
              <w:rPr>
                <w:rFonts w:ascii="Arial Narrow" w:hAnsi="Arial Narrow" w:cs="Arial"/>
                <w:sz w:val="18"/>
                <w:szCs w:val="18"/>
                <w:vertAlign w:val="superscript"/>
              </w:rPr>
              <w:t>®</w:t>
            </w:r>
          </w:p>
          <w:p w:rsidR="00095CB9" w:rsidRPr="00BB3B34" w:rsidRDefault="00095CB9" w:rsidP="00095CB9">
            <w:pPr>
              <w:keepNext/>
              <w:ind w:left="29"/>
              <w:jc w:val="both"/>
              <w:rPr>
                <w:rFonts w:ascii="Arial Narrow" w:hAnsi="Arial Narrow" w:cs="Arial"/>
                <w:sz w:val="18"/>
                <w:szCs w:val="18"/>
              </w:rPr>
            </w:pPr>
            <w:r w:rsidRPr="00BB3B34">
              <w:rPr>
                <w:rFonts w:ascii="Arial Narrow" w:hAnsi="Arial Narrow" w:cs="Arial"/>
                <w:sz w:val="18"/>
                <w:szCs w:val="18"/>
              </w:rPr>
              <w:t>(atezolizumab 840 mg/14 mL injection, 14 mL vial)</w:t>
            </w:r>
          </w:p>
        </w:tc>
      </w:tr>
    </w:tbl>
    <w:p w:rsidR="00511693" w:rsidRPr="00BB3B34" w:rsidRDefault="00511693" w:rsidP="00511693">
      <w:pPr>
        <w:spacing w:line="259" w:lineRule="auto"/>
        <w:rPr>
          <w:rFonts w:ascii="Arial Narrow" w:eastAsia="Calibri" w:hAnsi="Arial Narrow"/>
          <w:b/>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C37BA" w:rsidRPr="00BB3B34" w:rsidTr="003C37BA">
        <w:tc>
          <w:tcPr>
            <w:tcW w:w="5000" w:type="pct"/>
            <w:tcBorders>
              <w:top w:val="single" w:sz="4" w:space="0" w:color="auto"/>
              <w:left w:val="single" w:sz="4" w:space="0" w:color="auto"/>
              <w:bottom w:val="single" w:sz="4" w:space="0" w:color="auto"/>
              <w:right w:val="single" w:sz="4" w:space="0" w:color="auto"/>
            </w:tcBorders>
          </w:tcPr>
          <w:p w:rsidR="003C37BA" w:rsidRPr="00BB3B34" w:rsidRDefault="003C37BA" w:rsidP="00E7267E">
            <w:pPr>
              <w:jc w:val="both"/>
              <w:rPr>
                <w:rFonts w:ascii="Arial Narrow" w:eastAsia="Calibri" w:hAnsi="Arial Narrow" w:cs="Arial"/>
                <w:sz w:val="18"/>
                <w:szCs w:val="18"/>
                <w:lang w:eastAsia="en-US"/>
              </w:rPr>
            </w:pPr>
            <w:r w:rsidRPr="00BB3B34">
              <w:rPr>
                <w:rFonts w:ascii="Arial Narrow" w:eastAsia="Calibri" w:hAnsi="Arial Narrow" w:cs="Arial"/>
                <w:b/>
                <w:sz w:val="18"/>
                <w:szCs w:val="18"/>
                <w:lang w:eastAsia="en-US"/>
              </w:rPr>
              <w:t xml:space="preserve">Category / Program: </w:t>
            </w:r>
            <w:r w:rsidRPr="00BB3B34">
              <w:rPr>
                <w:rFonts w:ascii="Arial Narrow" w:eastAsia="Calibri" w:hAnsi="Arial Narrow" w:cs="Arial"/>
                <w:sz w:val="18"/>
                <w:szCs w:val="18"/>
                <w:lang w:eastAsia="en-US"/>
              </w:rPr>
              <w:t>Section 100 – Efficient Funding of Chemotherapy - Public hospitals / Private hospitals</w:t>
            </w:r>
          </w:p>
        </w:tc>
      </w:tr>
      <w:tr w:rsidR="003C37BA" w:rsidRPr="00BB3B34" w:rsidTr="003C37BA">
        <w:trPr>
          <w:trHeight w:val="240"/>
        </w:trPr>
        <w:tc>
          <w:tcPr>
            <w:tcW w:w="5000" w:type="pct"/>
            <w:tcBorders>
              <w:top w:val="single" w:sz="4" w:space="0" w:color="auto"/>
              <w:left w:val="single" w:sz="4" w:space="0" w:color="auto"/>
              <w:bottom w:val="single" w:sz="4" w:space="0" w:color="auto"/>
              <w:right w:val="single" w:sz="4" w:space="0" w:color="auto"/>
            </w:tcBorders>
          </w:tcPr>
          <w:p w:rsidR="003C37BA" w:rsidRPr="00BB3B34" w:rsidRDefault="003C37BA" w:rsidP="00E7267E">
            <w:pPr>
              <w:jc w:val="both"/>
              <w:rPr>
                <w:rFonts w:ascii="Arial Narrow" w:eastAsia="Calibri" w:hAnsi="Arial Narrow" w:cs="Arial"/>
                <w:b/>
                <w:sz w:val="18"/>
                <w:szCs w:val="18"/>
                <w:lang w:eastAsia="en-US"/>
              </w:rPr>
            </w:pPr>
            <w:r w:rsidRPr="00BB3B34">
              <w:rPr>
                <w:rFonts w:ascii="Arial Narrow" w:eastAsia="Calibri" w:hAnsi="Arial Narrow" w:cs="Arial"/>
                <w:b/>
                <w:sz w:val="18"/>
                <w:szCs w:val="18"/>
                <w:lang w:eastAsia="en-US"/>
              </w:rPr>
              <w:t xml:space="preserve">Prescriber type: </w:t>
            </w:r>
            <w:r w:rsidRPr="005842EA">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5842EA">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Dental </w:t>
            </w:r>
            <w:r w:rsidRPr="005842EA">
              <w:rPr>
                <w:rFonts w:ascii="Arial Narrow" w:eastAsia="Calibri" w:hAnsi="Arial Narrow" w:cs="Arial"/>
                <w:sz w:val="18"/>
                <w:szCs w:val="18"/>
                <w:lang w:eastAsia="en-US"/>
              </w:rPr>
              <w:fldChar w:fldCharType="begin">
                <w:ffData>
                  <w:name w:val=""/>
                  <w:enabled/>
                  <w:calcOnExit w:val="0"/>
                  <w:checkBox>
                    <w:sizeAuto/>
                    <w:default w:val="1"/>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5842EA">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Medical Practitioners </w:t>
            </w:r>
            <w:r w:rsidRPr="005842EA">
              <w:rPr>
                <w:rFonts w:ascii="Arial Narrow" w:eastAsia="Calibri" w:hAnsi="Arial Narrow" w:cs="Arial"/>
                <w:sz w:val="18"/>
                <w:szCs w:val="18"/>
                <w:lang w:eastAsia="en-US"/>
              </w:rPr>
              <w:fldChar w:fldCharType="begin">
                <w:ffData>
                  <w:name w:val="Check3"/>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5842EA">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Nurse practitioners </w:t>
            </w:r>
            <w:r w:rsidRPr="005842EA">
              <w:rPr>
                <w:rFonts w:ascii="Arial Narrow" w:eastAsia="Calibri" w:hAnsi="Arial Narrow" w:cs="Arial"/>
                <w:sz w:val="18"/>
                <w:szCs w:val="18"/>
                <w:lang w:eastAsia="en-US"/>
              </w:rPr>
              <w:fldChar w:fldCharType="begin">
                <w:ffData>
                  <w:name w:val=""/>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5842EA">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Optometrists </w:t>
            </w:r>
            <w:r w:rsidRPr="005842EA">
              <w:rPr>
                <w:rFonts w:ascii="Arial Narrow" w:eastAsia="Calibri" w:hAnsi="Arial Narrow" w:cs="Arial"/>
                <w:sz w:val="18"/>
                <w:szCs w:val="18"/>
                <w:lang w:eastAsia="en-US"/>
              </w:rPr>
              <w:fldChar w:fldCharType="begin">
                <w:ffData>
                  <w:name w:val="Check5"/>
                  <w:enabled/>
                  <w:calcOnExit w:val="0"/>
                  <w:checkBox>
                    <w:sizeAuto/>
                    <w:default w:val="0"/>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5842EA">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Midwives</w:t>
            </w:r>
          </w:p>
        </w:tc>
      </w:tr>
      <w:tr w:rsidR="003C37BA" w:rsidRPr="00BB3B34" w:rsidTr="003C37BA">
        <w:tc>
          <w:tcPr>
            <w:tcW w:w="5000" w:type="pct"/>
            <w:tcBorders>
              <w:top w:val="single" w:sz="4" w:space="0" w:color="auto"/>
              <w:left w:val="single" w:sz="4" w:space="0" w:color="auto"/>
              <w:bottom w:val="single" w:sz="4" w:space="0" w:color="auto"/>
              <w:right w:val="single" w:sz="4" w:space="0" w:color="auto"/>
            </w:tcBorders>
          </w:tcPr>
          <w:p w:rsidR="003C37BA" w:rsidRPr="00BB3B34" w:rsidRDefault="003C37BA" w:rsidP="00E7267E">
            <w:pPr>
              <w:jc w:val="both"/>
              <w:rPr>
                <w:rFonts w:ascii="Arial Narrow" w:eastAsia="Calibri" w:hAnsi="Arial Narrow" w:cs="Arial"/>
                <w:b/>
                <w:sz w:val="18"/>
                <w:szCs w:val="18"/>
                <w:lang w:eastAsia="en-US"/>
              </w:rPr>
            </w:pPr>
            <w:r w:rsidRPr="00BB3B34">
              <w:rPr>
                <w:rFonts w:ascii="Arial Narrow" w:eastAsia="Calibri" w:hAnsi="Arial Narrow" w:cs="Arial"/>
                <w:b/>
                <w:sz w:val="18"/>
                <w:szCs w:val="18"/>
                <w:lang w:eastAsia="en-US"/>
              </w:rPr>
              <w:t>Restriction Level / Method:</w:t>
            </w:r>
            <w:r w:rsidR="00673D7C">
              <w:rPr>
                <w:rFonts w:ascii="Arial Narrow" w:eastAsia="Calibri" w:hAnsi="Arial Narrow" w:cs="Arial"/>
                <w:b/>
                <w:sz w:val="18"/>
                <w:szCs w:val="18"/>
                <w:lang w:eastAsia="en-US"/>
              </w:rPr>
              <w:t xml:space="preserve">   </w:t>
            </w:r>
            <w:r w:rsidRPr="005842EA">
              <w:rPr>
                <w:rFonts w:ascii="Arial Narrow" w:eastAsia="Calibri" w:hAnsi="Arial Narrow" w:cs="Arial"/>
                <w:sz w:val="18"/>
                <w:szCs w:val="18"/>
                <w:lang w:eastAsia="en-US"/>
              </w:rPr>
              <w:fldChar w:fldCharType="begin">
                <w:ffData>
                  <w:name w:val=""/>
                  <w:enabled/>
                  <w:calcOnExit w:val="0"/>
                  <w:checkBox>
                    <w:sizeAuto/>
                    <w:default w:val="1"/>
                  </w:checkBox>
                </w:ffData>
              </w:fldChar>
            </w:r>
            <w:r w:rsidRPr="00BB3B34">
              <w:rPr>
                <w:rFonts w:ascii="Arial Narrow" w:eastAsia="Calibri" w:hAnsi="Arial Narrow" w:cs="Arial"/>
                <w:sz w:val="18"/>
                <w:szCs w:val="18"/>
                <w:lang w:eastAsia="en-US"/>
              </w:rPr>
              <w:instrText xml:space="preserve"> FORMCHECKBOX </w:instrText>
            </w:r>
            <w:r w:rsidR="007B7159">
              <w:rPr>
                <w:rFonts w:ascii="Arial Narrow" w:eastAsia="Calibri" w:hAnsi="Arial Narrow" w:cs="Arial"/>
                <w:sz w:val="18"/>
                <w:szCs w:val="18"/>
                <w:lang w:eastAsia="en-US"/>
              </w:rPr>
            </w:r>
            <w:r w:rsidR="007B7159">
              <w:rPr>
                <w:rFonts w:ascii="Arial Narrow" w:eastAsia="Calibri" w:hAnsi="Arial Narrow" w:cs="Arial"/>
                <w:sz w:val="18"/>
                <w:szCs w:val="18"/>
                <w:lang w:eastAsia="en-US"/>
              </w:rPr>
              <w:fldChar w:fldCharType="separate"/>
            </w:r>
            <w:r w:rsidRPr="005842EA">
              <w:rPr>
                <w:rFonts w:ascii="Arial Narrow" w:eastAsia="Calibri" w:hAnsi="Arial Narrow" w:cs="Arial"/>
                <w:sz w:val="18"/>
                <w:szCs w:val="18"/>
                <w:lang w:eastAsia="en-US"/>
              </w:rPr>
              <w:fldChar w:fldCharType="end"/>
            </w:r>
            <w:r w:rsidRPr="00BB3B34">
              <w:rPr>
                <w:rFonts w:ascii="Arial Narrow" w:eastAsia="Calibri" w:hAnsi="Arial Narrow" w:cs="Arial"/>
                <w:sz w:val="18"/>
                <w:szCs w:val="18"/>
                <w:lang w:eastAsia="en-US"/>
              </w:rPr>
              <w:t xml:space="preserve">Authority Required – Streamlined </w:t>
            </w:r>
          </w:p>
        </w:tc>
      </w:tr>
      <w:tr w:rsidR="003C37BA" w:rsidRPr="00BB3B34" w:rsidTr="003C37BA">
        <w:trPr>
          <w:trHeight w:val="266"/>
        </w:trPr>
        <w:tc>
          <w:tcPr>
            <w:tcW w:w="5000" w:type="pct"/>
            <w:tcBorders>
              <w:bottom w:val="nil"/>
            </w:tcBorders>
            <w:vAlign w:val="center"/>
            <w:hideMark/>
          </w:tcPr>
          <w:p w:rsidR="003C37BA" w:rsidRPr="00BB3B34" w:rsidRDefault="003C37BA" w:rsidP="00511693">
            <w:pPr>
              <w:rPr>
                <w:rFonts w:ascii="Arial Narrow" w:hAnsi="Arial Narrow"/>
                <w:color w:val="333333"/>
                <w:sz w:val="18"/>
                <w:szCs w:val="18"/>
              </w:rPr>
            </w:pPr>
            <w:r w:rsidRPr="00BB3B34">
              <w:rPr>
                <w:rFonts w:ascii="Arial Narrow" w:hAnsi="Arial Narrow"/>
                <w:b/>
                <w:bCs/>
                <w:color w:val="333333"/>
                <w:sz w:val="18"/>
                <w:szCs w:val="18"/>
              </w:rPr>
              <w:t>Indication:</w:t>
            </w:r>
            <w:r w:rsidRPr="00BB3B34">
              <w:rPr>
                <w:rFonts w:ascii="Arial Narrow" w:hAnsi="Arial Narrow"/>
                <w:color w:val="333333"/>
                <w:sz w:val="18"/>
                <w:szCs w:val="18"/>
              </w:rPr>
              <w:t xml:space="preserve"> Extensive-stage small cell lung cancer</w:t>
            </w:r>
          </w:p>
        </w:tc>
      </w:tr>
      <w:tr w:rsidR="003C37BA" w:rsidRPr="00BB3B34" w:rsidTr="003C37BA">
        <w:trPr>
          <w:trHeight w:val="148"/>
        </w:trPr>
        <w:tc>
          <w:tcPr>
            <w:tcW w:w="5000" w:type="pct"/>
            <w:tcBorders>
              <w:top w:val="nil"/>
              <w:bottom w:val="nil"/>
            </w:tcBorders>
            <w:vAlign w:val="center"/>
            <w:hideMark/>
          </w:tcPr>
          <w:p w:rsidR="003C37BA" w:rsidRPr="00BB3B34" w:rsidRDefault="003C37BA" w:rsidP="00E7267E">
            <w:pPr>
              <w:rPr>
                <w:rFonts w:ascii="Arial Narrow" w:hAnsi="Arial Narrow"/>
                <w:i/>
                <w:color w:val="333333"/>
                <w:sz w:val="18"/>
                <w:szCs w:val="18"/>
              </w:rPr>
            </w:pPr>
            <w:r w:rsidRPr="00BB3B34">
              <w:rPr>
                <w:rFonts w:ascii="Arial Narrow" w:hAnsi="Arial Narrow"/>
                <w:b/>
                <w:bCs/>
                <w:color w:val="333333"/>
                <w:sz w:val="18"/>
                <w:szCs w:val="18"/>
              </w:rPr>
              <w:t>Treatment Phase:</w:t>
            </w:r>
            <w:r w:rsidRPr="00BB3B34">
              <w:rPr>
                <w:rFonts w:ascii="Arial Narrow" w:hAnsi="Arial Narrow"/>
                <w:color w:val="333333"/>
                <w:sz w:val="18"/>
                <w:szCs w:val="18"/>
              </w:rPr>
              <w:t xml:space="preserve"> Continuing treatment – 4 weekly treatment regimen</w:t>
            </w:r>
          </w:p>
        </w:tc>
      </w:tr>
      <w:tr w:rsidR="003C37BA" w:rsidRPr="00BB3B34" w:rsidTr="003C37BA">
        <w:tc>
          <w:tcPr>
            <w:tcW w:w="5000" w:type="pct"/>
            <w:tcBorders>
              <w:top w:val="nil"/>
              <w:bottom w:val="nil"/>
            </w:tcBorders>
            <w:vAlign w:val="center"/>
            <w:hideMark/>
          </w:tcPr>
          <w:p w:rsidR="003C37BA" w:rsidRPr="00BB3B34" w:rsidRDefault="003C37BA" w:rsidP="00E7267E">
            <w:pPr>
              <w:rPr>
                <w:rFonts w:ascii="Arial Narrow" w:hAnsi="Arial Narrow"/>
                <w:color w:val="333333"/>
                <w:sz w:val="18"/>
                <w:szCs w:val="18"/>
              </w:rPr>
            </w:pPr>
            <w:r w:rsidRPr="00BB3B34">
              <w:rPr>
                <w:rFonts w:ascii="Arial Narrow" w:hAnsi="Arial Narrow"/>
                <w:b/>
                <w:bCs/>
                <w:color w:val="333333"/>
                <w:sz w:val="18"/>
                <w:szCs w:val="18"/>
              </w:rPr>
              <w:t>Clinical criteria:</w:t>
            </w:r>
          </w:p>
        </w:tc>
      </w:tr>
      <w:tr w:rsidR="003C37BA" w:rsidRPr="00BB3B34" w:rsidTr="003C37BA">
        <w:tc>
          <w:tcPr>
            <w:tcW w:w="5000" w:type="pct"/>
            <w:tcBorders>
              <w:top w:val="nil"/>
              <w:bottom w:val="nil"/>
            </w:tcBorders>
            <w:vAlign w:val="center"/>
          </w:tcPr>
          <w:p w:rsidR="003C37BA" w:rsidRPr="00BB3B34" w:rsidRDefault="003C37BA" w:rsidP="003C37BA">
            <w:pPr>
              <w:pStyle w:val="ListParagraph"/>
              <w:numPr>
                <w:ilvl w:val="0"/>
                <w:numId w:val="10"/>
              </w:numPr>
              <w:rPr>
                <w:rFonts w:ascii="Arial Narrow" w:hAnsi="Arial Narrow"/>
                <w:color w:val="333333"/>
                <w:sz w:val="18"/>
                <w:szCs w:val="18"/>
              </w:rPr>
            </w:pPr>
            <w:r w:rsidRPr="00BB3B34">
              <w:rPr>
                <w:rFonts w:ascii="Arial Narrow" w:hAnsi="Arial Narrow"/>
                <w:color w:val="333333"/>
                <w:sz w:val="18"/>
                <w:szCs w:val="18"/>
              </w:rPr>
              <w:t>The treatment must be as monotherapy</w:t>
            </w:r>
          </w:p>
        </w:tc>
      </w:tr>
      <w:tr w:rsidR="003C37BA" w:rsidRPr="00BB3B34" w:rsidTr="003C37BA">
        <w:tc>
          <w:tcPr>
            <w:tcW w:w="5000" w:type="pct"/>
            <w:tcBorders>
              <w:top w:val="nil"/>
              <w:bottom w:val="nil"/>
            </w:tcBorders>
            <w:vAlign w:val="center"/>
            <w:hideMark/>
          </w:tcPr>
          <w:p w:rsidR="003C37BA" w:rsidRPr="00BB3B34" w:rsidRDefault="003C37BA" w:rsidP="003C37BA">
            <w:pPr>
              <w:pStyle w:val="ListParagraph"/>
              <w:rPr>
                <w:rFonts w:ascii="Arial Narrow" w:hAnsi="Arial Narrow"/>
                <w:color w:val="333333"/>
                <w:sz w:val="18"/>
                <w:szCs w:val="18"/>
              </w:rPr>
            </w:pPr>
            <w:r w:rsidRPr="00BB3B34">
              <w:rPr>
                <w:rFonts w:ascii="Arial Narrow" w:hAnsi="Arial Narrow"/>
                <w:b/>
                <w:bCs/>
                <w:color w:val="333333"/>
                <w:sz w:val="18"/>
                <w:szCs w:val="18"/>
              </w:rPr>
              <w:t>AND</w:t>
            </w:r>
          </w:p>
        </w:tc>
      </w:tr>
      <w:tr w:rsidR="003C37BA" w:rsidRPr="00BB3B34" w:rsidTr="003C37BA">
        <w:tc>
          <w:tcPr>
            <w:tcW w:w="5000" w:type="pct"/>
            <w:tcBorders>
              <w:top w:val="nil"/>
              <w:bottom w:val="nil"/>
            </w:tcBorders>
            <w:vAlign w:val="center"/>
          </w:tcPr>
          <w:p w:rsidR="003C37BA" w:rsidRPr="00BB3B34" w:rsidRDefault="003C37BA" w:rsidP="003C37BA">
            <w:pPr>
              <w:pStyle w:val="ListParagraph"/>
              <w:numPr>
                <w:ilvl w:val="0"/>
                <w:numId w:val="10"/>
              </w:numPr>
              <w:rPr>
                <w:rFonts w:ascii="Arial Narrow" w:hAnsi="Arial Narrow"/>
                <w:color w:val="333333"/>
                <w:sz w:val="18"/>
                <w:szCs w:val="18"/>
              </w:rPr>
            </w:pPr>
            <w:r w:rsidRPr="00BB3B34">
              <w:rPr>
                <w:rFonts w:ascii="Arial Narrow" w:hAnsi="Arial Narrow"/>
                <w:iCs/>
                <w:color w:val="333333"/>
                <w:sz w:val="18"/>
                <w:szCs w:val="18"/>
              </w:rPr>
              <w:t>Patient must have previously received PBS-subsidised treatment with this drug for this condition</w:t>
            </w:r>
          </w:p>
        </w:tc>
      </w:tr>
      <w:tr w:rsidR="003C37BA" w:rsidRPr="00BB3B34" w:rsidTr="003C37BA">
        <w:tc>
          <w:tcPr>
            <w:tcW w:w="5000" w:type="pct"/>
            <w:tcBorders>
              <w:top w:val="nil"/>
              <w:bottom w:val="nil"/>
            </w:tcBorders>
            <w:vAlign w:val="center"/>
            <w:hideMark/>
          </w:tcPr>
          <w:p w:rsidR="003C37BA" w:rsidRPr="00BB3B34" w:rsidRDefault="003C37BA" w:rsidP="003C37BA">
            <w:pPr>
              <w:pStyle w:val="ListParagraph"/>
              <w:rPr>
                <w:rFonts w:ascii="Arial Narrow" w:hAnsi="Arial Narrow"/>
                <w:color w:val="333333"/>
                <w:sz w:val="18"/>
                <w:szCs w:val="18"/>
              </w:rPr>
            </w:pPr>
            <w:r w:rsidRPr="00BB3B34">
              <w:rPr>
                <w:rFonts w:ascii="Arial Narrow" w:hAnsi="Arial Narrow"/>
                <w:b/>
                <w:bCs/>
                <w:color w:val="333333"/>
                <w:sz w:val="18"/>
                <w:szCs w:val="18"/>
              </w:rPr>
              <w:t>AND</w:t>
            </w:r>
          </w:p>
        </w:tc>
      </w:tr>
      <w:tr w:rsidR="003C37BA" w:rsidRPr="00BB3B34" w:rsidTr="003C37BA">
        <w:tc>
          <w:tcPr>
            <w:tcW w:w="5000" w:type="pct"/>
            <w:tcBorders>
              <w:top w:val="nil"/>
            </w:tcBorders>
            <w:vAlign w:val="center"/>
          </w:tcPr>
          <w:p w:rsidR="003C37BA" w:rsidRPr="00BB3B34" w:rsidRDefault="003C37BA" w:rsidP="003C37BA">
            <w:pPr>
              <w:pStyle w:val="ListParagraph"/>
              <w:numPr>
                <w:ilvl w:val="0"/>
                <w:numId w:val="10"/>
              </w:numPr>
              <w:rPr>
                <w:rFonts w:ascii="Arial Narrow" w:hAnsi="Arial Narrow"/>
                <w:color w:val="333333"/>
                <w:sz w:val="18"/>
                <w:szCs w:val="18"/>
              </w:rPr>
            </w:pPr>
            <w:r w:rsidRPr="00BB3B34">
              <w:rPr>
                <w:rFonts w:ascii="Arial Narrow" w:hAnsi="Arial Narrow"/>
                <w:color w:val="333333"/>
                <w:sz w:val="18"/>
                <w:szCs w:val="18"/>
              </w:rPr>
              <w:t>Patient must not have developed disease progression while being treated with this drug for this condition</w:t>
            </w:r>
          </w:p>
        </w:tc>
      </w:tr>
      <w:tr w:rsidR="003C37BA" w:rsidRPr="00BB3B34" w:rsidTr="007D1ECC">
        <w:trPr>
          <w:trHeight w:val="731"/>
        </w:trPr>
        <w:tc>
          <w:tcPr>
            <w:tcW w:w="5000" w:type="pct"/>
            <w:vAlign w:val="center"/>
            <w:hideMark/>
          </w:tcPr>
          <w:p w:rsidR="003C37BA" w:rsidRPr="00BB3B34" w:rsidRDefault="003C37BA" w:rsidP="00E7267E">
            <w:pPr>
              <w:rPr>
                <w:rFonts w:ascii="Arial Narrow" w:hAnsi="Arial Narrow"/>
                <w:b/>
                <w:bCs/>
                <w:color w:val="333333"/>
                <w:sz w:val="18"/>
                <w:szCs w:val="18"/>
              </w:rPr>
            </w:pPr>
            <w:r w:rsidRPr="00BB3B34">
              <w:rPr>
                <w:rFonts w:ascii="Arial Narrow" w:hAnsi="Arial Narrow"/>
                <w:b/>
                <w:bCs/>
                <w:color w:val="333333"/>
                <w:sz w:val="18"/>
                <w:szCs w:val="18"/>
              </w:rPr>
              <w:t xml:space="preserve">Administrative Advice: </w:t>
            </w:r>
          </w:p>
          <w:p w:rsidR="003C37BA" w:rsidRPr="00BB3B34" w:rsidRDefault="003C37BA" w:rsidP="00E7267E">
            <w:pPr>
              <w:rPr>
                <w:rFonts w:ascii="Arial Narrow" w:hAnsi="Arial Narrow"/>
                <w:b/>
                <w:bCs/>
                <w:color w:val="333333"/>
                <w:sz w:val="18"/>
                <w:szCs w:val="18"/>
              </w:rPr>
            </w:pPr>
            <w:r w:rsidRPr="00BB3B34">
              <w:rPr>
                <w:rFonts w:ascii="Arial Narrow" w:hAnsi="Arial Narrow"/>
                <w:bCs/>
                <w:color w:val="333333"/>
                <w:sz w:val="18"/>
                <w:szCs w:val="18"/>
              </w:rPr>
              <w:t>No increase in the maximum quantity or number of units may be authorised</w:t>
            </w:r>
          </w:p>
          <w:p w:rsidR="003C37BA" w:rsidRPr="00BB3B34" w:rsidRDefault="003C37BA" w:rsidP="00E7267E">
            <w:pPr>
              <w:rPr>
                <w:rFonts w:ascii="Arial Narrow" w:hAnsi="Arial Narrow"/>
                <w:b/>
                <w:bCs/>
                <w:color w:val="333333"/>
                <w:sz w:val="18"/>
                <w:szCs w:val="18"/>
              </w:rPr>
            </w:pPr>
            <w:r w:rsidRPr="00BB3B34">
              <w:rPr>
                <w:rFonts w:ascii="Arial Narrow" w:hAnsi="Arial Narrow"/>
                <w:bCs/>
                <w:color w:val="333333"/>
                <w:sz w:val="18"/>
                <w:szCs w:val="18"/>
              </w:rPr>
              <w:t>No increase in the maximum number of repeats may be authorised</w:t>
            </w:r>
          </w:p>
          <w:p w:rsidR="003C37BA" w:rsidRPr="00BB3B34" w:rsidRDefault="003C37BA" w:rsidP="00E7267E">
            <w:pPr>
              <w:rPr>
                <w:rFonts w:ascii="Arial Narrow" w:hAnsi="Arial Narrow"/>
                <w:b/>
                <w:bCs/>
                <w:color w:val="333333"/>
                <w:sz w:val="18"/>
                <w:szCs w:val="18"/>
              </w:rPr>
            </w:pPr>
            <w:r w:rsidRPr="00BB3B34">
              <w:rPr>
                <w:rFonts w:ascii="Arial Narrow" w:hAnsi="Arial Narrow"/>
                <w:color w:val="333333"/>
                <w:sz w:val="18"/>
                <w:szCs w:val="18"/>
              </w:rPr>
              <w:t>Special Pricing Arrangements apply</w:t>
            </w:r>
          </w:p>
        </w:tc>
      </w:tr>
    </w:tbl>
    <w:p w:rsidR="00CC5E0C" w:rsidRPr="00BB3B34" w:rsidRDefault="00CC5E0C" w:rsidP="003C37BA">
      <w:pPr>
        <w:pStyle w:val="3Bodytext"/>
        <w:jc w:val="both"/>
      </w:pPr>
    </w:p>
    <w:p w:rsidR="003C37BA" w:rsidRPr="00BB3B34" w:rsidRDefault="003C37BA" w:rsidP="003C37BA">
      <w:pPr>
        <w:pStyle w:val="3Bodytext"/>
        <w:jc w:val="both"/>
        <w:rPr>
          <w:i/>
        </w:rPr>
      </w:pPr>
      <w:r w:rsidRPr="00BB3B34">
        <w:rPr>
          <w:i/>
        </w:rPr>
        <w:t>Flow-on changes – for ease in differentiating between listings, amend the current treatment phase description of ‘Continuing treatment’ to ‘Continuing treatment – 3 weekly treatment regimen’ in the current extensive-stage small cell lung cancer listing (Streamlined Authority code 10203, PBS item codes 11928T (Private) &amp; 11929W (Public)).</w:t>
      </w:r>
    </w:p>
    <w:p w:rsidR="007B04BD" w:rsidRDefault="007B04BD" w:rsidP="007B04BD">
      <w:pPr>
        <w:pStyle w:val="Bodytextitalics"/>
        <w:numPr>
          <w:ilvl w:val="0"/>
          <w:numId w:val="0"/>
        </w:numPr>
        <w:jc w:val="both"/>
        <w:rPr>
          <w:rFonts w:eastAsiaTheme="majorEastAsia" w:cstheme="majorBidi"/>
          <w:b/>
          <w:iCs/>
          <w:lang w:eastAsia="en-US"/>
        </w:rPr>
      </w:pPr>
      <w:r w:rsidRPr="00734027">
        <w:rPr>
          <w:rFonts w:eastAsiaTheme="majorEastAsia" w:cstheme="majorBidi"/>
          <w:b/>
          <w:iCs/>
          <w:lang w:eastAsia="en-US"/>
        </w:rPr>
        <w:lastRenderedPageBreak/>
        <w:t>This restriction may be subject to further review. Should there be any changes made to the restriction the Sponsor will be informed.</w:t>
      </w:r>
    </w:p>
    <w:p w:rsidR="00043A88" w:rsidRPr="00734027" w:rsidRDefault="00043A88" w:rsidP="007B04BD">
      <w:pPr>
        <w:pStyle w:val="Bodytextitalics"/>
        <w:numPr>
          <w:ilvl w:val="0"/>
          <w:numId w:val="0"/>
        </w:numPr>
        <w:jc w:val="both"/>
        <w:rPr>
          <w:rFonts w:eastAsiaTheme="majorEastAsia" w:cstheme="majorBidi"/>
          <w:b/>
          <w:iCs/>
          <w:lang w:eastAsia="en-US"/>
        </w:rPr>
      </w:pPr>
    </w:p>
    <w:p w:rsidR="0082297B" w:rsidRPr="00920A65" w:rsidRDefault="0082297B" w:rsidP="0082297B">
      <w:pPr>
        <w:pStyle w:val="PBACHeading1"/>
        <w:numPr>
          <w:ilvl w:val="0"/>
          <w:numId w:val="1"/>
        </w:numPr>
        <w:spacing w:before="240" w:after="120"/>
        <w:ind w:left="709" w:hanging="709"/>
        <w:jc w:val="both"/>
        <w:rPr>
          <w:rFonts w:asciiTheme="minorHAnsi" w:hAnsiTheme="minorHAnsi"/>
          <w:sz w:val="32"/>
          <w:szCs w:val="32"/>
        </w:rPr>
      </w:pPr>
      <w:bookmarkStart w:id="6" w:name="_GoBack"/>
      <w:bookmarkEnd w:id="6"/>
      <w:r w:rsidRPr="00920A65">
        <w:rPr>
          <w:rFonts w:asciiTheme="minorHAnsi" w:hAnsiTheme="minorHAnsi"/>
          <w:sz w:val="32"/>
          <w:szCs w:val="32"/>
        </w:rPr>
        <w:t>Context for Decision</w:t>
      </w:r>
    </w:p>
    <w:p w:rsidR="0082297B" w:rsidRPr="007129F2" w:rsidRDefault="0082297B" w:rsidP="0082297B">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82297B" w:rsidRDefault="0082297B" w:rsidP="0082297B">
      <w:pPr>
        <w:jc w:val="both"/>
        <w:rPr>
          <w:rFonts w:ascii="Calibri" w:hAnsi="Calibri" w:cs="Calibri"/>
        </w:rPr>
      </w:pPr>
    </w:p>
    <w:p w:rsidR="0082297B" w:rsidRPr="00920A65" w:rsidRDefault="0082297B" w:rsidP="0082297B">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rsidR="0082297B" w:rsidRPr="001179AC" w:rsidRDefault="0082297B" w:rsidP="0082297B">
      <w:pPr>
        <w:spacing w:after="120"/>
        <w:jc w:val="both"/>
        <w:rPr>
          <w:rFonts w:asciiTheme="minorHAnsi" w:hAnsiTheme="minorHAnsi" w:cs="Arial"/>
          <w:bCs/>
        </w:rPr>
      </w:pPr>
      <w:r w:rsidRPr="00C07617">
        <w:rPr>
          <w:rFonts w:asciiTheme="minorHAnsi" w:hAnsiTheme="minorHAnsi" w:cs="Arial"/>
          <w:bCs/>
        </w:rPr>
        <w:t>The sponsor had no comment.</w:t>
      </w:r>
    </w:p>
    <w:p w:rsidR="00191F88" w:rsidRPr="00BB3B34" w:rsidRDefault="00191F88" w:rsidP="002E5C79">
      <w:pPr>
        <w:pStyle w:val="3Bodytext"/>
        <w:jc w:val="both"/>
      </w:pPr>
    </w:p>
    <w:sectPr w:rsidR="00191F88" w:rsidRPr="00BB3B3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F5261" w16cid:durableId="2228BE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AB" w:rsidRDefault="00CE0CAB">
      <w:r>
        <w:separator/>
      </w:r>
    </w:p>
    <w:p w:rsidR="00CE0CAB" w:rsidRDefault="00CE0CAB"/>
  </w:endnote>
  <w:endnote w:type="continuationSeparator" w:id="0">
    <w:p w:rsidR="00CE0CAB" w:rsidRDefault="00CE0CAB">
      <w:r>
        <w:continuationSeparator/>
      </w:r>
    </w:p>
    <w:p w:rsidR="00CE0CAB" w:rsidRDefault="00CE0CAB"/>
  </w:endnote>
  <w:endnote w:type="continuationNotice" w:id="1">
    <w:p w:rsidR="00CE0CAB" w:rsidRDefault="00CE0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63D85" w:rsidTr="005A3173">
      <w:trPr>
        <w:trHeight w:val="151"/>
      </w:trPr>
      <w:tc>
        <w:tcPr>
          <w:tcW w:w="2250" w:type="pct"/>
          <w:tcBorders>
            <w:top w:val="nil"/>
            <w:left w:val="nil"/>
            <w:bottom w:val="single" w:sz="4" w:space="0" w:color="4F81BD"/>
            <w:right w:val="nil"/>
          </w:tcBorders>
        </w:tcPr>
        <w:p w:rsidR="00363D85" w:rsidRPr="005A3173" w:rsidRDefault="00363D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3D85" w:rsidRPr="005A3173" w:rsidRDefault="00363D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3D85" w:rsidRPr="005A3173" w:rsidRDefault="00363D85" w:rsidP="005A3173">
          <w:pPr>
            <w:pStyle w:val="Header"/>
            <w:spacing w:line="276" w:lineRule="auto"/>
            <w:rPr>
              <w:rFonts w:ascii="Calibri" w:eastAsia="MS Gothic" w:hAnsi="Calibri"/>
              <w:b/>
              <w:bCs/>
              <w:color w:val="4F81BD"/>
            </w:rPr>
          </w:pPr>
        </w:p>
      </w:tc>
    </w:tr>
    <w:tr w:rsidR="00363D85" w:rsidTr="005A3173">
      <w:trPr>
        <w:trHeight w:val="150"/>
      </w:trPr>
      <w:tc>
        <w:tcPr>
          <w:tcW w:w="2250" w:type="pct"/>
          <w:tcBorders>
            <w:top w:val="single" w:sz="4" w:space="0" w:color="4F81BD"/>
            <w:left w:val="nil"/>
            <w:bottom w:val="nil"/>
            <w:right w:val="nil"/>
          </w:tcBorders>
        </w:tcPr>
        <w:p w:rsidR="00363D85" w:rsidRPr="005A3173" w:rsidRDefault="00363D85" w:rsidP="005A3173">
          <w:pPr>
            <w:pStyle w:val="Header"/>
            <w:spacing w:line="276" w:lineRule="auto"/>
            <w:rPr>
              <w:rFonts w:ascii="Calibri" w:eastAsia="MS Gothic" w:hAnsi="Calibri"/>
              <w:b/>
              <w:bCs/>
              <w:color w:val="4F81BD"/>
            </w:rPr>
          </w:pPr>
        </w:p>
      </w:tc>
      <w:tc>
        <w:tcPr>
          <w:tcW w:w="0" w:type="auto"/>
          <w:vMerge/>
          <w:vAlign w:val="center"/>
          <w:hideMark/>
        </w:tcPr>
        <w:p w:rsidR="00363D85" w:rsidRPr="005A3173" w:rsidRDefault="00363D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3D85" w:rsidRPr="005A3173" w:rsidRDefault="00363D85" w:rsidP="005A3173">
          <w:pPr>
            <w:pStyle w:val="Header"/>
            <w:spacing w:line="276" w:lineRule="auto"/>
            <w:rPr>
              <w:rFonts w:ascii="Calibri" w:eastAsia="MS Gothic" w:hAnsi="Calibri"/>
              <w:b/>
              <w:bCs/>
              <w:color w:val="4F81BD"/>
            </w:rPr>
          </w:pPr>
        </w:p>
      </w:tc>
    </w:tr>
  </w:tbl>
  <w:p w:rsidR="00363D85" w:rsidRDefault="00363D8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3D85" w:rsidRDefault="00363D85">
    <w:pPr>
      <w:pStyle w:val="Footer"/>
    </w:pPr>
  </w:p>
  <w:p w:rsidR="00363D85" w:rsidRDefault="00363D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85" w:rsidRDefault="00363D85">
    <w:pPr>
      <w:pStyle w:val="Footer"/>
      <w:jc w:val="center"/>
      <w:rPr>
        <w:caps/>
        <w:color w:val="4F81BD" w:themeColor="accent1"/>
      </w:rPr>
    </w:pPr>
  </w:p>
  <w:p w:rsidR="00363D85" w:rsidRPr="005A3308" w:rsidRDefault="00363D85" w:rsidP="005A3308">
    <w:pPr>
      <w:pStyle w:val="Footer"/>
      <w:jc w:val="center"/>
      <w:rPr>
        <w:rFonts w:asciiTheme="minorHAnsi" w:hAnsiTheme="minorHAnsi" w:cstheme="minorHAnsi"/>
        <w:b/>
        <w:bCs/>
        <w:caps/>
        <w:noProof/>
      </w:rPr>
    </w:pPr>
    <w:r w:rsidRPr="005A3308">
      <w:rPr>
        <w:rFonts w:asciiTheme="minorHAnsi" w:hAnsiTheme="minorHAnsi" w:cstheme="minorHAnsi"/>
        <w:b/>
        <w:bCs/>
        <w:caps/>
      </w:rPr>
      <w:fldChar w:fldCharType="begin"/>
    </w:r>
    <w:r w:rsidRPr="005A3308">
      <w:rPr>
        <w:rFonts w:asciiTheme="minorHAnsi" w:hAnsiTheme="minorHAnsi" w:cstheme="minorHAnsi"/>
        <w:b/>
        <w:bCs/>
        <w:caps/>
      </w:rPr>
      <w:instrText xml:space="preserve"> PAGE   \* MERGEFORMAT </w:instrText>
    </w:r>
    <w:r w:rsidRPr="005A3308">
      <w:rPr>
        <w:rFonts w:asciiTheme="minorHAnsi" w:hAnsiTheme="minorHAnsi" w:cstheme="minorHAnsi"/>
        <w:b/>
        <w:bCs/>
        <w:caps/>
      </w:rPr>
      <w:fldChar w:fldCharType="separate"/>
    </w:r>
    <w:r w:rsidR="007B7159">
      <w:rPr>
        <w:rFonts w:asciiTheme="minorHAnsi" w:hAnsiTheme="minorHAnsi" w:cstheme="minorHAnsi"/>
        <w:b/>
        <w:bCs/>
        <w:caps/>
        <w:noProof/>
      </w:rPr>
      <w:t>1</w:t>
    </w:r>
    <w:r w:rsidRPr="005A3308">
      <w:rPr>
        <w:rFonts w:asciiTheme="minorHAnsi" w:hAnsiTheme="minorHAnsi" w:cstheme="minorHAnsi"/>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363D85" w:rsidTr="005A3173">
      <w:trPr>
        <w:trHeight w:val="151"/>
      </w:trPr>
      <w:tc>
        <w:tcPr>
          <w:tcW w:w="2250" w:type="pct"/>
          <w:tcBorders>
            <w:top w:val="nil"/>
            <w:left w:val="nil"/>
            <w:bottom w:val="single" w:sz="4" w:space="0" w:color="4F81BD"/>
            <w:right w:val="nil"/>
          </w:tcBorders>
        </w:tcPr>
        <w:p w:rsidR="00363D85" w:rsidRPr="005A3173" w:rsidRDefault="00363D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3D85" w:rsidRPr="005A3173" w:rsidRDefault="00363D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3D85" w:rsidRPr="005A3173" w:rsidRDefault="00363D85" w:rsidP="005A3173">
          <w:pPr>
            <w:pStyle w:val="Header"/>
            <w:spacing w:line="276" w:lineRule="auto"/>
            <w:rPr>
              <w:rFonts w:ascii="Calibri" w:eastAsia="MS Gothic" w:hAnsi="Calibri"/>
              <w:b/>
              <w:bCs/>
              <w:color w:val="4F81BD"/>
            </w:rPr>
          </w:pPr>
        </w:p>
      </w:tc>
    </w:tr>
    <w:tr w:rsidR="00363D85" w:rsidTr="005A3173">
      <w:trPr>
        <w:trHeight w:val="150"/>
      </w:trPr>
      <w:tc>
        <w:tcPr>
          <w:tcW w:w="2250" w:type="pct"/>
          <w:tcBorders>
            <w:top w:val="single" w:sz="4" w:space="0" w:color="4F81BD"/>
            <w:left w:val="nil"/>
            <w:bottom w:val="nil"/>
            <w:right w:val="nil"/>
          </w:tcBorders>
        </w:tcPr>
        <w:p w:rsidR="00363D85" w:rsidRPr="005A3173" w:rsidRDefault="00363D85" w:rsidP="005A3173">
          <w:pPr>
            <w:pStyle w:val="Header"/>
            <w:spacing w:line="276" w:lineRule="auto"/>
            <w:rPr>
              <w:rFonts w:ascii="Calibri" w:eastAsia="MS Gothic" w:hAnsi="Calibri"/>
              <w:b/>
              <w:bCs/>
              <w:color w:val="4F81BD"/>
            </w:rPr>
          </w:pPr>
        </w:p>
      </w:tc>
      <w:tc>
        <w:tcPr>
          <w:tcW w:w="0" w:type="auto"/>
          <w:vMerge/>
          <w:vAlign w:val="center"/>
          <w:hideMark/>
        </w:tcPr>
        <w:p w:rsidR="00363D85" w:rsidRPr="005A3173" w:rsidRDefault="00363D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3D85" w:rsidRPr="005A3173" w:rsidRDefault="00363D8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63D85" w:rsidTr="005A3173">
      <w:trPr>
        <w:trHeight w:val="151"/>
      </w:trPr>
      <w:tc>
        <w:tcPr>
          <w:tcW w:w="2250" w:type="pct"/>
          <w:tcBorders>
            <w:top w:val="nil"/>
            <w:left w:val="nil"/>
            <w:bottom w:val="single" w:sz="4" w:space="0" w:color="4F81BD"/>
            <w:right w:val="nil"/>
          </w:tcBorders>
        </w:tcPr>
        <w:p w:rsidR="00363D85" w:rsidRPr="005A3173" w:rsidRDefault="00363D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3D85" w:rsidRPr="005A3173" w:rsidRDefault="00363D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3D85" w:rsidRPr="005A3173" w:rsidRDefault="00363D85" w:rsidP="005A3173">
          <w:pPr>
            <w:pStyle w:val="Header"/>
            <w:spacing w:line="276" w:lineRule="auto"/>
            <w:rPr>
              <w:rFonts w:ascii="Calibri" w:eastAsia="MS Gothic" w:hAnsi="Calibri"/>
              <w:b/>
              <w:bCs/>
              <w:color w:val="4F81BD"/>
            </w:rPr>
          </w:pPr>
        </w:p>
      </w:tc>
    </w:tr>
    <w:tr w:rsidR="00363D85" w:rsidTr="005A3173">
      <w:trPr>
        <w:trHeight w:val="150"/>
      </w:trPr>
      <w:tc>
        <w:tcPr>
          <w:tcW w:w="2250" w:type="pct"/>
          <w:tcBorders>
            <w:top w:val="single" w:sz="4" w:space="0" w:color="4F81BD"/>
            <w:left w:val="nil"/>
            <w:bottom w:val="nil"/>
            <w:right w:val="nil"/>
          </w:tcBorders>
        </w:tcPr>
        <w:p w:rsidR="00363D85" w:rsidRPr="005A3173" w:rsidRDefault="00363D85" w:rsidP="005A3173">
          <w:pPr>
            <w:pStyle w:val="Header"/>
            <w:spacing w:line="276" w:lineRule="auto"/>
            <w:rPr>
              <w:rFonts w:ascii="Calibri" w:eastAsia="MS Gothic" w:hAnsi="Calibri"/>
              <w:b/>
              <w:bCs/>
              <w:color w:val="4F81BD"/>
            </w:rPr>
          </w:pPr>
        </w:p>
      </w:tc>
      <w:tc>
        <w:tcPr>
          <w:tcW w:w="0" w:type="auto"/>
          <w:vMerge/>
          <w:vAlign w:val="center"/>
          <w:hideMark/>
        </w:tcPr>
        <w:p w:rsidR="00363D85" w:rsidRPr="005A3173" w:rsidRDefault="00363D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3D85" w:rsidRPr="005A3173" w:rsidRDefault="00363D85" w:rsidP="005A3173">
          <w:pPr>
            <w:pStyle w:val="Header"/>
            <w:spacing w:line="276" w:lineRule="auto"/>
            <w:rPr>
              <w:rFonts w:ascii="Calibri" w:eastAsia="MS Gothic" w:hAnsi="Calibri"/>
              <w:b/>
              <w:bCs/>
              <w:color w:val="4F81BD"/>
            </w:rPr>
          </w:pPr>
        </w:p>
      </w:tc>
    </w:tr>
  </w:tbl>
  <w:p w:rsidR="00363D85" w:rsidRPr="007C0F57" w:rsidRDefault="00363D8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63D85" w:rsidRPr="007C0F57" w:rsidRDefault="00363D85" w:rsidP="007C0F57">
    <w:pPr>
      <w:pStyle w:val="Footer"/>
      <w:jc w:val="center"/>
      <w:rPr>
        <w:b/>
        <w:i/>
        <w:sz w:val="20"/>
        <w:szCs w:val="20"/>
      </w:rPr>
    </w:pPr>
    <w:r w:rsidRPr="007C0F57">
      <w:rPr>
        <w:b/>
        <w:i/>
        <w:sz w:val="20"/>
        <w:szCs w:val="20"/>
      </w:rPr>
      <w:t>Commercial-in-Confidence</w:t>
    </w:r>
  </w:p>
  <w:p w:rsidR="00363D85" w:rsidRDefault="00363D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AB" w:rsidRDefault="00CE0CAB">
      <w:r>
        <w:separator/>
      </w:r>
    </w:p>
    <w:p w:rsidR="00CE0CAB" w:rsidRDefault="00CE0CAB"/>
  </w:footnote>
  <w:footnote w:type="continuationSeparator" w:id="0">
    <w:p w:rsidR="00CE0CAB" w:rsidRDefault="00CE0CAB">
      <w:r>
        <w:continuationSeparator/>
      </w:r>
    </w:p>
    <w:p w:rsidR="00CE0CAB" w:rsidRDefault="00CE0CAB"/>
  </w:footnote>
  <w:footnote w:type="continuationNotice" w:id="1">
    <w:p w:rsidR="00CE0CAB" w:rsidRDefault="00CE0C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63D85" w:rsidRPr="008E0D90" w:rsidTr="00A06225">
      <w:trPr>
        <w:trHeight w:val="151"/>
      </w:trPr>
      <w:tc>
        <w:tcPr>
          <w:tcW w:w="2389" w:type="pct"/>
          <w:tcBorders>
            <w:top w:val="nil"/>
            <w:left w:val="nil"/>
            <w:bottom w:val="single" w:sz="4" w:space="0" w:color="4F81BD"/>
            <w:right w:val="nil"/>
          </w:tcBorders>
        </w:tcPr>
        <w:p w:rsidR="00363D85" w:rsidRPr="00A06225" w:rsidRDefault="00363D85">
          <w:pPr>
            <w:pStyle w:val="Header"/>
            <w:spacing w:line="276" w:lineRule="auto"/>
            <w:rPr>
              <w:rFonts w:ascii="Cambria" w:eastAsia="MS Gothic" w:hAnsi="Cambria"/>
              <w:b/>
              <w:bCs/>
              <w:color w:val="4F81BD"/>
            </w:rPr>
          </w:pPr>
        </w:p>
      </w:tc>
      <w:tc>
        <w:tcPr>
          <w:tcW w:w="333" w:type="pct"/>
          <w:vMerge w:val="restart"/>
          <w:noWrap/>
          <w:vAlign w:val="center"/>
          <w:hideMark/>
        </w:tcPr>
        <w:p w:rsidR="00363D85" w:rsidRPr="00A06225" w:rsidRDefault="00363D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63D85" w:rsidRPr="00A06225" w:rsidRDefault="00363D85">
          <w:pPr>
            <w:pStyle w:val="Header"/>
            <w:spacing w:line="276" w:lineRule="auto"/>
            <w:rPr>
              <w:rFonts w:ascii="Cambria" w:eastAsia="MS Gothic" w:hAnsi="Cambria"/>
              <w:b/>
              <w:bCs/>
              <w:color w:val="4F81BD"/>
            </w:rPr>
          </w:pPr>
        </w:p>
      </w:tc>
    </w:tr>
    <w:tr w:rsidR="00363D85" w:rsidRPr="008E0D90" w:rsidTr="00A06225">
      <w:trPr>
        <w:trHeight w:val="150"/>
      </w:trPr>
      <w:tc>
        <w:tcPr>
          <w:tcW w:w="2389" w:type="pct"/>
          <w:tcBorders>
            <w:top w:val="single" w:sz="4" w:space="0" w:color="4F81BD"/>
            <w:left w:val="nil"/>
            <w:bottom w:val="nil"/>
            <w:right w:val="nil"/>
          </w:tcBorders>
        </w:tcPr>
        <w:p w:rsidR="00363D85" w:rsidRPr="00A06225" w:rsidRDefault="00363D85">
          <w:pPr>
            <w:pStyle w:val="Header"/>
            <w:spacing w:line="276" w:lineRule="auto"/>
            <w:rPr>
              <w:rFonts w:ascii="Cambria" w:eastAsia="MS Gothic" w:hAnsi="Cambria"/>
              <w:b/>
              <w:bCs/>
              <w:color w:val="4F81BD"/>
            </w:rPr>
          </w:pPr>
        </w:p>
      </w:tc>
      <w:tc>
        <w:tcPr>
          <w:tcW w:w="0" w:type="auto"/>
          <w:vMerge/>
          <w:vAlign w:val="center"/>
          <w:hideMark/>
        </w:tcPr>
        <w:p w:rsidR="00363D85" w:rsidRPr="00A06225" w:rsidRDefault="00363D85">
          <w:pPr>
            <w:rPr>
              <w:rFonts w:ascii="Cambria" w:hAnsi="Cambria"/>
              <w:color w:val="4F81BD"/>
              <w:sz w:val="22"/>
              <w:szCs w:val="22"/>
            </w:rPr>
          </w:pPr>
        </w:p>
      </w:tc>
      <w:tc>
        <w:tcPr>
          <w:tcW w:w="2278" w:type="pct"/>
          <w:tcBorders>
            <w:top w:val="single" w:sz="4" w:space="0" w:color="4F81BD"/>
            <w:left w:val="nil"/>
            <w:bottom w:val="nil"/>
            <w:right w:val="nil"/>
          </w:tcBorders>
        </w:tcPr>
        <w:p w:rsidR="00363D85" w:rsidRPr="00A06225" w:rsidRDefault="00363D85">
          <w:pPr>
            <w:pStyle w:val="Header"/>
            <w:spacing w:line="276" w:lineRule="auto"/>
            <w:rPr>
              <w:rFonts w:ascii="Cambria" w:eastAsia="MS Gothic" w:hAnsi="Cambria"/>
              <w:b/>
              <w:bCs/>
              <w:color w:val="4F81BD"/>
            </w:rPr>
          </w:pPr>
        </w:p>
      </w:tc>
    </w:tr>
  </w:tbl>
  <w:p w:rsidR="00363D85" w:rsidRDefault="00363D85">
    <w:pPr>
      <w:pStyle w:val="Header"/>
    </w:pPr>
  </w:p>
  <w:p w:rsidR="00363D85" w:rsidRDefault="00363D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85" w:rsidRPr="0089437F" w:rsidRDefault="0082297B" w:rsidP="0082297B">
    <w:pPr>
      <w:pStyle w:val="Header"/>
      <w:keepNext/>
      <w:ind w:left="360"/>
      <w:jc w:val="center"/>
      <w:rPr>
        <w:rFonts w:asciiTheme="minorHAnsi" w:hAnsiTheme="minorHAnsi" w:cs="Arial"/>
        <w:i/>
      </w:rPr>
    </w:pPr>
    <w:r>
      <w:rPr>
        <w:rFonts w:asciiTheme="minorHAnsi" w:hAnsiTheme="minorHAnsi" w:cs="Arial"/>
        <w:i/>
      </w:rPr>
      <w:t>Public Summary Document</w:t>
    </w:r>
    <w:r w:rsidR="00363D85" w:rsidRPr="0089437F">
      <w:rPr>
        <w:rFonts w:asciiTheme="minorHAnsi" w:hAnsiTheme="minorHAnsi" w:cs="Arial"/>
        <w:i/>
      </w:rPr>
      <w:t xml:space="preserve"> – </w:t>
    </w:r>
    <w:r w:rsidR="00363D85">
      <w:rPr>
        <w:rFonts w:asciiTheme="minorHAnsi" w:hAnsiTheme="minorHAnsi" w:cs="Arial"/>
        <w:i/>
      </w:rPr>
      <w:t>March 2020</w:t>
    </w:r>
    <w:r w:rsidR="00363D85" w:rsidRPr="0089437F">
      <w:rPr>
        <w:rFonts w:asciiTheme="minorHAnsi" w:hAnsiTheme="minorHAnsi" w:cs="Arial"/>
        <w:i/>
      </w:rPr>
      <w:t xml:space="preserve"> PBAC Meeting</w:t>
    </w:r>
  </w:p>
  <w:p w:rsidR="00363D85" w:rsidRDefault="00363D85" w:rsidP="0089437F">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AB" w:rsidRDefault="00CE0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BCB2B3B"/>
    <w:multiLevelType w:val="hybridMultilevel"/>
    <w:tmpl w:val="65E0A9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2839BD"/>
    <w:multiLevelType w:val="hybridMultilevel"/>
    <w:tmpl w:val="507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9DD2F86A"/>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6"/>
  </w:num>
  <w:num w:numId="4">
    <w:abstractNumId w:val="5"/>
  </w:num>
  <w:num w:numId="5">
    <w:abstractNumId w:val="4"/>
  </w:num>
  <w:num w:numId="6">
    <w:abstractNumId w:val="3"/>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48C"/>
    <w:rsid w:val="00001663"/>
    <w:rsid w:val="00001F96"/>
    <w:rsid w:val="000025AD"/>
    <w:rsid w:val="00002789"/>
    <w:rsid w:val="0000335D"/>
    <w:rsid w:val="0000380E"/>
    <w:rsid w:val="00005F1B"/>
    <w:rsid w:val="00007B1C"/>
    <w:rsid w:val="00010653"/>
    <w:rsid w:val="00010BE3"/>
    <w:rsid w:val="00011A59"/>
    <w:rsid w:val="00012F74"/>
    <w:rsid w:val="00014480"/>
    <w:rsid w:val="00014A80"/>
    <w:rsid w:val="0001596F"/>
    <w:rsid w:val="0001669C"/>
    <w:rsid w:val="00016A41"/>
    <w:rsid w:val="000208BC"/>
    <w:rsid w:val="000214D1"/>
    <w:rsid w:val="0002464A"/>
    <w:rsid w:val="0002487D"/>
    <w:rsid w:val="00024C00"/>
    <w:rsid w:val="00025D8B"/>
    <w:rsid w:val="00026BD2"/>
    <w:rsid w:val="00027C80"/>
    <w:rsid w:val="0003106B"/>
    <w:rsid w:val="00031507"/>
    <w:rsid w:val="000334C4"/>
    <w:rsid w:val="0003355F"/>
    <w:rsid w:val="000342FD"/>
    <w:rsid w:val="00034905"/>
    <w:rsid w:val="0003494D"/>
    <w:rsid w:val="00034CCB"/>
    <w:rsid w:val="0004129D"/>
    <w:rsid w:val="000421A1"/>
    <w:rsid w:val="0004240E"/>
    <w:rsid w:val="00043047"/>
    <w:rsid w:val="00043A88"/>
    <w:rsid w:val="00043ED4"/>
    <w:rsid w:val="000440AD"/>
    <w:rsid w:val="00044613"/>
    <w:rsid w:val="00044FC1"/>
    <w:rsid w:val="00045E26"/>
    <w:rsid w:val="000466FE"/>
    <w:rsid w:val="0005042A"/>
    <w:rsid w:val="00050DD2"/>
    <w:rsid w:val="000514B5"/>
    <w:rsid w:val="00054B9A"/>
    <w:rsid w:val="00055B00"/>
    <w:rsid w:val="0005621A"/>
    <w:rsid w:val="000563E9"/>
    <w:rsid w:val="0005766E"/>
    <w:rsid w:val="00060A12"/>
    <w:rsid w:val="00060E64"/>
    <w:rsid w:val="00060ED2"/>
    <w:rsid w:val="00061460"/>
    <w:rsid w:val="00063EDE"/>
    <w:rsid w:val="00064E97"/>
    <w:rsid w:val="0006527C"/>
    <w:rsid w:val="00065F5A"/>
    <w:rsid w:val="00066755"/>
    <w:rsid w:val="00070CC9"/>
    <w:rsid w:val="00071550"/>
    <w:rsid w:val="00071BC9"/>
    <w:rsid w:val="00071CFE"/>
    <w:rsid w:val="00075974"/>
    <w:rsid w:val="000763D5"/>
    <w:rsid w:val="00077143"/>
    <w:rsid w:val="0007778B"/>
    <w:rsid w:val="00082169"/>
    <w:rsid w:val="000918CB"/>
    <w:rsid w:val="00091B06"/>
    <w:rsid w:val="000951C4"/>
    <w:rsid w:val="00095ADA"/>
    <w:rsid w:val="00095CB9"/>
    <w:rsid w:val="000969AD"/>
    <w:rsid w:val="00097321"/>
    <w:rsid w:val="00097364"/>
    <w:rsid w:val="000A0EFC"/>
    <w:rsid w:val="000A1587"/>
    <w:rsid w:val="000A24B0"/>
    <w:rsid w:val="000A2874"/>
    <w:rsid w:val="000A3AA2"/>
    <w:rsid w:val="000A3BA7"/>
    <w:rsid w:val="000A4284"/>
    <w:rsid w:val="000A44B2"/>
    <w:rsid w:val="000A5611"/>
    <w:rsid w:val="000B2F41"/>
    <w:rsid w:val="000B30CA"/>
    <w:rsid w:val="000B44C3"/>
    <w:rsid w:val="000B558D"/>
    <w:rsid w:val="000B73B6"/>
    <w:rsid w:val="000C02DF"/>
    <w:rsid w:val="000C162A"/>
    <w:rsid w:val="000C2DB0"/>
    <w:rsid w:val="000C367F"/>
    <w:rsid w:val="000C48C6"/>
    <w:rsid w:val="000C5C5B"/>
    <w:rsid w:val="000C5E19"/>
    <w:rsid w:val="000C5F79"/>
    <w:rsid w:val="000C5F95"/>
    <w:rsid w:val="000C6065"/>
    <w:rsid w:val="000C6996"/>
    <w:rsid w:val="000D09E9"/>
    <w:rsid w:val="000D14BF"/>
    <w:rsid w:val="000D23BA"/>
    <w:rsid w:val="000D5FBE"/>
    <w:rsid w:val="000D77A9"/>
    <w:rsid w:val="000E0486"/>
    <w:rsid w:val="000E1D03"/>
    <w:rsid w:val="000E27C1"/>
    <w:rsid w:val="000E572C"/>
    <w:rsid w:val="000E681E"/>
    <w:rsid w:val="000F0003"/>
    <w:rsid w:val="000F2409"/>
    <w:rsid w:val="000F2681"/>
    <w:rsid w:val="000F27D9"/>
    <w:rsid w:val="000F3384"/>
    <w:rsid w:val="000F4E6A"/>
    <w:rsid w:val="000F7354"/>
    <w:rsid w:val="000F78FD"/>
    <w:rsid w:val="000F7B9A"/>
    <w:rsid w:val="001016E9"/>
    <w:rsid w:val="00102202"/>
    <w:rsid w:val="00104227"/>
    <w:rsid w:val="00104A43"/>
    <w:rsid w:val="001060BE"/>
    <w:rsid w:val="00106377"/>
    <w:rsid w:val="00106ED8"/>
    <w:rsid w:val="00107DD9"/>
    <w:rsid w:val="001100B6"/>
    <w:rsid w:val="001107BF"/>
    <w:rsid w:val="001109E5"/>
    <w:rsid w:val="00111C56"/>
    <w:rsid w:val="001121A5"/>
    <w:rsid w:val="00112A65"/>
    <w:rsid w:val="00113649"/>
    <w:rsid w:val="00113B84"/>
    <w:rsid w:val="0011582D"/>
    <w:rsid w:val="001222EB"/>
    <w:rsid w:val="00122808"/>
    <w:rsid w:val="00122844"/>
    <w:rsid w:val="00122886"/>
    <w:rsid w:val="00122BD8"/>
    <w:rsid w:val="001234FF"/>
    <w:rsid w:val="0012417C"/>
    <w:rsid w:val="00124694"/>
    <w:rsid w:val="0012749D"/>
    <w:rsid w:val="00127981"/>
    <w:rsid w:val="001314F5"/>
    <w:rsid w:val="001317A3"/>
    <w:rsid w:val="0013204D"/>
    <w:rsid w:val="00132257"/>
    <w:rsid w:val="00135070"/>
    <w:rsid w:val="00136674"/>
    <w:rsid w:val="001410A0"/>
    <w:rsid w:val="001415C5"/>
    <w:rsid w:val="0014216A"/>
    <w:rsid w:val="00142395"/>
    <w:rsid w:val="00142714"/>
    <w:rsid w:val="001434EC"/>
    <w:rsid w:val="0014410B"/>
    <w:rsid w:val="001449C6"/>
    <w:rsid w:val="001452ED"/>
    <w:rsid w:val="00145469"/>
    <w:rsid w:val="001458FE"/>
    <w:rsid w:val="0014773B"/>
    <w:rsid w:val="00147D84"/>
    <w:rsid w:val="00147F10"/>
    <w:rsid w:val="001540C6"/>
    <w:rsid w:val="001549C1"/>
    <w:rsid w:val="00155F1A"/>
    <w:rsid w:val="001569E1"/>
    <w:rsid w:val="00157DEF"/>
    <w:rsid w:val="00162D4E"/>
    <w:rsid w:val="0016320E"/>
    <w:rsid w:val="00163329"/>
    <w:rsid w:val="0016353B"/>
    <w:rsid w:val="0016387E"/>
    <w:rsid w:val="00163C01"/>
    <w:rsid w:val="00163D83"/>
    <w:rsid w:val="00164623"/>
    <w:rsid w:val="001652DE"/>
    <w:rsid w:val="00165B64"/>
    <w:rsid w:val="0016792B"/>
    <w:rsid w:val="0017393F"/>
    <w:rsid w:val="001756EA"/>
    <w:rsid w:val="00175F73"/>
    <w:rsid w:val="001774E1"/>
    <w:rsid w:val="001805FA"/>
    <w:rsid w:val="00180713"/>
    <w:rsid w:val="00183015"/>
    <w:rsid w:val="00183038"/>
    <w:rsid w:val="001830CE"/>
    <w:rsid w:val="001836A7"/>
    <w:rsid w:val="00183A22"/>
    <w:rsid w:val="00184CEC"/>
    <w:rsid w:val="00186246"/>
    <w:rsid w:val="0018643B"/>
    <w:rsid w:val="0018664B"/>
    <w:rsid w:val="00186ACD"/>
    <w:rsid w:val="00187D1D"/>
    <w:rsid w:val="00191F88"/>
    <w:rsid w:val="001939E6"/>
    <w:rsid w:val="00194C7D"/>
    <w:rsid w:val="00196307"/>
    <w:rsid w:val="00196701"/>
    <w:rsid w:val="00196D52"/>
    <w:rsid w:val="0019748B"/>
    <w:rsid w:val="001A11C6"/>
    <w:rsid w:val="001A1B56"/>
    <w:rsid w:val="001A33EA"/>
    <w:rsid w:val="001A4C4F"/>
    <w:rsid w:val="001A6E73"/>
    <w:rsid w:val="001A76FB"/>
    <w:rsid w:val="001A7C86"/>
    <w:rsid w:val="001B017F"/>
    <w:rsid w:val="001B2BBC"/>
    <w:rsid w:val="001B3B9C"/>
    <w:rsid w:val="001B3DA7"/>
    <w:rsid w:val="001B3FFE"/>
    <w:rsid w:val="001B4281"/>
    <w:rsid w:val="001B5129"/>
    <w:rsid w:val="001B5196"/>
    <w:rsid w:val="001B5F67"/>
    <w:rsid w:val="001B60CC"/>
    <w:rsid w:val="001B6ED7"/>
    <w:rsid w:val="001B7815"/>
    <w:rsid w:val="001C05CE"/>
    <w:rsid w:val="001C0B4C"/>
    <w:rsid w:val="001C1195"/>
    <w:rsid w:val="001C3755"/>
    <w:rsid w:val="001C4A4F"/>
    <w:rsid w:val="001C5DA7"/>
    <w:rsid w:val="001C622D"/>
    <w:rsid w:val="001C73B1"/>
    <w:rsid w:val="001D1F5F"/>
    <w:rsid w:val="001D351E"/>
    <w:rsid w:val="001D504F"/>
    <w:rsid w:val="001D5BAD"/>
    <w:rsid w:val="001D7AB0"/>
    <w:rsid w:val="001D7D3E"/>
    <w:rsid w:val="001E058E"/>
    <w:rsid w:val="001E0602"/>
    <w:rsid w:val="001E06D2"/>
    <w:rsid w:val="001E18BF"/>
    <w:rsid w:val="001E2EF7"/>
    <w:rsid w:val="001E50F1"/>
    <w:rsid w:val="001E5E41"/>
    <w:rsid w:val="001E6D6D"/>
    <w:rsid w:val="001E7BF7"/>
    <w:rsid w:val="001F02DF"/>
    <w:rsid w:val="001F1850"/>
    <w:rsid w:val="001F21F2"/>
    <w:rsid w:val="001F3189"/>
    <w:rsid w:val="001F45F1"/>
    <w:rsid w:val="001F5225"/>
    <w:rsid w:val="001F6F9E"/>
    <w:rsid w:val="00201D18"/>
    <w:rsid w:val="002021C7"/>
    <w:rsid w:val="00203FAC"/>
    <w:rsid w:val="00204FF3"/>
    <w:rsid w:val="002050A2"/>
    <w:rsid w:val="002055A5"/>
    <w:rsid w:val="00205F1C"/>
    <w:rsid w:val="00206D65"/>
    <w:rsid w:val="00207D01"/>
    <w:rsid w:val="00212155"/>
    <w:rsid w:val="00212200"/>
    <w:rsid w:val="00212408"/>
    <w:rsid w:val="00213CFB"/>
    <w:rsid w:val="00213D1F"/>
    <w:rsid w:val="0021411F"/>
    <w:rsid w:val="0021553C"/>
    <w:rsid w:val="0021557B"/>
    <w:rsid w:val="002160E4"/>
    <w:rsid w:val="00217164"/>
    <w:rsid w:val="002174FD"/>
    <w:rsid w:val="00217784"/>
    <w:rsid w:val="00217B54"/>
    <w:rsid w:val="00217BE1"/>
    <w:rsid w:val="0022140C"/>
    <w:rsid w:val="00221812"/>
    <w:rsid w:val="00221DDA"/>
    <w:rsid w:val="00224278"/>
    <w:rsid w:val="002257C6"/>
    <w:rsid w:val="00225DED"/>
    <w:rsid w:val="00227DD3"/>
    <w:rsid w:val="00230655"/>
    <w:rsid w:val="00231BF8"/>
    <w:rsid w:val="00233148"/>
    <w:rsid w:val="002336D5"/>
    <w:rsid w:val="00234252"/>
    <w:rsid w:val="00234BB8"/>
    <w:rsid w:val="00234C39"/>
    <w:rsid w:val="0023551F"/>
    <w:rsid w:val="00235A86"/>
    <w:rsid w:val="00237AC6"/>
    <w:rsid w:val="00237F27"/>
    <w:rsid w:val="00240F66"/>
    <w:rsid w:val="00242B88"/>
    <w:rsid w:val="00242EE3"/>
    <w:rsid w:val="0024394F"/>
    <w:rsid w:val="00244490"/>
    <w:rsid w:val="00244809"/>
    <w:rsid w:val="00244D82"/>
    <w:rsid w:val="00245710"/>
    <w:rsid w:val="00246CFF"/>
    <w:rsid w:val="002507B1"/>
    <w:rsid w:val="00250FDD"/>
    <w:rsid w:val="0025260A"/>
    <w:rsid w:val="00252B11"/>
    <w:rsid w:val="00253499"/>
    <w:rsid w:val="002551A4"/>
    <w:rsid w:val="00255601"/>
    <w:rsid w:val="0025692C"/>
    <w:rsid w:val="00257664"/>
    <w:rsid w:val="002623A3"/>
    <w:rsid w:val="00264F6D"/>
    <w:rsid w:val="00265151"/>
    <w:rsid w:val="0026542E"/>
    <w:rsid w:val="002654F2"/>
    <w:rsid w:val="00265FC8"/>
    <w:rsid w:val="00266469"/>
    <w:rsid w:val="00266509"/>
    <w:rsid w:val="00266E06"/>
    <w:rsid w:val="002671F7"/>
    <w:rsid w:val="00271434"/>
    <w:rsid w:val="00271482"/>
    <w:rsid w:val="002716DB"/>
    <w:rsid w:val="00271BA1"/>
    <w:rsid w:val="0027321F"/>
    <w:rsid w:val="00275503"/>
    <w:rsid w:val="002756CE"/>
    <w:rsid w:val="002762FA"/>
    <w:rsid w:val="00277505"/>
    <w:rsid w:val="002806FC"/>
    <w:rsid w:val="00280A3B"/>
    <w:rsid w:val="002823B6"/>
    <w:rsid w:val="00283204"/>
    <w:rsid w:val="00283A38"/>
    <w:rsid w:val="00283F7C"/>
    <w:rsid w:val="002841C0"/>
    <w:rsid w:val="00285A4B"/>
    <w:rsid w:val="00286055"/>
    <w:rsid w:val="002873B4"/>
    <w:rsid w:val="00287531"/>
    <w:rsid w:val="00287E77"/>
    <w:rsid w:val="00292349"/>
    <w:rsid w:val="00292DAF"/>
    <w:rsid w:val="00294274"/>
    <w:rsid w:val="0029458F"/>
    <w:rsid w:val="0029466D"/>
    <w:rsid w:val="002956EA"/>
    <w:rsid w:val="00295B9E"/>
    <w:rsid w:val="00296611"/>
    <w:rsid w:val="002979E1"/>
    <w:rsid w:val="002A0B5E"/>
    <w:rsid w:val="002A0E04"/>
    <w:rsid w:val="002A104C"/>
    <w:rsid w:val="002A2AF6"/>
    <w:rsid w:val="002A494D"/>
    <w:rsid w:val="002A4960"/>
    <w:rsid w:val="002A4F2A"/>
    <w:rsid w:val="002A7281"/>
    <w:rsid w:val="002A797B"/>
    <w:rsid w:val="002A7F30"/>
    <w:rsid w:val="002B0AE0"/>
    <w:rsid w:val="002B1422"/>
    <w:rsid w:val="002B1AE6"/>
    <w:rsid w:val="002B1D51"/>
    <w:rsid w:val="002B2DE8"/>
    <w:rsid w:val="002B30F8"/>
    <w:rsid w:val="002B388A"/>
    <w:rsid w:val="002B4B22"/>
    <w:rsid w:val="002B5596"/>
    <w:rsid w:val="002B672B"/>
    <w:rsid w:val="002B7195"/>
    <w:rsid w:val="002B7B17"/>
    <w:rsid w:val="002B7F01"/>
    <w:rsid w:val="002C212F"/>
    <w:rsid w:val="002C2301"/>
    <w:rsid w:val="002C3DD2"/>
    <w:rsid w:val="002C3F8A"/>
    <w:rsid w:val="002C41A1"/>
    <w:rsid w:val="002C5C39"/>
    <w:rsid w:val="002C7485"/>
    <w:rsid w:val="002D003C"/>
    <w:rsid w:val="002D283A"/>
    <w:rsid w:val="002D3454"/>
    <w:rsid w:val="002D36A1"/>
    <w:rsid w:val="002D3BC0"/>
    <w:rsid w:val="002D4053"/>
    <w:rsid w:val="002D4543"/>
    <w:rsid w:val="002D7184"/>
    <w:rsid w:val="002D74B0"/>
    <w:rsid w:val="002E06A9"/>
    <w:rsid w:val="002E1A8D"/>
    <w:rsid w:val="002E2AEE"/>
    <w:rsid w:val="002E3153"/>
    <w:rsid w:val="002E3D09"/>
    <w:rsid w:val="002E4FE7"/>
    <w:rsid w:val="002E5292"/>
    <w:rsid w:val="002E5C79"/>
    <w:rsid w:val="002E72CA"/>
    <w:rsid w:val="002F0512"/>
    <w:rsid w:val="002F0BBA"/>
    <w:rsid w:val="002F1419"/>
    <w:rsid w:val="002F18CF"/>
    <w:rsid w:val="002F3BC1"/>
    <w:rsid w:val="002F4513"/>
    <w:rsid w:val="002F600D"/>
    <w:rsid w:val="002F6744"/>
    <w:rsid w:val="002F6EEA"/>
    <w:rsid w:val="00300AD6"/>
    <w:rsid w:val="00300B1B"/>
    <w:rsid w:val="003019D0"/>
    <w:rsid w:val="00304A70"/>
    <w:rsid w:val="00304E8D"/>
    <w:rsid w:val="00305C22"/>
    <w:rsid w:val="003064AF"/>
    <w:rsid w:val="0030683E"/>
    <w:rsid w:val="003071AE"/>
    <w:rsid w:val="00311C1C"/>
    <w:rsid w:val="003126A4"/>
    <w:rsid w:val="003130DF"/>
    <w:rsid w:val="00313EEC"/>
    <w:rsid w:val="00316E9B"/>
    <w:rsid w:val="00317398"/>
    <w:rsid w:val="00317C6C"/>
    <w:rsid w:val="00320CD3"/>
    <w:rsid w:val="00320DFF"/>
    <w:rsid w:val="00320F79"/>
    <w:rsid w:val="00321C66"/>
    <w:rsid w:val="00321EEB"/>
    <w:rsid w:val="0032246B"/>
    <w:rsid w:val="00322EC7"/>
    <w:rsid w:val="0032328D"/>
    <w:rsid w:val="00324F3B"/>
    <w:rsid w:val="00325182"/>
    <w:rsid w:val="003260C0"/>
    <w:rsid w:val="00326D32"/>
    <w:rsid w:val="00326E79"/>
    <w:rsid w:val="0032762C"/>
    <w:rsid w:val="003301B1"/>
    <w:rsid w:val="00331189"/>
    <w:rsid w:val="0033263D"/>
    <w:rsid w:val="00334EB9"/>
    <w:rsid w:val="0033518A"/>
    <w:rsid w:val="00335C7A"/>
    <w:rsid w:val="00335D4F"/>
    <w:rsid w:val="00336525"/>
    <w:rsid w:val="003367EF"/>
    <w:rsid w:val="00337192"/>
    <w:rsid w:val="00337CB2"/>
    <w:rsid w:val="0034028D"/>
    <w:rsid w:val="00340FFC"/>
    <w:rsid w:val="0034178D"/>
    <w:rsid w:val="003419F6"/>
    <w:rsid w:val="00341ACE"/>
    <w:rsid w:val="00341AE4"/>
    <w:rsid w:val="00343727"/>
    <w:rsid w:val="00345601"/>
    <w:rsid w:val="003476EE"/>
    <w:rsid w:val="0035101A"/>
    <w:rsid w:val="00351200"/>
    <w:rsid w:val="0035133A"/>
    <w:rsid w:val="003527D2"/>
    <w:rsid w:val="0035425A"/>
    <w:rsid w:val="0035477A"/>
    <w:rsid w:val="003573A8"/>
    <w:rsid w:val="0035749C"/>
    <w:rsid w:val="00360528"/>
    <w:rsid w:val="00360CF0"/>
    <w:rsid w:val="00362AF1"/>
    <w:rsid w:val="00363D85"/>
    <w:rsid w:val="00365FB5"/>
    <w:rsid w:val="00367223"/>
    <w:rsid w:val="00370021"/>
    <w:rsid w:val="00370395"/>
    <w:rsid w:val="00372DC7"/>
    <w:rsid w:val="00373385"/>
    <w:rsid w:val="0037348F"/>
    <w:rsid w:val="003736C9"/>
    <w:rsid w:val="00373EF5"/>
    <w:rsid w:val="00376769"/>
    <w:rsid w:val="00377EC2"/>
    <w:rsid w:val="00380157"/>
    <w:rsid w:val="003802F0"/>
    <w:rsid w:val="00380AC3"/>
    <w:rsid w:val="00381548"/>
    <w:rsid w:val="00383D61"/>
    <w:rsid w:val="00383FC9"/>
    <w:rsid w:val="00384988"/>
    <w:rsid w:val="0038524B"/>
    <w:rsid w:val="00385501"/>
    <w:rsid w:val="00386B04"/>
    <w:rsid w:val="00386D3F"/>
    <w:rsid w:val="003872CF"/>
    <w:rsid w:val="003902B5"/>
    <w:rsid w:val="00391025"/>
    <w:rsid w:val="00395097"/>
    <w:rsid w:val="0039782C"/>
    <w:rsid w:val="00397F17"/>
    <w:rsid w:val="003A0132"/>
    <w:rsid w:val="003A42FC"/>
    <w:rsid w:val="003A5A88"/>
    <w:rsid w:val="003A5B4A"/>
    <w:rsid w:val="003A6C95"/>
    <w:rsid w:val="003B07A7"/>
    <w:rsid w:val="003B0947"/>
    <w:rsid w:val="003B0DE3"/>
    <w:rsid w:val="003B2211"/>
    <w:rsid w:val="003B23C5"/>
    <w:rsid w:val="003B2A75"/>
    <w:rsid w:val="003B55DC"/>
    <w:rsid w:val="003B6124"/>
    <w:rsid w:val="003B63BC"/>
    <w:rsid w:val="003C093A"/>
    <w:rsid w:val="003C1ECF"/>
    <w:rsid w:val="003C2843"/>
    <w:rsid w:val="003C2FB5"/>
    <w:rsid w:val="003C37BA"/>
    <w:rsid w:val="003C50B8"/>
    <w:rsid w:val="003C5E73"/>
    <w:rsid w:val="003C67DC"/>
    <w:rsid w:val="003C6CC7"/>
    <w:rsid w:val="003C7C65"/>
    <w:rsid w:val="003D0149"/>
    <w:rsid w:val="003D0594"/>
    <w:rsid w:val="003D24C5"/>
    <w:rsid w:val="003D4AC4"/>
    <w:rsid w:val="003D63B7"/>
    <w:rsid w:val="003D6716"/>
    <w:rsid w:val="003D7450"/>
    <w:rsid w:val="003D785F"/>
    <w:rsid w:val="003E081B"/>
    <w:rsid w:val="003E0E32"/>
    <w:rsid w:val="003E0EA0"/>
    <w:rsid w:val="003E24D9"/>
    <w:rsid w:val="003E2FCF"/>
    <w:rsid w:val="003E395D"/>
    <w:rsid w:val="003E3B6D"/>
    <w:rsid w:val="003E468B"/>
    <w:rsid w:val="003E62BD"/>
    <w:rsid w:val="003F0C3A"/>
    <w:rsid w:val="003F0C78"/>
    <w:rsid w:val="003F0F10"/>
    <w:rsid w:val="003F26CF"/>
    <w:rsid w:val="003F3228"/>
    <w:rsid w:val="003F5C8C"/>
    <w:rsid w:val="003F5DF5"/>
    <w:rsid w:val="003F5FFA"/>
    <w:rsid w:val="003F775A"/>
    <w:rsid w:val="00400C41"/>
    <w:rsid w:val="00400E55"/>
    <w:rsid w:val="0040128E"/>
    <w:rsid w:val="0040216B"/>
    <w:rsid w:val="004043A2"/>
    <w:rsid w:val="00407290"/>
    <w:rsid w:val="00412A7D"/>
    <w:rsid w:val="004134C1"/>
    <w:rsid w:val="00413A55"/>
    <w:rsid w:val="0041446D"/>
    <w:rsid w:val="00415919"/>
    <w:rsid w:val="00415996"/>
    <w:rsid w:val="00415EA1"/>
    <w:rsid w:val="00416598"/>
    <w:rsid w:val="004165B9"/>
    <w:rsid w:val="00420209"/>
    <w:rsid w:val="004205A5"/>
    <w:rsid w:val="00420C3F"/>
    <w:rsid w:val="004235C1"/>
    <w:rsid w:val="00423821"/>
    <w:rsid w:val="004252EC"/>
    <w:rsid w:val="00425BC5"/>
    <w:rsid w:val="00427757"/>
    <w:rsid w:val="0042791D"/>
    <w:rsid w:val="0043004C"/>
    <w:rsid w:val="004305AD"/>
    <w:rsid w:val="00430D39"/>
    <w:rsid w:val="00431234"/>
    <w:rsid w:val="00432C3A"/>
    <w:rsid w:val="004334C1"/>
    <w:rsid w:val="00434DCF"/>
    <w:rsid w:val="00436A01"/>
    <w:rsid w:val="0043792E"/>
    <w:rsid w:val="00440FC1"/>
    <w:rsid w:val="00442BC6"/>
    <w:rsid w:val="00443432"/>
    <w:rsid w:val="00443F90"/>
    <w:rsid w:val="00445DA0"/>
    <w:rsid w:val="004465BD"/>
    <w:rsid w:val="0044660F"/>
    <w:rsid w:val="00446B9A"/>
    <w:rsid w:val="004502B2"/>
    <w:rsid w:val="00451143"/>
    <w:rsid w:val="00452433"/>
    <w:rsid w:val="00453D6E"/>
    <w:rsid w:val="0045648D"/>
    <w:rsid w:val="00461A44"/>
    <w:rsid w:val="00462C46"/>
    <w:rsid w:val="0046346F"/>
    <w:rsid w:val="00463540"/>
    <w:rsid w:val="004657C8"/>
    <w:rsid w:val="00466ADA"/>
    <w:rsid w:val="00467A6D"/>
    <w:rsid w:val="00467F4B"/>
    <w:rsid w:val="00467FE9"/>
    <w:rsid w:val="004702BB"/>
    <w:rsid w:val="004727AD"/>
    <w:rsid w:val="00472B5F"/>
    <w:rsid w:val="0047494B"/>
    <w:rsid w:val="00474AA0"/>
    <w:rsid w:val="0047590C"/>
    <w:rsid w:val="00476245"/>
    <w:rsid w:val="004778ED"/>
    <w:rsid w:val="00477A9B"/>
    <w:rsid w:val="00480B51"/>
    <w:rsid w:val="004813F4"/>
    <w:rsid w:val="00483035"/>
    <w:rsid w:val="00484A46"/>
    <w:rsid w:val="00484CC7"/>
    <w:rsid w:val="00485899"/>
    <w:rsid w:val="00485940"/>
    <w:rsid w:val="0048642B"/>
    <w:rsid w:val="00486B2A"/>
    <w:rsid w:val="004904B9"/>
    <w:rsid w:val="00490C46"/>
    <w:rsid w:val="00490FAC"/>
    <w:rsid w:val="004917FC"/>
    <w:rsid w:val="004921EA"/>
    <w:rsid w:val="00494225"/>
    <w:rsid w:val="0049601D"/>
    <w:rsid w:val="004972FC"/>
    <w:rsid w:val="00497D33"/>
    <w:rsid w:val="004A2003"/>
    <w:rsid w:val="004A2484"/>
    <w:rsid w:val="004A2B9E"/>
    <w:rsid w:val="004A4642"/>
    <w:rsid w:val="004A4D55"/>
    <w:rsid w:val="004A4DE1"/>
    <w:rsid w:val="004A4EB5"/>
    <w:rsid w:val="004A5A85"/>
    <w:rsid w:val="004A6A43"/>
    <w:rsid w:val="004A71D1"/>
    <w:rsid w:val="004A78E4"/>
    <w:rsid w:val="004A7C5B"/>
    <w:rsid w:val="004A7E01"/>
    <w:rsid w:val="004B02ED"/>
    <w:rsid w:val="004B0A1B"/>
    <w:rsid w:val="004B2E98"/>
    <w:rsid w:val="004B3499"/>
    <w:rsid w:val="004B3AF8"/>
    <w:rsid w:val="004B4CED"/>
    <w:rsid w:val="004B4D91"/>
    <w:rsid w:val="004B4F10"/>
    <w:rsid w:val="004B5472"/>
    <w:rsid w:val="004B5640"/>
    <w:rsid w:val="004B72C8"/>
    <w:rsid w:val="004C0F6D"/>
    <w:rsid w:val="004C1808"/>
    <w:rsid w:val="004C1BD7"/>
    <w:rsid w:val="004C245A"/>
    <w:rsid w:val="004C31FE"/>
    <w:rsid w:val="004C524C"/>
    <w:rsid w:val="004C624F"/>
    <w:rsid w:val="004C691D"/>
    <w:rsid w:val="004C6C07"/>
    <w:rsid w:val="004C7BDB"/>
    <w:rsid w:val="004D0D0D"/>
    <w:rsid w:val="004D15C2"/>
    <w:rsid w:val="004D4FF6"/>
    <w:rsid w:val="004E1266"/>
    <w:rsid w:val="004E19EB"/>
    <w:rsid w:val="004E2087"/>
    <w:rsid w:val="004E3B10"/>
    <w:rsid w:val="004E3D14"/>
    <w:rsid w:val="004E692D"/>
    <w:rsid w:val="004E7AA9"/>
    <w:rsid w:val="004E7D87"/>
    <w:rsid w:val="004F0026"/>
    <w:rsid w:val="004F2553"/>
    <w:rsid w:val="004F50E5"/>
    <w:rsid w:val="004F6675"/>
    <w:rsid w:val="00501554"/>
    <w:rsid w:val="0050217C"/>
    <w:rsid w:val="00502433"/>
    <w:rsid w:val="00502AFE"/>
    <w:rsid w:val="00503AD7"/>
    <w:rsid w:val="00504E0C"/>
    <w:rsid w:val="005056DC"/>
    <w:rsid w:val="00506A06"/>
    <w:rsid w:val="00506B59"/>
    <w:rsid w:val="005109D4"/>
    <w:rsid w:val="00510B99"/>
    <w:rsid w:val="00511693"/>
    <w:rsid w:val="00512C0C"/>
    <w:rsid w:val="005133BA"/>
    <w:rsid w:val="00513F5C"/>
    <w:rsid w:val="00514CD7"/>
    <w:rsid w:val="00514FEA"/>
    <w:rsid w:val="00516C09"/>
    <w:rsid w:val="00520D6A"/>
    <w:rsid w:val="0052207F"/>
    <w:rsid w:val="00522C75"/>
    <w:rsid w:val="00522DB6"/>
    <w:rsid w:val="00523D56"/>
    <w:rsid w:val="0052435E"/>
    <w:rsid w:val="00524C18"/>
    <w:rsid w:val="00526177"/>
    <w:rsid w:val="005263AC"/>
    <w:rsid w:val="005265F8"/>
    <w:rsid w:val="0052792D"/>
    <w:rsid w:val="005319B2"/>
    <w:rsid w:val="00532205"/>
    <w:rsid w:val="00532402"/>
    <w:rsid w:val="00532C74"/>
    <w:rsid w:val="005349E4"/>
    <w:rsid w:val="00534E2E"/>
    <w:rsid w:val="00536989"/>
    <w:rsid w:val="00537700"/>
    <w:rsid w:val="00540894"/>
    <w:rsid w:val="00540C61"/>
    <w:rsid w:val="005418D0"/>
    <w:rsid w:val="00542500"/>
    <w:rsid w:val="00542859"/>
    <w:rsid w:val="0054307B"/>
    <w:rsid w:val="00544552"/>
    <w:rsid w:val="005453BA"/>
    <w:rsid w:val="005472CB"/>
    <w:rsid w:val="00550D0F"/>
    <w:rsid w:val="00551C32"/>
    <w:rsid w:val="0055286A"/>
    <w:rsid w:val="00555745"/>
    <w:rsid w:val="00557D4F"/>
    <w:rsid w:val="0056148F"/>
    <w:rsid w:val="00563DB8"/>
    <w:rsid w:val="00564621"/>
    <w:rsid w:val="0056484E"/>
    <w:rsid w:val="00567CCA"/>
    <w:rsid w:val="00572FCD"/>
    <w:rsid w:val="005739F3"/>
    <w:rsid w:val="00574246"/>
    <w:rsid w:val="005749FD"/>
    <w:rsid w:val="005764CD"/>
    <w:rsid w:val="005778DF"/>
    <w:rsid w:val="00577C4D"/>
    <w:rsid w:val="00577F30"/>
    <w:rsid w:val="00580532"/>
    <w:rsid w:val="00581932"/>
    <w:rsid w:val="005842EA"/>
    <w:rsid w:val="00584956"/>
    <w:rsid w:val="00587439"/>
    <w:rsid w:val="005874F9"/>
    <w:rsid w:val="00591E31"/>
    <w:rsid w:val="00592BBC"/>
    <w:rsid w:val="00594D92"/>
    <w:rsid w:val="005963BB"/>
    <w:rsid w:val="005973C1"/>
    <w:rsid w:val="005A033B"/>
    <w:rsid w:val="005A28A1"/>
    <w:rsid w:val="005A29A1"/>
    <w:rsid w:val="005A2B3F"/>
    <w:rsid w:val="005A2D28"/>
    <w:rsid w:val="005A3173"/>
    <w:rsid w:val="005A3223"/>
    <w:rsid w:val="005A3308"/>
    <w:rsid w:val="005A3DA3"/>
    <w:rsid w:val="005A4454"/>
    <w:rsid w:val="005A52C4"/>
    <w:rsid w:val="005A53B7"/>
    <w:rsid w:val="005B1224"/>
    <w:rsid w:val="005B272D"/>
    <w:rsid w:val="005B5F1F"/>
    <w:rsid w:val="005B7287"/>
    <w:rsid w:val="005C0712"/>
    <w:rsid w:val="005C0870"/>
    <w:rsid w:val="005C1A74"/>
    <w:rsid w:val="005C3FEF"/>
    <w:rsid w:val="005C5CE2"/>
    <w:rsid w:val="005C6D5B"/>
    <w:rsid w:val="005C75BC"/>
    <w:rsid w:val="005D00A1"/>
    <w:rsid w:val="005D0337"/>
    <w:rsid w:val="005D03A3"/>
    <w:rsid w:val="005D03AB"/>
    <w:rsid w:val="005D0574"/>
    <w:rsid w:val="005D26F0"/>
    <w:rsid w:val="005D398C"/>
    <w:rsid w:val="005D3D51"/>
    <w:rsid w:val="005D4AF0"/>
    <w:rsid w:val="005D5017"/>
    <w:rsid w:val="005D56DC"/>
    <w:rsid w:val="005D5AAB"/>
    <w:rsid w:val="005D63FA"/>
    <w:rsid w:val="005D64C3"/>
    <w:rsid w:val="005D7B3B"/>
    <w:rsid w:val="005E1333"/>
    <w:rsid w:val="005E20BB"/>
    <w:rsid w:val="005E22C3"/>
    <w:rsid w:val="005E3136"/>
    <w:rsid w:val="005E507D"/>
    <w:rsid w:val="005E6178"/>
    <w:rsid w:val="005E61ED"/>
    <w:rsid w:val="005E72BE"/>
    <w:rsid w:val="005F0A8B"/>
    <w:rsid w:val="005F0AFF"/>
    <w:rsid w:val="005F1C93"/>
    <w:rsid w:val="005F4343"/>
    <w:rsid w:val="005F4466"/>
    <w:rsid w:val="005F4480"/>
    <w:rsid w:val="005F583D"/>
    <w:rsid w:val="005F742F"/>
    <w:rsid w:val="00600228"/>
    <w:rsid w:val="00601A91"/>
    <w:rsid w:val="00601CF1"/>
    <w:rsid w:val="006027A9"/>
    <w:rsid w:val="00602BA3"/>
    <w:rsid w:val="00605B63"/>
    <w:rsid w:val="00606EED"/>
    <w:rsid w:val="00610F5D"/>
    <w:rsid w:val="00612E34"/>
    <w:rsid w:val="006136DA"/>
    <w:rsid w:val="00614159"/>
    <w:rsid w:val="0061498A"/>
    <w:rsid w:val="00616C5F"/>
    <w:rsid w:val="00616DAC"/>
    <w:rsid w:val="00616E2A"/>
    <w:rsid w:val="00617AF9"/>
    <w:rsid w:val="00617C00"/>
    <w:rsid w:val="00617FC6"/>
    <w:rsid w:val="00624ACE"/>
    <w:rsid w:val="00624C4F"/>
    <w:rsid w:val="0062545D"/>
    <w:rsid w:val="006263BF"/>
    <w:rsid w:val="006264ED"/>
    <w:rsid w:val="006266CA"/>
    <w:rsid w:val="00626C64"/>
    <w:rsid w:val="0062748A"/>
    <w:rsid w:val="00627DFE"/>
    <w:rsid w:val="00630736"/>
    <w:rsid w:val="00630A2C"/>
    <w:rsid w:val="006328CA"/>
    <w:rsid w:val="006341D8"/>
    <w:rsid w:val="0063682E"/>
    <w:rsid w:val="00637B40"/>
    <w:rsid w:val="00637C74"/>
    <w:rsid w:val="00641FE4"/>
    <w:rsid w:val="00642DA8"/>
    <w:rsid w:val="00643078"/>
    <w:rsid w:val="006436CD"/>
    <w:rsid w:val="00643975"/>
    <w:rsid w:val="00644CA2"/>
    <w:rsid w:val="00645626"/>
    <w:rsid w:val="00645692"/>
    <w:rsid w:val="006457EB"/>
    <w:rsid w:val="00646DC4"/>
    <w:rsid w:val="006476E9"/>
    <w:rsid w:val="00647F5F"/>
    <w:rsid w:val="00651169"/>
    <w:rsid w:val="00653D69"/>
    <w:rsid w:val="00654474"/>
    <w:rsid w:val="006552E6"/>
    <w:rsid w:val="006556E6"/>
    <w:rsid w:val="00657C63"/>
    <w:rsid w:val="00660A13"/>
    <w:rsid w:val="00660B8E"/>
    <w:rsid w:val="00664528"/>
    <w:rsid w:val="006653DB"/>
    <w:rsid w:val="00666E4D"/>
    <w:rsid w:val="006670BE"/>
    <w:rsid w:val="00670159"/>
    <w:rsid w:val="006701EB"/>
    <w:rsid w:val="00670A76"/>
    <w:rsid w:val="006711AA"/>
    <w:rsid w:val="006714F8"/>
    <w:rsid w:val="006717AE"/>
    <w:rsid w:val="00672572"/>
    <w:rsid w:val="00672B57"/>
    <w:rsid w:val="0067310D"/>
    <w:rsid w:val="00673D7C"/>
    <w:rsid w:val="00675622"/>
    <w:rsid w:val="00675F17"/>
    <w:rsid w:val="0067747D"/>
    <w:rsid w:val="0068165B"/>
    <w:rsid w:val="00681CA4"/>
    <w:rsid w:val="00681E34"/>
    <w:rsid w:val="00682A19"/>
    <w:rsid w:val="00682D4C"/>
    <w:rsid w:val="00685917"/>
    <w:rsid w:val="00686D90"/>
    <w:rsid w:val="0069039D"/>
    <w:rsid w:val="006906DB"/>
    <w:rsid w:val="00690788"/>
    <w:rsid w:val="00690825"/>
    <w:rsid w:val="00691382"/>
    <w:rsid w:val="00691E6C"/>
    <w:rsid w:val="006920E1"/>
    <w:rsid w:val="00693298"/>
    <w:rsid w:val="00693D8A"/>
    <w:rsid w:val="00693DFB"/>
    <w:rsid w:val="00694D90"/>
    <w:rsid w:val="0069501D"/>
    <w:rsid w:val="00695704"/>
    <w:rsid w:val="00696129"/>
    <w:rsid w:val="00697CF2"/>
    <w:rsid w:val="006A12A5"/>
    <w:rsid w:val="006A5E20"/>
    <w:rsid w:val="006A7B03"/>
    <w:rsid w:val="006A7F65"/>
    <w:rsid w:val="006B059A"/>
    <w:rsid w:val="006B05C1"/>
    <w:rsid w:val="006B0D94"/>
    <w:rsid w:val="006B1387"/>
    <w:rsid w:val="006B37B6"/>
    <w:rsid w:val="006B485D"/>
    <w:rsid w:val="006B5D05"/>
    <w:rsid w:val="006B7701"/>
    <w:rsid w:val="006C257F"/>
    <w:rsid w:val="006C26BC"/>
    <w:rsid w:val="006C334C"/>
    <w:rsid w:val="006C3AC7"/>
    <w:rsid w:val="006C4056"/>
    <w:rsid w:val="006C5023"/>
    <w:rsid w:val="006C708E"/>
    <w:rsid w:val="006D079C"/>
    <w:rsid w:val="006D14E7"/>
    <w:rsid w:val="006D4444"/>
    <w:rsid w:val="006D625A"/>
    <w:rsid w:val="006D643A"/>
    <w:rsid w:val="006D6493"/>
    <w:rsid w:val="006D6E4C"/>
    <w:rsid w:val="006D6EC7"/>
    <w:rsid w:val="006D6F74"/>
    <w:rsid w:val="006D7489"/>
    <w:rsid w:val="006D7C68"/>
    <w:rsid w:val="006E05BB"/>
    <w:rsid w:val="006E1BCD"/>
    <w:rsid w:val="006E2042"/>
    <w:rsid w:val="006E29B3"/>
    <w:rsid w:val="006E2D6B"/>
    <w:rsid w:val="006E2FDC"/>
    <w:rsid w:val="006E4FE7"/>
    <w:rsid w:val="006E5B40"/>
    <w:rsid w:val="006E76EE"/>
    <w:rsid w:val="006F0292"/>
    <w:rsid w:val="006F1010"/>
    <w:rsid w:val="006F143D"/>
    <w:rsid w:val="006F1C89"/>
    <w:rsid w:val="006F4437"/>
    <w:rsid w:val="006F5125"/>
    <w:rsid w:val="006F6D87"/>
    <w:rsid w:val="006F733D"/>
    <w:rsid w:val="006F7EE4"/>
    <w:rsid w:val="00700619"/>
    <w:rsid w:val="00700E69"/>
    <w:rsid w:val="00700FF2"/>
    <w:rsid w:val="00702B6F"/>
    <w:rsid w:val="0070333F"/>
    <w:rsid w:val="00703F6C"/>
    <w:rsid w:val="007048CB"/>
    <w:rsid w:val="007069C2"/>
    <w:rsid w:val="00706A2F"/>
    <w:rsid w:val="0070718E"/>
    <w:rsid w:val="00711F3C"/>
    <w:rsid w:val="0071340B"/>
    <w:rsid w:val="00713BBC"/>
    <w:rsid w:val="00714741"/>
    <w:rsid w:val="00714ABC"/>
    <w:rsid w:val="00714D87"/>
    <w:rsid w:val="00716514"/>
    <w:rsid w:val="007174BB"/>
    <w:rsid w:val="0071767C"/>
    <w:rsid w:val="007201AB"/>
    <w:rsid w:val="0072025D"/>
    <w:rsid w:val="00720EC2"/>
    <w:rsid w:val="00721693"/>
    <w:rsid w:val="00721DD9"/>
    <w:rsid w:val="00722F80"/>
    <w:rsid w:val="0072388D"/>
    <w:rsid w:val="007245C7"/>
    <w:rsid w:val="00725AF5"/>
    <w:rsid w:val="007272C4"/>
    <w:rsid w:val="0072758E"/>
    <w:rsid w:val="00727705"/>
    <w:rsid w:val="0073137C"/>
    <w:rsid w:val="00732265"/>
    <w:rsid w:val="00734027"/>
    <w:rsid w:val="007353D3"/>
    <w:rsid w:val="00735549"/>
    <w:rsid w:val="00736374"/>
    <w:rsid w:val="007367C4"/>
    <w:rsid w:val="007376D7"/>
    <w:rsid w:val="00740A79"/>
    <w:rsid w:val="00741432"/>
    <w:rsid w:val="0074156B"/>
    <w:rsid w:val="00742BD0"/>
    <w:rsid w:val="00742D1F"/>
    <w:rsid w:val="00745C5E"/>
    <w:rsid w:val="00746AD4"/>
    <w:rsid w:val="007470C7"/>
    <w:rsid w:val="00750075"/>
    <w:rsid w:val="00751FC0"/>
    <w:rsid w:val="0075380A"/>
    <w:rsid w:val="007539CB"/>
    <w:rsid w:val="007555E8"/>
    <w:rsid w:val="00756E11"/>
    <w:rsid w:val="00757466"/>
    <w:rsid w:val="007574DA"/>
    <w:rsid w:val="00757F15"/>
    <w:rsid w:val="0076063C"/>
    <w:rsid w:val="0076309E"/>
    <w:rsid w:val="00763498"/>
    <w:rsid w:val="0076405F"/>
    <w:rsid w:val="0076420C"/>
    <w:rsid w:val="00765351"/>
    <w:rsid w:val="00765362"/>
    <w:rsid w:val="00765A7C"/>
    <w:rsid w:val="00766BA0"/>
    <w:rsid w:val="00771D07"/>
    <w:rsid w:val="007731C2"/>
    <w:rsid w:val="0077406B"/>
    <w:rsid w:val="00774B5A"/>
    <w:rsid w:val="00774E2C"/>
    <w:rsid w:val="007753C2"/>
    <w:rsid w:val="00777E9F"/>
    <w:rsid w:val="00780278"/>
    <w:rsid w:val="00782237"/>
    <w:rsid w:val="00782BC0"/>
    <w:rsid w:val="007838B8"/>
    <w:rsid w:val="007853F8"/>
    <w:rsid w:val="007866CD"/>
    <w:rsid w:val="00786DA3"/>
    <w:rsid w:val="0078784F"/>
    <w:rsid w:val="00790462"/>
    <w:rsid w:val="00790E7C"/>
    <w:rsid w:val="007915BA"/>
    <w:rsid w:val="00793432"/>
    <w:rsid w:val="0079360B"/>
    <w:rsid w:val="0079588C"/>
    <w:rsid w:val="007968F6"/>
    <w:rsid w:val="007977EC"/>
    <w:rsid w:val="007A0426"/>
    <w:rsid w:val="007A0699"/>
    <w:rsid w:val="007A08FF"/>
    <w:rsid w:val="007A2AF6"/>
    <w:rsid w:val="007A3093"/>
    <w:rsid w:val="007A3C78"/>
    <w:rsid w:val="007A3D76"/>
    <w:rsid w:val="007A5D7B"/>
    <w:rsid w:val="007A67BE"/>
    <w:rsid w:val="007A6B55"/>
    <w:rsid w:val="007B04BD"/>
    <w:rsid w:val="007B07CE"/>
    <w:rsid w:val="007B0F4E"/>
    <w:rsid w:val="007B21A4"/>
    <w:rsid w:val="007B2D48"/>
    <w:rsid w:val="007B3DDC"/>
    <w:rsid w:val="007B5723"/>
    <w:rsid w:val="007B5F71"/>
    <w:rsid w:val="007B7159"/>
    <w:rsid w:val="007B72A6"/>
    <w:rsid w:val="007C0B30"/>
    <w:rsid w:val="007C0F57"/>
    <w:rsid w:val="007C1DA6"/>
    <w:rsid w:val="007C2443"/>
    <w:rsid w:val="007C2F68"/>
    <w:rsid w:val="007C40B6"/>
    <w:rsid w:val="007C6C77"/>
    <w:rsid w:val="007C729F"/>
    <w:rsid w:val="007D12C2"/>
    <w:rsid w:val="007D3799"/>
    <w:rsid w:val="007D4949"/>
    <w:rsid w:val="007D6591"/>
    <w:rsid w:val="007E1D28"/>
    <w:rsid w:val="007E5DC1"/>
    <w:rsid w:val="007E6910"/>
    <w:rsid w:val="007E7F9B"/>
    <w:rsid w:val="007F0021"/>
    <w:rsid w:val="007F2641"/>
    <w:rsid w:val="007F5D6F"/>
    <w:rsid w:val="007F5DEB"/>
    <w:rsid w:val="007F6945"/>
    <w:rsid w:val="007F7198"/>
    <w:rsid w:val="007F7C36"/>
    <w:rsid w:val="007F7D5F"/>
    <w:rsid w:val="00801392"/>
    <w:rsid w:val="00802E5F"/>
    <w:rsid w:val="008037DA"/>
    <w:rsid w:val="00805407"/>
    <w:rsid w:val="00806796"/>
    <w:rsid w:val="00807437"/>
    <w:rsid w:val="00807521"/>
    <w:rsid w:val="00811042"/>
    <w:rsid w:val="008115E5"/>
    <w:rsid w:val="00811CC0"/>
    <w:rsid w:val="00812829"/>
    <w:rsid w:val="00812BB8"/>
    <w:rsid w:val="00813387"/>
    <w:rsid w:val="008151D6"/>
    <w:rsid w:val="00815670"/>
    <w:rsid w:val="00816B49"/>
    <w:rsid w:val="00820F0F"/>
    <w:rsid w:val="00821527"/>
    <w:rsid w:val="0082297B"/>
    <w:rsid w:val="00822EE6"/>
    <w:rsid w:val="0082335E"/>
    <w:rsid w:val="00826110"/>
    <w:rsid w:val="008268BB"/>
    <w:rsid w:val="00826F6D"/>
    <w:rsid w:val="00827944"/>
    <w:rsid w:val="008306F3"/>
    <w:rsid w:val="00830E40"/>
    <w:rsid w:val="00830E63"/>
    <w:rsid w:val="00833C5C"/>
    <w:rsid w:val="00833F8D"/>
    <w:rsid w:val="0084248F"/>
    <w:rsid w:val="00846177"/>
    <w:rsid w:val="008464F4"/>
    <w:rsid w:val="008503B9"/>
    <w:rsid w:val="008503F9"/>
    <w:rsid w:val="00850C93"/>
    <w:rsid w:val="00851191"/>
    <w:rsid w:val="0085279C"/>
    <w:rsid w:val="00852FD2"/>
    <w:rsid w:val="00853054"/>
    <w:rsid w:val="00853BB6"/>
    <w:rsid w:val="00855FD6"/>
    <w:rsid w:val="008560C2"/>
    <w:rsid w:val="00856174"/>
    <w:rsid w:val="00856DDD"/>
    <w:rsid w:val="00856F2D"/>
    <w:rsid w:val="008605E5"/>
    <w:rsid w:val="008610E3"/>
    <w:rsid w:val="008617FC"/>
    <w:rsid w:val="00863512"/>
    <w:rsid w:val="00863AB5"/>
    <w:rsid w:val="00863E68"/>
    <w:rsid w:val="008647B5"/>
    <w:rsid w:val="00866D9B"/>
    <w:rsid w:val="00873560"/>
    <w:rsid w:val="008738EB"/>
    <w:rsid w:val="00875874"/>
    <w:rsid w:val="00875DCB"/>
    <w:rsid w:val="00876EDC"/>
    <w:rsid w:val="00882085"/>
    <w:rsid w:val="0088299B"/>
    <w:rsid w:val="00883188"/>
    <w:rsid w:val="008834DD"/>
    <w:rsid w:val="00884731"/>
    <w:rsid w:val="008847F6"/>
    <w:rsid w:val="00884A86"/>
    <w:rsid w:val="00885F59"/>
    <w:rsid w:val="008906DE"/>
    <w:rsid w:val="00890A56"/>
    <w:rsid w:val="008915A3"/>
    <w:rsid w:val="00891BE8"/>
    <w:rsid w:val="00891EA1"/>
    <w:rsid w:val="0089366F"/>
    <w:rsid w:val="00893924"/>
    <w:rsid w:val="00893EB4"/>
    <w:rsid w:val="0089437F"/>
    <w:rsid w:val="00895C94"/>
    <w:rsid w:val="00895D67"/>
    <w:rsid w:val="00897D58"/>
    <w:rsid w:val="00897F22"/>
    <w:rsid w:val="008A0B39"/>
    <w:rsid w:val="008A1956"/>
    <w:rsid w:val="008A4937"/>
    <w:rsid w:val="008A4C4F"/>
    <w:rsid w:val="008A50F1"/>
    <w:rsid w:val="008A59D9"/>
    <w:rsid w:val="008A6819"/>
    <w:rsid w:val="008A6ED6"/>
    <w:rsid w:val="008A7410"/>
    <w:rsid w:val="008B06EA"/>
    <w:rsid w:val="008B2EC0"/>
    <w:rsid w:val="008B518C"/>
    <w:rsid w:val="008B5EA4"/>
    <w:rsid w:val="008B68DC"/>
    <w:rsid w:val="008B6E4B"/>
    <w:rsid w:val="008B79D6"/>
    <w:rsid w:val="008B7E5C"/>
    <w:rsid w:val="008C3718"/>
    <w:rsid w:val="008C70E6"/>
    <w:rsid w:val="008C7418"/>
    <w:rsid w:val="008D0B6C"/>
    <w:rsid w:val="008D170D"/>
    <w:rsid w:val="008D1B5C"/>
    <w:rsid w:val="008D3C82"/>
    <w:rsid w:val="008D447E"/>
    <w:rsid w:val="008D5146"/>
    <w:rsid w:val="008D6C49"/>
    <w:rsid w:val="008D7160"/>
    <w:rsid w:val="008D7A41"/>
    <w:rsid w:val="008E0B3B"/>
    <w:rsid w:val="008E0F3F"/>
    <w:rsid w:val="008E1938"/>
    <w:rsid w:val="008E1FE5"/>
    <w:rsid w:val="008E20DB"/>
    <w:rsid w:val="008E2106"/>
    <w:rsid w:val="008E26A0"/>
    <w:rsid w:val="008E28E6"/>
    <w:rsid w:val="008E2C72"/>
    <w:rsid w:val="008E3680"/>
    <w:rsid w:val="008E464B"/>
    <w:rsid w:val="008E51DB"/>
    <w:rsid w:val="008E5870"/>
    <w:rsid w:val="008E653E"/>
    <w:rsid w:val="008E6979"/>
    <w:rsid w:val="008E7633"/>
    <w:rsid w:val="008F04AA"/>
    <w:rsid w:val="008F1434"/>
    <w:rsid w:val="008F1A99"/>
    <w:rsid w:val="008F4F3E"/>
    <w:rsid w:val="008F54C3"/>
    <w:rsid w:val="008F55AA"/>
    <w:rsid w:val="008F5EAE"/>
    <w:rsid w:val="008F6AB1"/>
    <w:rsid w:val="008F7355"/>
    <w:rsid w:val="008F77CB"/>
    <w:rsid w:val="008F7D4F"/>
    <w:rsid w:val="00901192"/>
    <w:rsid w:val="0090131D"/>
    <w:rsid w:val="009023DC"/>
    <w:rsid w:val="00902D95"/>
    <w:rsid w:val="009032B6"/>
    <w:rsid w:val="009049A3"/>
    <w:rsid w:val="00904F22"/>
    <w:rsid w:val="009067B7"/>
    <w:rsid w:val="0091058C"/>
    <w:rsid w:val="00910CC3"/>
    <w:rsid w:val="00911180"/>
    <w:rsid w:val="00911FAA"/>
    <w:rsid w:val="0091231A"/>
    <w:rsid w:val="009124E1"/>
    <w:rsid w:val="00913C16"/>
    <w:rsid w:val="009158C9"/>
    <w:rsid w:val="00915FF6"/>
    <w:rsid w:val="00926560"/>
    <w:rsid w:val="00926601"/>
    <w:rsid w:val="00930937"/>
    <w:rsid w:val="009324A6"/>
    <w:rsid w:val="00932783"/>
    <w:rsid w:val="00933D3C"/>
    <w:rsid w:val="00933E6C"/>
    <w:rsid w:val="009363A3"/>
    <w:rsid w:val="00937950"/>
    <w:rsid w:val="00937958"/>
    <w:rsid w:val="0094012F"/>
    <w:rsid w:val="009411EF"/>
    <w:rsid w:val="00941602"/>
    <w:rsid w:val="00942160"/>
    <w:rsid w:val="00942CA6"/>
    <w:rsid w:val="00944F1E"/>
    <w:rsid w:val="00946913"/>
    <w:rsid w:val="00946E9D"/>
    <w:rsid w:val="009509A5"/>
    <w:rsid w:val="0095146F"/>
    <w:rsid w:val="00951565"/>
    <w:rsid w:val="00952886"/>
    <w:rsid w:val="00953E2D"/>
    <w:rsid w:val="0095505F"/>
    <w:rsid w:val="00955427"/>
    <w:rsid w:val="00955D5E"/>
    <w:rsid w:val="009565CB"/>
    <w:rsid w:val="00957944"/>
    <w:rsid w:val="009602C5"/>
    <w:rsid w:val="00961804"/>
    <w:rsid w:val="00962223"/>
    <w:rsid w:val="0096403F"/>
    <w:rsid w:val="00964D91"/>
    <w:rsid w:val="009658D2"/>
    <w:rsid w:val="00965AB4"/>
    <w:rsid w:val="0096626F"/>
    <w:rsid w:val="00966D0D"/>
    <w:rsid w:val="0096783C"/>
    <w:rsid w:val="00967CDE"/>
    <w:rsid w:val="00967EF2"/>
    <w:rsid w:val="00970866"/>
    <w:rsid w:val="009713CC"/>
    <w:rsid w:val="009722B3"/>
    <w:rsid w:val="00972D2B"/>
    <w:rsid w:val="00974C21"/>
    <w:rsid w:val="00974EE9"/>
    <w:rsid w:val="00976274"/>
    <w:rsid w:val="00977BF3"/>
    <w:rsid w:val="009803E4"/>
    <w:rsid w:val="00980B0E"/>
    <w:rsid w:val="00981802"/>
    <w:rsid w:val="009830DD"/>
    <w:rsid w:val="009836A3"/>
    <w:rsid w:val="009850F6"/>
    <w:rsid w:val="009855A8"/>
    <w:rsid w:val="00990CBD"/>
    <w:rsid w:val="009913F4"/>
    <w:rsid w:val="00991C14"/>
    <w:rsid w:val="0099465B"/>
    <w:rsid w:val="009946A4"/>
    <w:rsid w:val="009958E5"/>
    <w:rsid w:val="00995CAC"/>
    <w:rsid w:val="0099634D"/>
    <w:rsid w:val="00997279"/>
    <w:rsid w:val="009A09C9"/>
    <w:rsid w:val="009A0CDD"/>
    <w:rsid w:val="009A1FF8"/>
    <w:rsid w:val="009A3168"/>
    <w:rsid w:val="009A4226"/>
    <w:rsid w:val="009A4DDC"/>
    <w:rsid w:val="009A52F2"/>
    <w:rsid w:val="009A5DB3"/>
    <w:rsid w:val="009A61CA"/>
    <w:rsid w:val="009A67B9"/>
    <w:rsid w:val="009A6C48"/>
    <w:rsid w:val="009A751E"/>
    <w:rsid w:val="009B003E"/>
    <w:rsid w:val="009B0C64"/>
    <w:rsid w:val="009B0F1F"/>
    <w:rsid w:val="009B0F67"/>
    <w:rsid w:val="009B2C41"/>
    <w:rsid w:val="009B4733"/>
    <w:rsid w:val="009B6434"/>
    <w:rsid w:val="009C4696"/>
    <w:rsid w:val="009C563E"/>
    <w:rsid w:val="009C703C"/>
    <w:rsid w:val="009D0B46"/>
    <w:rsid w:val="009D171F"/>
    <w:rsid w:val="009D206E"/>
    <w:rsid w:val="009D2F39"/>
    <w:rsid w:val="009D3284"/>
    <w:rsid w:val="009D3CAA"/>
    <w:rsid w:val="009D43E9"/>
    <w:rsid w:val="009D4616"/>
    <w:rsid w:val="009D4773"/>
    <w:rsid w:val="009D529E"/>
    <w:rsid w:val="009D52CA"/>
    <w:rsid w:val="009D6532"/>
    <w:rsid w:val="009D65BD"/>
    <w:rsid w:val="009E09E5"/>
    <w:rsid w:val="009E40E1"/>
    <w:rsid w:val="009E4522"/>
    <w:rsid w:val="009E51AA"/>
    <w:rsid w:val="009E59E8"/>
    <w:rsid w:val="009E6042"/>
    <w:rsid w:val="009E62D6"/>
    <w:rsid w:val="009E65AD"/>
    <w:rsid w:val="009E7FA3"/>
    <w:rsid w:val="009F0EFA"/>
    <w:rsid w:val="009F4D54"/>
    <w:rsid w:val="009F4E06"/>
    <w:rsid w:val="009F4E46"/>
    <w:rsid w:val="009F51FD"/>
    <w:rsid w:val="009F52A7"/>
    <w:rsid w:val="009F5B65"/>
    <w:rsid w:val="009F5F2E"/>
    <w:rsid w:val="00A00C63"/>
    <w:rsid w:val="00A011F1"/>
    <w:rsid w:val="00A0461F"/>
    <w:rsid w:val="00A05126"/>
    <w:rsid w:val="00A06225"/>
    <w:rsid w:val="00A06871"/>
    <w:rsid w:val="00A128E6"/>
    <w:rsid w:val="00A134F3"/>
    <w:rsid w:val="00A142A3"/>
    <w:rsid w:val="00A144B8"/>
    <w:rsid w:val="00A144D3"/>
    <w:rsid w:val="00A162CB"/>
    <w:rsid w:val="00A167B9"/>
    <w:rsid w:val="00A16F88"/>
    <w:rsid w:val="00A1737B"/>
    <w:rsid w:val="00A20E6D"/>
    <w:rsid w:val="00A21190"/>
    <w:rsid w:val="00A22AC3"/>
    <w:rsid w:val="00A23AC9"/>
    <w:rsid w:val="00A2491C"/>
    <w:rsid w:val="00A24AB3"/>
    <w:rsid w:val="00A268ED"/>
    <w:rsid w:val="00A2701B"/>
    <w:rsid w:val="00A2744D"/>
    <w:rsid w:val="00A2768D"/>
    <w:rsid w:val="00A27BFF"/>
    <w:rsid w:val="00A303E8"/>
    <w:rsid w:val="00A31042"/>
    <w:rsid w:val="00A31B13"/>
    <w:rsid w:val="00A34E6C"/>
    <w:rsid w:val="00A3567C"/>
    <w:rsid w:val="00A35721"/>
    <w:rsid w:val="00A35977"/>
    <w:rsid w:val="00A35BCD"/>
    <w:rsid w:val="00A3632D"/>
    <w:rsid w:val="00A36398"/>
    <w:rsid w:val="00A37131"/>
    <w:rsid w:val="00A3783B"/>
    <w:rsid w:val="00A37C8D"/>
    <w:rsid w:val="00A4020E"/>
    <w:rsid w:val="00A40FB5"/>
    <w:rsid w:val="00A41831"/>
    <w:rsid w:val="00A42826"/>
    <w:rsid w:val="00A432F4"/>
    <w:rsid w:val="00A436AA"/>
    <w:rsid w:val="00A43795"/>
    <w:rsid w:val="00A447F9"/>
    <w:rsid w:val="00A46047"/>
    <w:rsid w:val="00A4755B"/>
    <w:rsid w:val="00A501EE"/>
    <w:rsid w:val="00A51B9F"/>
    <w:rsid w:val="00A5273B"/>
    <w:rsid w:val="00A53519"/>
    <w:rsid w:val="00A53A9D"/>
    <w:rsid w:val="00A55FEE"/>
    <w:rsid w:val="00A568A3"/>
    <w:rsid w:val="00A574EF"/>
    <w:rsid w:val="00A62C1A"/>
    <w:rsid w:val="00A63ABE"/>
    <w:rsid w:val="00A6426D"/>
    <w:rsid w:val="00A65382"/>
    <w:rsid w:val="00A6592E"/>
    <w:rsid w:val="00A65A84"/>
    <w:rsid w:val="00A665C1"/>
    <w:rsid w:val="00A67EDF"/>
    <w:rsid w:val="00A70622"/>
    <w:rsid w:val="00A70977"/>
    <w:rsid w:val="00A709D6"/>
    <w:rsid w:val="00A70D58"/>
    <w:rsid w:val="00A72121"/>
    <w:rsid w:val="00A7237A"/>
    <w:rsid w:val="00A74086"/>
    <w:rsid w:val="00A744F9"/>
    <w:rsid w:val="00A761EC"/>
    <w:rsid w:val="00A77613"/>
    <w:rsid w:val="00A80C17"/>
    <w:rsid w:val="00A81900"/>
    <w:rsid w:val="00A8390C"/>
    <w:rsid w:val="00A852CE"/>
    <w:rsid w:val="00A878B6"/>
    <w:rsid w:val="00A90608"/>
    <w:rsid w:val="00A92545"/>
    <w:rsid w:val="00A92703"/>
    <w:rsid w:val="00A928BD"/>
    <w:rsid w:val="00A9339A"/>
    <w:rsid w:val="00A952A1"/>
    <w:rsid w:val="00A9594A"/>
    <w:rsid w:val="00A9692F"/>
    <w:rsid w:val="00A96E76"/>
    <w:rsid w:val="00A97DE9"/>
    <w:rsid w:val="00AA12CD"/>
    <w:rsid w:val="00AA295F"/>
    <w:rsid w:val="00AA4D1C"/>
    <w:rsid w:val="00AB0C3C"/>
    <w:rsid w:val="00AB0F78"/>
    <w:rsid w:val="00AB1677"/>
    <w:rsid w:val="00AB1F4A"/>
    <w:rsid w:val="00AB3271"/>
    <w:rsid w:val="00AB3C1F"/>
    <w:rsid w:val="00AB4F0F"/>
    <w:rsid w:val="00AB5856"/>
    <w:rsid w:val="00AC193C"/>
    <w:rsid w:val="00AC1B85"/>
    <w:rsid w:val="00AC22C7"/>
    <w:rsid w:val="00AC3EF8"/>
    <w:rsid w:val="00AC4DE5"/>
    <w:rsid w:val="00AC5206"/>
    <w:rsid w:val="00AC718E"/>
    <w:rsid w:val="00AC746F"/>
    <w:rsid w:val="00AC75C6"/>
    <w:rsid w:val="00AD0329"/>
    <w:rsid w:val="00AD133D"/>
    <w:rsid w:val="00AD19F4"/>
    <w:rsid w:val="00AD1EF2"/>
    <w:rsid w:val="00AD4322"/>
    <w:rsid w:val="00AD610B"/>
    <w:rsid w:val="00AD638A"/>
    <w:rsid w:val="00AD66AD"/>
    <w:rsid w:val="00AD674B"/>
    <w:rsid w:val="00AD6E91"/>
    <w:rsid w:val="00AD745B"/>
    <w:rsid w:val="00AE0131"/>
    <w:rsid w:val="00AE0A18"/>
    <w:rsid w:val="00AE11A5"/>
    <w:rsid w:val="00AE13E2"/>
    <w:rsid w:val="00AE21C2"/>
    <w:rsid w:val="00AE22D3"/>
    <w:rsid w:val="00AE5A49"/>
    <w:rsid w:val="00AE5BAC"/>
    <w:rsid w:val="00AE781A"/>
    <w:rsid w:val="00AF06F5"/>
    <w:rsid w:val="00AF185E"/>
    <w:rsid w:val="00AF1E66"/>
    <w:rsid w:val="00AF3D36"/>
    <w:rsid w:val="00AF4246"/>
    <w:rsid w:val="00AF62DF"/>
    <w:rsid w:val="00AF6573"/>
    <w:rsid w:val="00AF68CC"/>
    <w:rsid w:val="00AF70D7"/>
    <w:rsid w:val="00AF7BEA"/>
    <w:rsid w:val="00B00729"/>
    <w:rsid w:val="00B04F47"/>
    <w:rsid w:val="00B0549B"/>
    <w:rsid w:val="00B05C40"/>
    <w:rsid w:val="00B07404"/>
    <w:rsid w:val="00B07CFB"/>
    <w:rsid w:val="00B07EAC"/>
    <w:rsid w:val="00B1059E"/>
    <w:rsid w:val="00B11B50"/>
    <w:rsid w:val="00B13973"/>
    <w:rsid w:val="00B14140"/>
    <w:rsid w:val="00B170A5"/>
    <w:rsid w:val="00B176C8"/>
    <w:rsid w:val="00B2041D"/>
    <w:rsid w:val="00B205AA"/>
    <w:rsid w:val="00B22E84"/>
    <w:rsid w:val="00B233AD"/>
    <w:rsid w:val="00B23E25"/>
    <w:rsid w:val="00B25F75"/>
    <w:rsid w:val="00B26B3F"/>
    <w:rsid w:val="00B26CA5"/>
    <w:rsid w:val="00B2778F"/>
    <w:rsid w:val="00B27AC5"/>
    <w:rsid w:val="00B33635"/>
    <w:rsid w:val="00B33866"/>
    <w:rsid w:val="00B33E91"/>
    <w:rsid w:val="00B35593"/>
    <w:rsid w:val="00B3595C"/>
    <w:rsid w:val="00B359B4"/>
    <w:rsid w:val="00B37311"/>
    <w:rsid w:val="00B429A5"/>
    <w:rsid w:val="00B438B4"/>
    <w:rsid w:val="00B43E90"/>
    <w:rsid w:val="00B454AF"/>
    <w:rsid w:val="00B45866"/>
    <w:rsid w:val="00B467DC"/>
    <w:rsid w:val="00B50400"/>
    <w:rsid w:val="00B50EE2"/>
    <w:rsid w:val="00B51409"/>
    <w:rsid w:val="00B52484"/>
    <w:rsid w:val="00B56118"/>
    <w:rsid w:val="00B56F06"/>
    <w:rsid w:val="00B57B53"/>
    <w:rsid w:val="00B609A0"/>
    <w:rsid w:val="00B64905"/>
    <w:rsid w:val="00B65A32"/>
    <w:rsid w:val="00B66DA3"/>
    <w:rsid w:val="00B66DC9"/>
    <w:rsid w:val="00B6773F"/>
    <w:rsid w:val="00B70BCF"/>
    <w:rsid w:val="00B7431E"/>
    <w:rsid w:val="00B75852"/>
    <w:rsid w:val="00B75869"/>
    <w:rsid w:val="00B75CD2"/>
    <w:rsid w:val="00B75FA6"/>
    <w:rsid w:val="00B75FE3"/>
    <w:rsid w:val="00B760FB"/>
    <w:rsid w:val="00B767AB"/>
    <w:rsid w:val="00B801BA"/>
    <w:rsid w:val="00B808CB"/>
    <w:rsid w:val="00B81215"/>
    <w:rsid w:val="00B82347"/>
    <w:rsid w:val="00B83148"/>
    <w:rsid w:val="00B831D5"/>
    <w:rsid w:val="00B83F36"/>
    <w:rsid w:val="00B8438E"/>
    <w:rsid w:val="00B84AA6"/>
    <w:rsid w:val="00B84D5C"/>
    <w:rsid w:val="00B8644C"/>
    <w:rsid w:val="00B86B82"/>
    <w:rsid w:val="00B92C54"/>
    <w:rsid w:val="00B92E71"/>
    <w:rsid w:val="00B93BFC"/>
    <w:rsid w:val="00B97F8C"/>
    <w:rsid w:val="00BA0BDE"/>
    <w:rsid w:val="00BA1A73"/>
    <w:rsid w:val="00BA1A96"/>
    <w:rsid w:val="00BA20A5"/>
    <w:rsid w:val="00BA2959"/>
    <w:rsid w:val="00BA2C33"/>
    <w:rsid w:val="00BA2C62"/>
    <w:rsid w:val="00BA2DA8"/>
    <w:rsid w:val="00BA347C"/>
    <w:rsid w:val="00BA3D33"/>
    <w:rsid w:val="00BA4C7C"/>
    <w:rsid w:val="00BA4D94"/>
    <w:rsid w:val="00BA5F25"/>
    <w:rsid w:val="00BA67B7"/>
    <w:rsid w:val="00BA6E4C"/>
    <w:rsid w:val="00BB0433"/>
    <w:rsid w:val="00BB1489"/>
    <w:rsid w:val="00BB168E"/>
    <w:rsid w:val="00BB1AFC"/>
    <w:rsid w:val="00BB229C"/>
    <w:rsid w:val="00BB2E0D"/>
    <w:rsid w:val="00BB3120"/>
    <w:rsid w:val="00BB3B34"/>
    <w:rsid w:val="00BB54BD"/>
    <w:rsid w:val="00BB55EF"/>
    <w:rsid w:val="00BB578C"/>
    <w:rsid w:val="00BB69F5"/>
    <w:rsid w:val="00BB7EC3"/>
    <w:rsid w:val="00BC0015"/>
    <w:rsid w:val="00BC0F6E"/>
    <w:rsid w:val="00BC201E"/>
    <w:rsid w:val="00BC2477"/>
    <w:rsid w:val="00BC288A"/>
    <w:rsid w:val="00BC30E8"/>
    <w:rsid w:val="00BC4B9A"/>
    <w:rsid w:val="00BC4E4A"/>
    <w:rsid w:val="00BC4F88"/>
    <w:rsid w:val="00BC6205"/>
    <w:rsid w:val="00BC6388"/>
    <w:rsid w:val="00BC67E8"/>
    <w:rsid w:val="00BC6B1F"/>
    <w:rsid w:val="00BC6B6E"/>
    <w:rsid w:val="00BD02C3"/>
    <w:rsid w:val="00BD33A7"/>
    <w:rsid w:val="00BD50D2"/>
    <w:rsid w:val="00BD784C"/>
    <w:rsid w:val="00BE020A"/>
    <w:rsid w:val="00BE0661"/>
    <w:rsid w:val="00BE0A99"/>
    <w:rsid w:val="00BE43DE"/>
    <w:rsid w:val="00BE6297"/>
    <w:rsid w:val="00BE6A07"/>
    <w:rsid w:val="00BE7F91"/>
    <w:rsid w:val="00BF01BC"/>
    <w:rsid w:val="00BF092C"/>
    <w:rsid w:val="00BF27A0"/>
    <w:rsid w:val="00BF2976"/>
    <w:rsid w:val="00BF3329"/>
    <w:rsid w:val="00BF4CB6"/>
    <w:rsid w:val="00BF6715"/>
    <w:rsid w:val="00C00DA7"/>
    <w:rsid w:val="00C02237"/>
    <w:rsid w:val="00C02364"/>
    <w:rsid w:val="00C02805"/>
    <w:rsid w:val="00C02E44"/>
    <w:rsid w:val="00C0344F"/>
    <w:rsid w:val="00C03475"/>
    <w:rsid w:val="00C037ED"/>
    <w:rsid w:val="00C0583F"/>
    <w:rsid w:val="00C06712"/>
    <w:rsid w:val="00C07181"/>
    <w:rsid w:val="00C10A04"/>
    <w:rsid w:val="00C12300"/>
    <w:rsid w:val="00C12617"/>
    <w:rsid w:val="00C12768"/>
    <w:rsid w:val="00C12D70"/>
    <w:rsid w:val="00C12EF6"/>
    <w:rsid w:val="00C153F5"/>
    <w:rsid w:val="00C171CF"/>
    <w:rsid w:val="00C206CA"/>
    <w:rsid w:val="00C2121C"/>
    <w:rsid w:val="00C21B09"/>
    <w:rsid w:val="00C21D1A"/>
    <w:rsid w:val="00C22025"/>
    <w:rsid w:val="00C22477"/>
    <w:rsid w:val="00C2673A"/>
    <w:rsid w:val="00C26A60"/>
    <w:rsid w:val="00C27363"/>
    <w:rsid w:val="00C2783B"/>
    <w:rsid w:val="00C27B58"/>
    <w:rsid w:val="00C306B1"/>
    <w:rsid w:val="00C307AF"/>
    <w:rsid w:val="00C314AE"/>
    <w:rsid w:val="00C32124"/>
    <w:rsid w:val="00C321F9"/>
    <w:rsid w:val="00C348D0"/>
    <w:rsid w:val="00C35996"/>
    <w:rsid w:val="00C359A7"/>
    <w:rsid w:val="00C35F1D"/>
    <w:rsid w:val="00C36412"/>
    <w:rsid w:val="00C36CFA"/>
    <w:rsid w:val="00C37B35"/>
    <w:rsid w:val="00C37DBE"/>
    <w:rsid w:val="00C409CC"/>
    <w:rsid w:val="00C409CF"/>
    <w:rsid w:val="00C41155"/>
    <w:rsid w:val="00C43EC4"/>
    <w:rsid w:val="00C441AE"/>
    <w:rsid w:val="00C4437F"/>
    <w:rsid w:val="00C44A6B"/>
    <w:rsid w:val="00C45866"/>
    <w:rsid w:val="00C4747E"/>
    <w:rsid w:val="00C47D83"/>
    <w:rsid w:val="00C50D1E"/>
    <w:rsid w:val="00C52A60"/>
    <w:rsid w:val="00C5342C"/>
    <w:rsid w:val="00C53722"/>
    <w:rsid w:val="00C53B2B"/>
    <w:rsid w:val="00C54603"/>
    <w:rsid w:val="00C56348"/>
    <w:rsid w:val="00C569F6"/>
    <w:rsid w:val="00C56BBF"/>
    <w:rsid w:val="00C60110"/>
    <w:rsid w:val="00C60272"/>
    <w:rsid w:val="00C603D4"/>
    <w:rsid w:val="00C61BCE"/>
    <w:rsid w:val="00C6256A"/>
    <w:rsid w:val="00C65592"/>
    <w:rsid w:val="00C65F81"/>
    <w:rsid w:val="00C65FC2"/>
    <w:rsid w:val="00C66249"/>
    <w:rsid w:val="00C710E2"/>
    <w:rsid w:val="00C710F6"/>
    <w:rsid w:val="00C71803"/>
    <w:rsid w:val="00C71814"/>
    <w:rsid w:val="00C71B42"/>
    <w:rsid w:val="00C71C3F"/>
    <w:rsid w:val="00C73152"/>
    <w:rsid w:val="00C735F3"/>
    <w:rsid w:val="00C7409E"/>
    <w:rsid w:val="00C76E76"/>
    <w:rsid w:val="00C77891"/>
    <w:rsid w:val="00C77963"/>
    <w:rsid w:val="00C77F80"/>
    <w:rsid w:val="00C804C7"/>
    <w:rsid w:val="00C81F51"/>
    <w:rsid w:val="00C825B7"/>
    <w:rsid w:val="00C833B4"/>
    <w:rsid w:val="00C83A16"/>
    <w:rsid w:val="00C83BE9"/>
    <w:rsid w:val="00C85CD3"/>
    <w:rsid w:val="00C86C0A"/>
    <w:rsid w:val="00C9054C"/>
    <w:rsid w:val="00C90D77"/>
    <w:rsid w:val="00C91449"/>
    <w:rsid w:val="00C91BE6"/>
    <w:rsid w:val="00C9208B"/>
    <w:rsid w:val="00C92D10"/>
    <w:rsid w:val="00C93130"/>
    <w:rsid w:val="00C96CD7"/>
    <w:rsid w:val="00CA3D76"/>
    <w:rsid w:val="00CA48D9"/>
    <w:rsid w:val="00CA5B2B"/>
    <w:rsid w:val="00CA6D6C"/>
    <w:rsid w:val="00CA6ECA"/>
    <w:rsid w:val="00CB0C1F"/>
    <w:rsid w:val="00CB1193"/>
    <w:rsid w:val="00CB30D3"/>
    <w:rsid w:val="00CB356A"/>
    <w:rsid w:val="00CB4767"/>
    <w:rsid w:val="00CB493D"/>
    <w:rsid w:val="00CB6899"/>
    <w:rsid w:val="00CB6ED9"/>
    <w:rsid w:val="00CB762F"/>
    <w:rsid w:val="00CB7F12"/>
    <w:rsid w:val="00CC1ED0"/>
    <w:rsid w:val="00CC3B97"/>
    <w:rsid w:val="00CC425B"/>
    <w:rsid w:val="00CC4F9E"/>
    <w:rsid w:val="00CC5E0C"/>
    <w:rsid w:val="00CD0590"/>
    <w:rsid w:val="00CD15B5"/>
    <w:rsid w:val="00CD1953"/>
    <w:rsid w:val="00CD4E65"/>
    <w:rsid w:val="00CD555C"/>
    <w:rsid w:val="00CD71D3"/>
    <w:rsid w:val="00CD7A07"/>
    <w:rsid w:val="00CD7F58"/>
    <w:rsid w:val="00CE05A4"/>
    <w:rsid w:val="00CE0CAB"/>
    <w:rsid w:val="00CE10C4"/>
    <w:rsid w:val="00CE27B5"/>
    <w:rsid w:val="00CE2909"/>
    <w:rsid w:val="00CE523C"/>
    <w:rsid w:val="00CE54DC"/>
    <w:rsid w:val="00CE5CBC"/>
    <w:rsid w:val="00CE5EBA"/>
    <w:rsid w:val="00CE5FF4"/>
    <w:rsid w:val="00CE6DAF"/>
    <w:rsid w:val="00CF0192"/>
    <w:rsid w:val="00CF0A3E"/>
    <w:rsid w:val="00CF0EAE"/>
    <w:rsid w:val="00CF157C"/>
    <w:rsid w:val="00CF1E4C"/>
    <w:rsid w:val="00CF30F3"/>
    <w:rsid w:val="00CF33C1"/>
    <w:rsid w:val="00CF3D32"/>
    <w:rsid w:val="00CF3E12"/>
    <w:rsid w:val="00CF410A"/>
    <w:rsid w:val="00CF5EF2"/>
    <w:rsid w:val="00CF7CBB"/>
    <w:rsid w:val="00D0085C"/>
    <w:rsid w:val="00D00CDB"/>
    <w:rsid w:val="00D0282F"/>
    <w:rsid w:val="00D02895"/>
    <w:rsid w:val="00D0321E"/>
    <w:rsid w:val="00D05022"/>
    <w:rsid w:val="00D07168"/>
    <w:rsid w:val="00D07A8A"/>
    <w:rsid w:val="00D11785"/>
    <w:rsid w:val="00D13079"/>
    <w:rsid w:val="00D1455A"/>
    <w:rsid w:val="00D149A2"/>
    <w:rsid w:val="00D155A5"/>
    <w:rsid w:val="00D15EEE"/>
    <w:rsid w:val="00D17EE7"/>
    <w:rsid w:val="00D17EEE"/>
    <w:rsid w:val="00D20876"/>
    <w:rsid w:val="00D21020"/>
    <w:rsid w:val="00D21E73"/>
    <w:rsid w:val="00D22093"/>
    <w:rsid w:val="00D22AD4"/>
    <w:rsid w:val="00D22F21"/>
    <w:rsid w:val="00D26354"/>
    <w:rsid w:val="00D27408"/>
    <w:rsid w:val="00D276BF"/>
    <w:rsid w:val="00D31150"/>
    <w:rsid w:val="00D3138B"/>
    <w:rsid w:val="00D31F70"/>
    <w:rsid w:val="00D3280C"/>
    <w:rsid w:val="00D3304D"/>
    <w:rsid w:val="00D3406A"/>
    <w:rsid w:val="00D34EBA"/>
    <w:rsid w:val="00D36A20"/>
    <w:rsid w:val="00D44121"/>
    <w:rsid w:val="00D441F1"/>
    <w:rsid w:val="00D4572C"/>
    <w:rsid w:val="00D46495"/>
    <w:rsid w:val="00D469B2"/>
    <w:rsid w:val="00D46E55"/>
    <w:rsid w:val="00D47ACC"/>
    <w:rsid w:val="00D50ED7"/>
    <w:rsid w:val="00D530A1"/>
    <w:rsid w:val="00D547F9"/>
    <w:rsid w:val="00D5557C"/>
    <w:rsid w:val="00D570CA"/>
    <w:rsid w:val="00D570EF"/>
    <w:rsid w:val="00D60FEE"/>
    <w:rsid w:val="00D61F6D"/>
    <w:rsid w:val="00D636D0"/>
    <w:rsid w:val="00D63E16"/>
    <w:rsid w:val="00D64270"/>
    <w:rsid w:val="00D64A22"/>
    <w:rsid w:val="00D65658"/>
    <w:rsid w:val="00D65AFE"/>
    <w:rsid w:val="00D66606"/>
    <w:rsid w:val="00D66BD4"/>
    <w:rsid w:val="00D708DA"/>
    <w:rsid w:val="00D718C4"/>
    <w:rsid w:val="00D72B6F"/>
    <w:rsid w:val="00D72C48"/>
    <w:rsid w:val="00D741EB"/>
    <w:rsid w:val="00D7679C"/>
    <w:rsid w:val="00D77ACB"/>
    <w:rsid w:val="00D820F3"/>
    <w:rsid w:val="00D8296B"/>
    <w:rsid w:val="00D8298E"/>
    <w:rsid w:val="00D83022"/>
    <w:rsid w:val="00D830AF"/>
    <w:rsid w:val="00D83605"/>
    <w:rsid w:val="00D84295"/>
    <w:rsid w:val="00D84934"/>
    <w:rsid w:val="00D855E6"/>
    <w:rsid w:val="00D85720"/>
    <w:rsid w:val="00D85CEE"/>
    <w:rsid w:val="00D8628F"/>
    <w:rsid w:val="00D862C8"/>
    <w:rsid w:val="00D869DD"/>
    <w:rsid w:val="00D86C31"/>
    <w:rsid w:val="00D91271"/>
    <w:rsid w:val="00D9147F"/>
    <w:rsid w:val="00D919F5"/>
    <w:rsid w:val="00D94F03"/>
    <w:rsid w:val="00D97297"/>
    <w:rsid w:val="00DA0D14"/>
    <w:rsid w:val="00DA107E"/>
    <w:rsid w:val="00DA1FC9"/>
    <w:rsid w:val="00DA23A1"/>
    <w:rsid w:val="00DA2CB5"/>
    <w:rsid w:val="00DA4575"/>
    <w:rsid w:val="00DA46D3"/>
    <w:rsid w:val="00DA4BAC"/>
    <w:rsid w:val="00DA54B5"/>
    <w:rsid w:val="00DA5F5A"/>
    <w:rsid w:val="00DA7487"/>
    <w:rsid w:val="00DB0151"/>
    <w:rsid w:val="00DB66C6"/>
    <w:rsid w:val="00DB6B9E"/>
    <w:rsid w:val="00DC0F79"/>
    <w:rsid w:val="00DC11A7"/>
    <w:rsid w:val="00DC20C6"/>
    <w:rsid w:val="00DC24A7"/>
    <w:rsid w:val="00DC27A1"/>
    <w:rsid w:val="00DC2890"/>
    <w:rsid w:val="00DC2C3E"/>
    <w:rsid w:val="00DC4880"/>
    <w:rsid w:val="00DC4E6B"/>
    <w:rsid w:val="00DC63E2"/>
    <w:rsid w:val="00DC6AF9"/>
    <w:rsid w:val="00DC6DB6"/>
    <w:rsid w:val="00DC7438"/>
    <w:rsid w:val="00DD1786"/>
    <w:rsid w:val="00DD1CB1"/>
    <w:rsid w:val="00DD2AAD"/>
    <w:rsid w:val="00DD3191"/>
    <w:rsid w:val="00DD363D"/>
    <w:rsid w:val="00DD4999"/>
    <w:rsid w:val="00DD5B4B"/>
    <w:rsid w:val="00DD66E8"/>
    <w:rsid w:val="00DD6732"/>
    <w:rsid w:val="00DD6E04"/>
    <w:rsid w:val="00DE03EE"/>
    <w:rsid w:val="00DE2881"/>
    <w:rsid w:val="00DE2D53"/>
    <w:rsid w:val="00DE4146"/>
    <w:rsid w:val="00DE4545"/>
    <w:rsid w:val="00DE45CC"/>
    <w:rsid w:val="00DE48F9"/>
    <w:rsid w:val="00DE644A"/>
    <w:rsid w:val="00DE6D27"/>
    <w:rsid w:val="00DE6E5E"/>
    <w:rsid w:val="00DE6F5F"/>
    <w:rsid w:val="00DE7491"/>
    <w:rsid w:val="00DE7FF7"/>
    <w:rsid w:val="00DF1467"/>
    <w:rsid w:val="00DF217D"/>
    <w:rsid w:val="00DF26A7"/>
    <w:rsid w:val="00DF3277"/>
    <w:rsid w:val="00DF3475"/>
    <w:rsid w:val="00DF35E6"/>
    <w:rsid w:val="00DF38E5"/>
    <w:rsid w:val="00DF3FA5"/>
    <w:rsid w:val="00DF42B9"/>
    <w:rsid w:val="00DF63DB"/>
    <w:rsid w:val="00DF6647"/>
    <w:rsid w:val="00DF68E4"/>
    <w:rsid w:val="00DF7919"/>
    <w:rsid w:val="00E007B4"/>
    <w:rsid w:val="00E015CA"/>
    <w:rsid w:val="00E01B1B"/>
    <w:rsid w:val="00E02056"/>
    <w:rsid w:val="00E0207E"/>
    <w:rsid w:val="00E02752"/>
    <w:rsid w:val="00E03912"/>
    <w:rsid w:val="00E04F46"/>
    <w:rsid w:val="00E10A2F"/>
    <w:rsid w:val="00E14BFE"/>
    <w:rsid w:val="00E15627"/>
    <w:rsid w:val="00E15C98"/>
    <w:rsid w:val="00E164B3"/>
    <w:rsid w:val="00E168BD"/>
    <w:rsid w:val="00E16910"/>
    <w:rsid w:val="00E17C01"/>
    <w:rsid w:val="00E21D9B"/>
    <w:rsid w:val="00E236BE"/>
    <w:rsid w:val="00E24E09"/>
    <w:rsid w:val="00E24EA9"/>
    <w:rsid w:val="00E25B8D"/>
    <w:rsid w:val="00E27234"/>
    <w:rsid w:val="00E303AA"/>
    <w:rsid w:val="00E30750"/>
    <w:rsid w:val="00E30D53"/>
    <w:rsid w:val="00E30DD6"/>
    <w:rsid w:val="00E311F0"/>
    <w:rsid w:val="00E346E8"/>
    <w:rsid w:val="00E35A31"/>
    <w:rsid w:val="00E35F2E"/>
    <w:rsid w:val="00E4096E"/>
    <w:rsid w:val="00E42BDB"/>
    <w:rsid w:val="00E44760"/>
    <w:rsid w:val="00E45B09"/>
    <w:rsid w:val="00E45F09"/>
    <w:rsid w:val="00E5097F"/>
    <w:rsid w:val="00E5219A"/>
    <w:rsid w:val="00E5371B"/>
    <w:rsid w:val="00E5378D"/>
    <w:rsid w:val="00E5392F"/>
    <w:rsid w:val="00E53E22"/>
    <w:rsid w:val="00E56C3E"/>
    <w:rsid w:val="00E57EEB"/>
    <w:rsid w:val="00E600EC"/>
    <w:rsid w:val="00E6053A"/>
    <w:rsid w:val="00E6122D"/>
    <w:rsid w:val="00E624EA"/>
    <w:rsid w:val="00E62796"/>
    <w:rsid w:val="00E62D94"/>
    <w:rsid w:val="00E63A81"/>
    <w:rsid w:val="00E63C48"/>
    <w:rsid w:val="00E64433"/>
    <w:rsid w:val="00E64F37"/>
    <w:rsid w:val="00E65E54"/>
    <w:rsid w:val="00E661C7"/>
    <w:rsid w:val="00E6689B"/>
    <w:rsid w:val="00E70035"/>
    <w:rsid w:val="00E70141"/>
    <w:rsid w:val="00E7267E"/>
    <w:rsid w:val="00E72F65"/>
    <w:rsid w:val="00E776C9"/>
    <w:rsid w:val="00E80155"/>
    <w:rsid w:val="00E81E0D"/>
    <w:rsid w:val="00E81F28"/>
    <w:rsid w:val="00E82B5A"/>
    <w:rsid w:val="00E82CC5"/>
    <w:rsid w:val="00E83123"/>
    <w:rsid w:val="00E832E7"/>
    <w:rsid w:val="00E83A90"/>
    <w:rsid w:val="00E84217"/>
    <w:rsid w:val="00E848C0"/>
    <w:rsid w:val="00E85009"/>
    <w:rsid w:val="00E862AC"/>
    <w:rsid w:val="00E90C38"/>
    <w:rsid w:val="00E90CF1"/>
    <w:rsid w:val="00E91B96"/>
    <w:rsid w:val="00E92A5A"/>
    <w:rsid w:val="00E93598"/>
    <w:rsid w:val="00E93D1E"/>
    <w:rsid w:val="00E941A1"/>
    <w:rsid w:val="00E94742"/>
    <w:rsid w:val="00E9491D"/>
    <w:rsid w:val="00E95CE3"/>
    <w:rsid w:val="00E95F89"/>
    <w:rsid w:val="00E96E4B"/>
    <w:rsid w:val="00E97B7C"/>
    <w:rsid w:val="00EA0DF6"/>
    <w:rsid w:val="00EA1208"/>
    <w:rsid w:val="00EA252F"/>
    <w:rsid w:val="00EA2825"/>
    <w:rsid w:val="00EA2EAF"/>
    <w:rsid w:val="00EA41E6"/>
    <w:rsid w:val="00EA4AA5"/>
    <w:rsid w:val="00EA597C"/>
    <w:rsid w:val="00EA6596"/>
    <w:rsid w:val="00EA737E"/>
    <w:rsid w:val="00EA7EDE"/>
    <w:rsid w:val="00EB0B63"/>
    <w:rsid w:val="00EB1751"/>
    <w:rsid w:val="00EB1936"/>
    <w:rsid w:val="00EB30D2"/>
    <w:rsid w:val="00EB3296"/>
    <w:rsid w:val="00EB35E1"/>
    <w:rsid w:val="00EB37BE"/>
    <w:rsid w:val="00EB3E48"/>
    <w:rsid w:val="00EB5088"/>
    <w:rsid w:val="00EB50F2"/>
    <w:rsid w:val="00EB58C9"/>
    <w:rsid w:val="00EB6175"/>
    <w:rsid w:val="00EB6838"/>
    <w:rsid w:val="00EB6945"/>
    <w:rsid w:val="00EC20CE"/>
    <w:rsid w:val="00EC2CBD"/>
    <w:rsid w:val="00EC33C3"/>
    <w:rsid w:val="00EC6649"/>
    <w:rsid w:val="00ED1019"/>
    <w:rsid w:val="00ED1644"/>
    <w:rsid w:val="00ED2593"/>
    <w:rsid w:val="00ED3338"/>
    <w:rsid w:val="00ED3FE9"/>
    <w:rsid w:val="00ED4999"/>
    <w:rsid w:val="00ED656C"/>
    <w:rsid w:val="00ED7D9C"/>
    <w:rsid w:val="00EE016D"/>
    <w:rsid w:val="00EE27AF"/>
    <w:rsid w:val="00EE70F6"/>
    <w:rsid w:val="00EE7D18"/>
    <w:rsid w:val="00EE7ECA"/>
    <w:rsid w:val="00EE7EF2"/>
    <w:rsid w:val="00EF0069"/>
    <w:rsid w:val="00EF112E"/>
    <w:rsid w:val="00EF1E30"/>
    <w:rsid w:val="00EF44A0"/>
    <w:rsid w:val="00EF4FED"/>
    <w:rsid w:val="00EF610F"/>
    <w:rsid w:val="00EF67D8"/>
    <w:rsid w:val="00F007C6"/>
    <w:rsid w:val="00F0172E"/>
    <w:rsid w:val="00F017E0"/>
    <w:rsid w:val="00F021C4"/>
    <w:rsid w:val="00F0396C"/>
    <w:rsid w:val="00F0448E"/>
    <w:rsid w:val="00F050BD"/>
    <w:rsid w:val="00F05657"/>
    <w:rsid w:val="00F057C6"/>
    <w:rsid w:val="00F07DC8"/>
    <w:rsid w:val="00F102CB"/>
    <w:rsid w:val="00F1101D"/>
    <w:rsid w:val="00F1235A"/>
    <w:rsid w:val="00F16A3B"/>
    <w:rsid w:val="00F16E6C"/>
    <w:rsid w:val="00F209E2"/>
    <w:rsid w:val="00F21251"/>
    <w:rsid w:val="00F21280"/>
    <w:rsid w:val="00F2164F"/>
    <w:rsid w:val="00F22CCD"/>
    <w:rsid w:val="00F23189"/>
    <w:rsid w:val="00F2350C"/>
    <w:rsid w:val="00F23D4B"/>
    <w:rsid w:val="00F24CA7"/>
    <w:rsid w:val="00F25578"/>
    <w:rsid w:val="00F258E5"/>
    <w:rsid w:val="00F25B9C"/>
    <w:rsid w:val="00F265AF"/>
    <w:rsid w:val="00F26CC6"/>
    <w:rsid w:val="00F300BC"/>
    <w:rsid w:val="00F31F96"/>
    <w:rsid w:val="00F3263C"/>
    <w:rsid w:val="00F3334E"/>
    <w:rsid w:val="00F336F9"/>
    <w:rsid w:val="00F35AC1"/>
    <w:rsid w:val="00F35B64"/>
    <w:rsid w:val="00F35C48"/>
    <w:rsid w:val="00F3641F"/>
    <w:rsid w:val="00F36CCB"/>
    <w:rsid w:val="00F374E5"/>
    <w:rsid w:val="00F37B93"/>
    <w:rsid w:val="00F42A8E"/>
    <w:rsid w:val="00F43978"/>
    <w:rsid w:val="00F43AF2"/>
    <w:rsid w:val="00F47485"/>
    <w:rsid w:val="00F5007E"/>
    <w:rsid w:val="00F50D2F"/>
    <w:rsid w:val="00F50EC4"/>
    <w:rsid w:val="00F52232"/>
    <w:rsid w:val="00F52B13"/>
    <w:rsid w:val="00F53F79"/>
    <w:rsid w:val="00F5479E"/>
    <w:rsid w:val="00F550CF"/>
    <w:rsid w:val="00F55FE6"/>
    <w:rsid w:val="00F57A6D"/>
    <w:rsid w:val="00F6026A"/>
    <w:rsid w:val="00F61681"/>
    <w:rsid w:val="00F638CC"/>
    <w:rsid w:val="00F6417C"/>
    <w:rsid w:val="00F64C9E"/>
    <w:rsid w:val="00F64CC1"/>
    <w:rsid w:val="00F65F41"/>
    <w:rsid w:val="00F67A37"/>
    <w:rsid w:val="00F67B87"/>
    <w:rsid w:val="00F701A0"/>
    <w:rsid w:val="00F71A10"/>
    <w:rsid w:val="00F72317"/>
    <w:rsid w:val="00F73A98"/>
    <w:rsid w:val="00F75068"/>
    <w:rsid w:val="00F7509B"/>
    <w:rsid w:val="00F75D16"/>
    <w:rsid w:val="00F762BB"/>
    <w:rsid w:val="00F80475"/>
    <w:rsid w:val="00F80976"/>
    <w:rsid w:val="00F817BB"/>
    <w:rsid w:val="00F81F89"/>
    <w:rsid w:val="00F8247A"/>
    <w:rsid w:val="00F82B21"/>
    <w:rsid w:val="00F82C0F"/>
    <w:rsid w:val="00F82CC7"/>
    <w:rsid w:val="00F82D10"/>
    <w:rsid w:val="00F85A9C"/>
    <w:rsid w:val="00F8738B"/>
    <w:rsid w:val="00F87A2C"/>
    <w:rsid w:val="00F90793"/>
    <w:rsid w:val="00F907CE"/>
    <w:rsid w:val="00F908FE"/>
    <w:rsid w:val="00F929D5"/>
    <w:rsid w:val="00F937FE"/>
    <w:rsid w:val="00F95804"/>
    <w:rsid w:val="00F959C2"/>
    <w:rsid w:val="00F9629A"/>
    <w:rsid w:val="00F97D35"/>
    <w:rsid w:val="00F97EFC"/>
    <w:rsid w:val="00FA01B6"/>
    <w:rsid w:val="00FA0EC0"/>
    <w:rsid w:val="00FA1BDD"/>
    <w:rsid w:val="00FA2A9B"/>
    <w:rsid w:val="00FA463B"/>
    <w:rsid w:val="00FA4DD5"/>
    <w:rsid w:val="00FA5883"/>
    <w:rsid w:val="00FA6055"/>
    <w:rsid w:val="00FA710F"/>
    <w:rsid w:val="00FB0A12"/>
    <w:rsid w:val="00FB0CF7"/>
    <w:rsid w:val="00FB27C6"/>
    <w:rsid w:val="00FB322F"/>
    <w:rsid w:val="00FB442F"/>
    <w:rsid w:val="00FB65E2"/>
    <w:rsid w:val="00FB7AF6"/>
    <w:rsid w:val="00FC1564"/>
    <w:rsid w:val="00FC1929"/>
    <w:rsid w:val="00FC1A73"/>
    <w:rsid w:val="00FC27E8"/>
    <w:rsid w:val="00FC5001"/>
    <w:rsid w:val="00FC5B46"/>
    <w:rsid w:val="00FC6F1D"/>
    <w:rsid w:val="00FC7B1B"/>
    <w:rsid w:val="00FC7CAB"/>
    <w:rsid w:val="00FD0A6C"/>
    <w:rsid w:val="00FD0C43"/>
    <w:rsid w:val="00FD2483"/>
    <w:rsid w:val="00FD2B48"/>
    <w:rsid w:val="00FD5A5A"/>
    <w:rsid w:val="00FD6C87"/>
    <w:rsid w:val="00FD6D8E"/>
    <w:rsid w:val="00FE09BB"/>
    <w:rsid w:val="00FE0E94"/>
    <w:rsid w:val="00FE147B"/>
    <w:rsid w:val="00FE2A46"/>
    <w:rsid w:val="00FE3CD9"/>
    <w:rsid w:val="00FE4530"/>
    <w:rsid w:val="00FE4CD6"/>
    <w:rsid w:val="00FE58FC"/>
    <w:rsid w:val="00FE7959"/>
    <w:rsid w:val="00FE7B01"/>
    <w:rsid w:val="00FF00BD"/>
    <w:rsid w:val="00FF02E7"/>
    <w:rsid w:val="00FF0B4C"/>
    <w:rsid w:val="00FF0F7F"/>
    <w:rsid w:val="00FF15C3"/>
    <w:rsid w:val="00FF1ED4"/>
    <w:rsid w:val="00FF272D"/>
    <w:rsid w:val="00FF2801"/>
    <w:rsid w:val="00FF521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72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DC7"/>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Footnote,Bullet point,List Paragraph11,Recommendation,ES Paragraph,PBAC ES Paragraph,PBAC normal points,Bullet List,L,Bullet Point,Bulletr List Paragraph,Content descriptions,FooterTex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Footnote Char,Bullet point Char,List Paragraph11 Char,Recommendation Char,ES Paragraph Char,PBAC ES Paragraph Char,PBAC normal points Char,Bullet List Char,L Char,リスト段落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pPr>
      <w:numPr>
        <w:ilvl w:val="0"/>
        <w:numId w:val="0"/>
      </w:numPr>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2"/>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TableText1">
    <w:name w:val="TableText"/>
    <w:basedOn w:val="Normal"/>
    <w:link w:val="TableTextChar1"/>
    <w:uiPriority w:val="97"/>
    <w:qFormat/>
    <w:rsid w:val="00F8738B"/>
    <w:pPr>
      <w:spacing w:before="40" w:after="40"/>
    </w:pPr>
    <w:rPr>
      <w:rFonts w:ascii="Calibri" w:hAnsi="Calibri" w:cstheme="minorHAnsi"/>
      <w:bCs/>
      <w:sz w:val="20"/>
      <w:szCs w:val="20"/>
      <w:lang w:eastAsia="en-US"/>
    </w:rPr>
  </w:style>
  <w:style w:type="character" w:customStyle="1" w:styleId="TableTextChar1">
    <w:name w:val="TableText Char"/>
    <w:basedOn w:val="DefaultParagraphFont"/>
    <w:link w:val="TableText1"/>
    <w:uiPriority w:val="97"/>
    <w:rsid w:val="00F8738B"/>
    <w:rPr>
      <w:rFonts w:ascii="Calibri" w:hAnsi="Calibri" w:cstheme="minorHAnsi"/>
      <w:bCs/>
      <w:lang w:eastAsia="en-US"/>
    </w:rPr>
  </w:style>
  <w:style w:type="paragraph" w:customStyle="1" w:styleId="TableHeadingRow">
    <w:name w:val="TableHeadingRow"/>
    <w:basedOn w:val="Normal"/>
    <w:uiPriority w:val="96"/>
    <w:qFormat/>
    <w:rsid w:val="00C037ED"/>
    <w:pPr>
      <w:keepNext/>
      <w:spacing w:before="20" w:after="20"/>
    </w:pPr>
    <w:rPr>
      <w:rFonts w:ascii="Calibri" w:hAnsi="Calibri" w:cstheme="minorHAnsi"/>
      <w:b/>
      <w:sz w:val="20"/>
      <w:szCs w:val="20"/>
      <w:lang w:eastAsia="en-US"/>
    </w:rPr>
  </w:style>
  <w:style w:type="paragraph" w:customStyle="1" w:styleId="Commentitalics">
    <w:name w:val="Comment (italics)"/>
    <w:basedOn w:val="Normal"/>
    <w:next w:val="Normal"/>
    <w:qFormat/>
    <w:rsid w:val="002050A2"/>
    <w:pPr>
      <w:widowControl w:val="0"/>
      <w:jc w:val="both"/>
    </w:pPr>
    <w:rPr>
      <w:rFonts w:ascii="Calibri" w:hAnsi="Calibri" w:cs="Arial"/>
      <w:i/>
      <w:snapToGrid w:val="0"/>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04A43"/>
    <w:rPr>
      <w:rFonts w:ascii="Calibri" w:hAnsi="Calibri"/>
      <w:i/>
      <w:iCs/>
      <w:color w:val="000000" w:themeColor="text1"/>
      <w:sz w:val="18"/>
      <w:szCs w:val="18"/>
    </w:rPr>
  </w:style>
  <w:style w:type="paragraph" w:styleId="FootnoteText">
    <w:name w:val="footnote text"/>
    <w:basedOn w:val="Normal"/>
    <w:link w:val="FootnoteTextChar"/>
    <w:semiHidden/>
    <w:unhideWhenUsed/>
    <w:rsid w:val="00C07181"/>
    <w:rPr>
      <w:sz w:val="20"/>
      <w:szCs w:val="20"/>
    </w:rPr>
  </w:style>
  <w:style w:type="character" w:customStyle="1" w:styleId="FootnoteTextChar">
    <w:name w:val="Footnote Text Char"/>
    <w:basedOn w:val="DefaultParagraphFont"/>
    <w:link w:val="FootnoteText"/>
    <w:semiHidden/>
    <w:rsid w:val="00C07181"/>
  </w:style>
  <w:style w:type="character" w:styleId="FootnoteReference">
    <w:name w:val="footnote reference"/>
    <w:basedOn w:val="DefaultParagraphFont"/>
    <w:semiHidden/>
    <w:unhideWhenUsed/>
    <w:rsid w:val="00C07181"/>
    <w:rPr>
      <w:vertAlign w:val="superscript"/>
    </w:rPr>
  </w:style>
  <w:style w:type="paragraph" w:styleId="Revision">
    <w:name w:val="Revision"/>
    <w:hidden/>
    <w:uiPriority w:val="71"/>
    <w:semiHidden/>
    <w:rsid w:val="00961804"/>
    <w:rPr>
      <w:sz w:val="24"/>
      <w:szCs w:val="24"/>
    </w:rPr>
  </w:style>
  <w:style w:type="character" w:styleId="Emphasis">
    <w:name w:val="Emphasis"/>
    <w:basedOn w:val="DefaultParagraphFont"/>
    <w:uiPriority w:val="20"/>
    <w:qFormat/>
    <w:rsid w:val="00340FFC"/>
    <w:rPr>
      <w:b/>
      <w:bCs/>
      <w:i w:val="0"/>
      <w:iCs w:val="0"/>
    </w:rPr>
  </w:style>
  <w:style w:type="character" w:customStyle="1" w:styleId="st1">
    <w:name w:val="st1"/>
    <w:basedOn w:val="DefaultParagraphFont"/>
    <w:rsid w:val="0034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4120181">
      <w:bodyDiv w:val="1"/>
      <w:marLeft w:val="0"/>
      <w:marRight w:val="0"/>
      <w:marTop w:val="0"/>
      <w:marBottom w:val="0"/>
      <w:divBdr>
        <w:top w:val="none" w:sz="0" w:space="0" w:color="auto"/>
        <w:left w:val="none" w:sz="0" w:space="0" w:color="auto"/>
        <w:bottom w:val="none" w:sz="0" w:space="0" w:color="auto"/>
        <w:right w:val="none" w:sz="0" w:space="0" w:color="auto"/>
      </w:divBdr>
    </w:div>
    <w:div w:id="299574443">
      <w:bodyDiv w:val="1"/>
      <w:marLeft w:val="0"/>
      <w:marRight w:val="0"/>
      <w:marTop w:val="0"/>
      <w:marBottom w:val="0"/>
      <w:divBdr>
        <w:top w:val="none" w:sz="0" w:space="0" w:color="auto"/>
        <w:left w:val="none" w:sz="0" w:space="0" w:color="auto"/>
        <w:bottom w:val="none" w:sz="0" w:space="0" w:color="auto"/>
        <w:right w:val="none" w:sz="0" w:space="0" w:color="auto"/>
      </w:divBdr>
    </w:div>
    <w:div w:id="3254793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268613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0161B-0EDE-45BF-B44D-2AA5DB32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3432</Words>
  <Characters>20097</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2020-06-19T05:19:00Z</dcterms:created>
  <dcterms:modified xsi:type="dcterms:W3CDTF">2020-06-19T05:22:00Z</dcterms:modified>
</cp:coreProperties>
</file>