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500" w:rsidRDefault="00B938E3" w:rsidP="00AF5DAE">
      <w:pPr>
        <w:spacing w:before="0" w:after="0"/>
        <w:rPr>
          <w:b/>
          <w:bCs/>
          <w:spacing w:val="5"/>
          <w:sz w:val="36"/>
          <w:szCs w:val="36"/>
          <w:lang w:eastAsia="en-AU"/>
        </w:rPr>
      </w:pPr>
      <w:bookmarkStart w:id="0" w:name="_Toc497226156"/>
      <w:bookmarkStart w:id="1" w:name="_Toc30411806"/>
      <w:bookmarkStart w:id="2" w:name="_Toc492317071"/>
      <w:r>
        <w:rPr>
          <w:b/>
          <w:bCs/>
          <w:spacing w:val="5"/>
          <w:sz w:val="36"/>
          <w:szCs w:val="36"/>
          <w:lang w:eastAsia="en-AU"/>
        </w:rPr>
        <w:t xml:space="preserve">6.01 </w:t>
      </w:r>
      <w:r w:rsidR="00ED5500">
        <w:rPr>
          <w:b/>
          <w:bCs/>
          <w:spacing w:val="5"/>
          <w:sz w:val="36"/>
          <w:szCs w:val="36"/>
          <w:lang w:eastAsia="en-AU"/>
        </w:rPr>
        <w:t>ATEZOLIZUMAB</w:t>
      </w:r>
    </w:p>
    <w:p w:rsidR="00ED5500" w:rsidRDefault="00ED5500" w:rsidP="00B938E3">
      <w:pPr>
        <w:spacing w:before="0" w:after="0"/>
        <w:ind w:left="1843" w:hanging="1123"/>
        <w:rPr>
          <w:b/>
          <w:bCs/>
          <w:spacing w:val="5"/>
          <w:sz w:val="36"/>
          <w:szCs w:val="36"/>
          <w:lang w:eastAsia="en-AU"/>
        </w:rPr>
      </w:pPr>
      <w:r>
        <w:rPr>
          <w:b/>
          <w:bCs/>
          <w:spacing w:val="5"/>
          <w:sz w:val="36"/>
          <w:szCs w:val="36"/>
          <w:lang w:eastAsia="en-AU"/>
        </w:rPr>
        <w:t>Solution concentrate for I.V. infusion 840 mg in 14 mL,</w:t>
      </w:r>
    </w:p>
    <w:p w:rsidR="00751BA8" w:rsidRDefault="00751BA8" w:rsidP="00B938E3">
      <w:pPr>
        <w:spacing w:before="0" w:after="0"/>
        <w:ind w:left="1843" w:hanging="1123"/>
        <w:rPr>
          <w:b/>
          <w:bCs/>
          <w:spacing w:val="5"/>
          <w:sz w:val="36"/>
          <w:szCs w:val="36"/>
          <w:lang w:eastAsia="en-AU"/>
        </w:rPr>
      </w:pPr>
      <w:r>
        <w:rPr>
          <w:b/>
          <w:bCs/>
          <w:spacing w:val="5"/>
          <w:sz w:val="36"/>
          <w:szCs w:val="36"/>
          <w:lang w:eastAsia="en-AU"/>
        </w:rPr>
        <w:t>Tecentriq</w:t>
      </w:r>
      <w:r>
        <w:rPr>
          <w:rFonts w:cstheme="minorHAnsi"/>
          <w:b/>
          <w:bCs/>
          <w:spacing w:val="5"/>
          <w:sz w:val="36"/>
          <w:szCs w:val="36"/>
          <w:lang w:eastAsia="en-AU"/>
        </w:rPr>
        <w:t>®</w:t>
      </w:r>
      <w:r>
        <w:rPr>
          <w:b/>
          <w:bCs/>
          <w:spacing w:val="5"/>
          <w:sz w:val="36"/>
          <w:szCs w:val="36"/>
          <w:lang w:eastAsia="en-AU"/>
        </w:rPr>
        <w:t>,</w:t>
      </w:r>
    </w:p>
    <w:p w:rsidR="00ED5500" w:rsidRDefault="00ED5500" w:rsidP="00B938E3">
      <w:pPr>
        <w:spacing w:before="0" w:after="0"/>
        <w:ind w:left="1843" w:hanging="1123"/>
        <w:rPr>
          <w:b/>
          <w:bCs/>
          <w:spacing w:val="5"/>
          <w:sz w:val="36"/>
          <w:szCs w:val="36"/>
          <w:lang w:eastAsia="en-AU"/>
        </w:rPr>
      </w:pPr>
      <w:r>
        <w:rPr>
          <w:b/>
          <w:bCs/>
          <w:spacing w:val="5"/>
          <w:sz w:val="36"/>
          <w:szCs w:val="36"/>
          <w:lang w:eastAsia="en-AU"/>
        </w:rPr>
        <w:t>Roche Products Pty Ltd</w:t>
      </w:r>
    </w:p>
    <w:p w:rsidR="00095E93" w:rsidRPr="009A580E" w:rsidRDefault="00095E93" w:rsidP="00AD645F">
      <w:pPr>
        <w:pStyle w:val="PBACESHeading1"/>
        <w:numPr>
          <w:ilvl w:val="0"/>
          <w:numId w:val="19"/>
        </w:numPr>
      </w:pPr>
      <w:bookmarkStart w:id="3" w:name="_Toc497226177"/>
      <w:bookmarkStart w:id="4" w:name="_Toc30411824"/>
      <w:bookmarkEnd w:id="0"/>
      <w:bookmarkEnd w:id="1"/>
      <w:bookmarkEnd w:id="2"/>
      <w:r w:rsidRPr="009A580E">
        <w:t>Purpose of submission</w:t>
      </w:r>
      <w:bookmarkEnd w:id="3"/>
      <w:bookmarkEnd w:id="4"/>
    </w:p>
    <w:p w:rsidR="00095E93" w:rsidRPr="009A580E" w:rsidRDefault="00095E93" w:rsidP="00095E93">
      <w:pPr>
        <w:pStyle w:val="ListParagraph"/>
        <w:numPr>
          <w:ilvl w:val="4"/>
          <w:numId w:val="1"/>
        </w:numPr>
      </w:pPr>
      <w:r w:rsidRPr="00837021">
        <w:t>The submission requested Section 100 – Efficient Funding of Chemotherapy (Streamlined) listing for atezolizumab in combination with taxane chemotherapy as first-line treatment for patients with unresectable locally advanced or metastatic triple-negative breast cancer (TNBC) whose condition express</w:t>
      </w:r>
      <w:r>
        <w:t>es</w:t>
      </w:r>
      <w:r w:rsidRPr="00837021">
        <w:t xml:space="preserve"> programmed death ligand 1 (PD-L1) of any intensity in tumour-infiltrating immune cells covering ≥1% of the tumour area. Medicare Benefits Schedule (MBS) listing of immunohistochemistry (IHC) testing for evaluation of PD-L1 expression, to determine eligibility for treatment with atezolizumab was also requested.</w:t>
      </w:r>
    </w:p>
    <w:p w:rsidR="00095E93" w:rsidRPr="00333639" w:rsidRDefault="00095E93" w:rsidP="00095E93">
      <w:pPr>
        <w:pStyle w:val="ListParagraph"/>
        <w:numPr>
          <w:ilvl w:val="4"/>
          <w:numId w:val="1"/>
        </w:numPr>
        <w:rPr>
          <w:color w:val="auto"/>
        </w:rPr>
      </w:pPr>
      <w:r w:rsidRPr="00333639">
        <w:rPr>
          <w:color w:val="auto"/>
        </w:rPr>
        <w:t>Listing was requested on the basis of a cost-effectiveness analysis versus nanoparticle albumin</w:t>
      </w:r>
      <w:r w:rsidR="00D4434E">
        <w:rPr>
          <w:color w:val="auto"/>
        </w:rPr>
        <w:t>-</w:t>
      </w:r>
      <w:r w:rsidRPr="00333639">
        <w:rPr>
          <w:color w:val="auto"/>
        </w:rPr>
        <w:t>bound paclitaxel (nab-P).</w:t>
      </w:r>
    </w:p>
    <w:p w:rsidR="00095E93" w:rsidRDefault="00095E93" w:rsidP="00095E93">
      <w:pPr>
        <w:pStyle w:val="Caption"/>
      </w:pPr>
      <w:r>
        <w:t xml:space="preserve">Table </w:t>
      </w:r>
      <w:r w:rsidR="00074BE0">
        <w:rPr>
          <w:noProof/>
        </w:rPr>
        <w:t>1</w:t>
      </w:r>
      <w:r w:rsidR="00751BA8">
        <w:rPr>
          <w:noProof/>
        </w:rPr>
        <w:t xml:space="preserve">: </w:t>
      </w:r>
      <w:r w:rsidRPr="00962538">
        <w:t>Key components of the clinical issue addressed by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271"/>
        <w:gridCol w:w="7745"/>
      </w:tblGrid>
      <w:tr w:rsidR="00095E93" w:rsidRPr="00333639" w:rsidTr="00C10118">
        <w:trPr>
          <w:cantSplit/>
          <w:tblHeader/>
        </w:trPr>
        <w:tc>
          <w:tcPr>
            <w:tcW w:w="705" w:type="pct"/>
            <w:shd w:val="clear" w:color="auto" w:fill="auto"/>
          </w:tcPr>
          <w:p w:rsidR="00095E93" w:rsidRPr="00333639" w:rsidRDefault="00095E93" w:rsidP="00095E93">
            <w:pPr>
              <w:keepNext/>
              <w:spacing w:before="0" w:after="0"/>
              <w:jc w:val="left"/>
              <w:rPr>
                <w:rFonts w:ascii="Arial Narrow" w:eastAsia="MS Gothic" w:hAnsi="Arial Narrow" w:cs="Times New Roman"/>
                <w:b/>
                <w:sz w:val="20"/>
                <w:szCs w:val="20"/>
                <w:lang w:val="en-US" w:eastAsia="en-AU"/>
              </w:rPr>
            </w:pPr>
            <w:r w:rsidRPr="00333639">
              <w:rPr>
                <w:rFonts w:ascii="Arial Narrow" w:eastAsia="MS Gothic" w:hAnsi="Arial Narrow" w:cs="Times New Roman"/>
                <w:b/>
                <w:sz w:val="20"/>
                <w:szCs w:val="24"/>
                <w:lang w:val="en-US" w:eastAsia="en-AU"/>
              </w:rPr>
              <w:t>Component</w:t>
            </w:r>
          </w:p>
        </w:tc>
        <w:tc>
          <w:tcPr>
            <w:tcW w:w="4295" w:type="pct"/>
            <w:shd w:val="clear" w:color="auto" w:fill="auto"/>
          </w:tcPr>
          <w:p w:rsidR="00095E93" w:rsidRPr="00333639" w:rsidRDefault="00095E93" w:rsidP="00095E93">
            <w:pPr>
              <w:keepNext/>
              <w:spacing w:before="0" w:after="0"/>
              <w:jc w:val="left"/>
              <w:rPr>
                <w:rFonts w:ascii="Arial Narrow" w:eastAsia="MS Gothic" w:hAnsi="Arial Narrow" w:cs="Times New Roman"/>
                <w:b/>
                <w:sz w:val="20"/>
                <w:szCs w:val="24"/>
                <w:lang w:val="en-US" w:eastAsia="en-AU"/>
              </w:rPr>
            </w:pPr>
            <w:r w:rsidRPr="00333639">
              <w:rPr>
                <w:rFonts w:ascii="Arial Narrow" w:eastAsia="MS Gothic" w:hAnsi="Arial Narrow" w:cs="Times New Roman"/>
                <w:b/>
                <w:sz w:val="20"/>
                <w:szCs w:val="24"/>
                <w:lang w:val="en-US" w:eastAsia="en-AU"/>
              </w:rPr>
              <w:t>Description</w:t>
            </w:r>
          </w:p>
        </w:tc>
      </w:tr>
      <w:tr w:rsidR="00095E93" w:rsidRPr="00333639" w:rsidTr="00C10118">
        <w:trPr>
          <w:cantSplit/>
        </w:trPr>
        <w:tc>
          <w:tcPr>
            <w:tcW w:w="705" w:type="pct"/>
            <w:shd w:val="clear" w:color="auto" w:fill="auto"/>
          </w:tcPr>
          <w:p w:rsidR="00095E93" w:rsidRPr="00333639" w:rsidRDefault="00095E93" w:rsidP="00095E93">
            <w:pPr>
              <w:keepNext/>
              <w:spacing w:before="0" w:after="0"/>
              <w:jc w:val="left"/>
              <w:rPr>
                <w:rFonts w:ascii="Arial Narrow" w:eastAsia="MS Gothic" w:hAnsi="Arial Narrow" w:cs="Times New Roman"/>
                <w:bCs/>
                <w:sz w:val="20"/>
                <w:szCs w:val="24"/>
                <w:lang w:eastAsia="en-AU"/>
              </w:rPr>
            </w:pPr>
            <w:r w:rsidRPr="00333639">
              <w:rPr>
                <w:rFonts w:ascii="Arial Narrow" w:eastAsia="MS Gothic" w:hAnsi="Arial Narrow" w:cs="Times New Roman"/>
                <w:bCs/>
                <w:sz w:val="20"/>
                <w:szCs w:val="24"/>
                <w:lang w:eastAsia="en-AU"/>
              </w:rPr>
              <w:t>Population</w:t>
            </w:r>
          </w:p>
        </w:tc>
        <w:tc>
          <w:tcPr>
            <w:tcW w:w="4295" w:type="pct"/>
            <w:shd w:val="clear" w:color="auto" w:fill="auto"/>
          </w:tcPr>
          <w:p w:rsidR="00095E93" w:rsidRPr="00333639" w:rsidRDefault="00095E93" w:rsidP="00095E93">
            <w:pPr>
              <w:keepNext/>
              <w:spacing w:before="0" w:after="0"/>
              <w:jc w:val="left"/>
              <w:rPr>
                <w:rFonts w:ascii="Arial Narrow" w:eastAsia="MS Gothic" w:hAnsi="Arial Narrow" w:cs="Times New Roman"/>
                <w:bCs/>
                <w:sz w:val="20"/>
                <w:szCs w:val="20"/>
                <w:lang w:eastAsia="en-AU"/>
              </w:rPr>
            </w:pPr>
            <w:r w:rsidRPr="00333639">
              <w:rPr>
                <w:rFonts w:ascii="Arial Narrow" w:eastAsia="MS Gothic" w:hAnsi="Arial Narrow" w:cs="Times New Roman"/>
                <w:bCs/>
                <w:sz w:val="20"/>
                <w:szCs w:val="20"/>
                <w:lang w:eastAsia="en-AU"/>
              </w:rPr>
              <w:t>Patients with unresectable locally advanced or metastatic TNBC that has not been previously treated in the unresectable locally advanced or metastatic setting and who are PD-L1 positive on tumour-infilt</w:t>
            </w:r>
            <w:r w:rsidR="00C10118">
              <w:rPr>
                <w:rFonts w:ascii="Arial Narrow" w:eastAsia="MS Gothic" w:hAnsi="Arial Narrow" w:cs="Times New Roman"/>
                <w:bCs/>
                <w:sz w:val="20"/>
                <w:szCs w:val="20"/>
                <w:lang w:eastAsia="en-AU"/>
              </w:rPr>
              <w:t>rating immune cells (≥1% on IC)</w:t>
            </w:r>
          </w:p>
        </w:tc>
      </w:tr>
      <w:tr w:rsidR="00095E93" w:rsidRPr="00333639" w:rsidTr="00C10118">
        <w:trPr>
          <w:cantSplit/>
        </w:trPr>
        <w:tc>
          <w:tcPr>
            <w:tcW w:w="705" w:type="pct"/>
            <w:shd w:val="clear" w:color="auto" w:fill="auto"/>
          </w:tcPr>
          <w:p w:rsidR="00095E93" w:rsidRPr="00333639" w:rsidRDefault="00095E93" w:rsidP="00095E93">
            <w:pPr>
              <w:keepNext/>
              <w:spacing w:before="0" w:after="0"/>
              <w:jc w:val="left"/>
              <w:rPr>
                <w:rFonts w:ascii="Arial Narrow" w:eastAsia="MS Gothic" w:hAnsi="Arial Narrow" w:cs="Times New Roman"/>
                <w:bCs/>
                <w:sz w:val="20"/>
                <w:szCs w:val="24"/>
                <w:lang w:eastAsia="en-AU"/>
              </w:rPr>
            </w:pPr>
            <w:r w:rsidRPr="00333639">
              <w:rPr>
                <w:rFonts w:ascii="Arial Narrow" w:eastAsia="MS Gothic" w:hAnsi="Arial Narrow" w:cs="Times New Roman"/>
                <w:bCs/>
                <w:sz w:val="20"/>
                <w:szCs w:val="24"/>
                <w:lang w:eastAsia="en-AU"/>
              </w:rPr>
              <w:t>Intervention</w:t>
            </w:r>
          </w:p>
        </w:tc>
        <w:tc>
          <w:tcPr>
            <w:tcW w:w="4295" w:type="pct"/>
            <w:shd w:val="clear" w:color="auto" w:fill="auto"/>
          </w:tcPr>
          <w:p w:rsidR="00095E93" w:rsidRPr="00333639" w:rsidRDefault="00095E93" w:rsidP="00095E93">
            <w:pPr>
              <w:keepNext/>
              <w:spacing w:before="0" w:after="0"/>
              <w:jc w:val="left"/>
              <w:rPr>
                <w:rFonts w:ascii="Arial Narrow" w:eastAsia="MS Gothic" w:hAnsi="Arial Narrow" w:cs="Times New Roman"/>
                <w:bCs/>
                <w:sz w:val="20"/>
                <w:szCs w:val="24"/>
                <w:lang w:eastAsia="en-AU"/>
              </w:rPr>
            </w:pPr>
            <w:r w:rsidRPr="00333639">
              <w:rPr>
                <w:rFonts w:ascii="Arial Narrow" w:eastAsia="MS Gothic" w:hAnsi="Arial Narrow" w:cs="Times New Roman"/>
                <w:bCs/>
                <w:sz w:val="20"/>
                <w:szCs w:val="24"/>
                <w:lang w:eastAsia="en-AU"/>
              </w:rPr>
              <w:t>Test:</w:t>
            </w:r>
            <w:r w:rsidR="002F5CA5">
              <w:rPr>
                <w:rFonts w:ascii="Arial Narrow" w:eastAsia="MS Gothic" w:hAnsi="Arial Narrow" w:cs="Times New Roman"/>
                <w:bCs/>
                <w:sz w:val="20"/>
                <w:szCs w:val="24"/>
                <w:lang w:eastAsia="en-AU"/>
              </w:rPr>
              <w:t xml:space="preserve"> IHC testing of PD-L1 on tumour-</w:t>
            </w:r>
            <w:r w:rsidRPr="00333639">
              <w:rPr>
                <w:rFonts w:ascii="Arial Narrow" w:eastAsia="MS Gothic" w:hAnsi="Arial Narrow" w:cs="Times New Roman"/>
                <w:bCs/>
                <w:sz w:val="20"/>
                <w:szCs w:val="24"/>
                <w:lang w:eastAsia="en-AU"/>
              </w:rPr>
              <w:t>infiltrating immune cells</w:t>
            </w:r>
          </w:p>
          <w:p w:rsidR="00095E93" w:rsidRPr="00333639" w:rsidRDefault="00095E93" w:rsidP="00095E93">
            <w:pPr>
              <w:keepNext/>
              <w:spacing w:before="0" w:after="0"/>
              <w:jc w:val="left"/>
              <w:rPr>
                <w:rFonts w:ascii="Arial Narrow" w:eastAsia="MS Gothic" w:hAnsi="Arial Narrow" w:cs="Times New Roman"/>
                <w:bCs/>
                <w:sz w:val="20"/>
                <w:szCs w:val="24"/>
                <w:lang w:eastAsia="en-AU"/>
              </w:rPr>
            </w:pPr>
            <w:r w:rsidRPr="00333639">
              <w:rPr>
                <w:rFonts w:ascii="Arial Narrow" w:eastAsia="MS Gothic" w:hAnsi="Arial Narrow" w:cs="Times New Roman"/>
                <w:bCs/>
                <w:sz w:val="20"/>
                <w:szCs w:val="24"/>
                <w:lang w:eastAsia="en-AU"/>
              </w:rPr>
              <w:t>Medicine: Atezolizumab in combination with taxane chemotherapy</w:t>
            </w:r>
          </w:p>
        </w:tc>
      </w:tr>
      <w:tr w:rsidR="00095E93" w:rsidRPr="00333639" w:rsidTr="00C10118">
        <w:trPr>
          <w:cantSplit/>
        </w:trPr>
        <w:tc>
          <w:tcPr>
            <w:tcW w:w="705" w:type="pct"/>
            <w:shd w:val="clear" w:color="auto" w:fill="auto"/>
          </w:tcPr>
          <w:p w:rsidR="00095E93" w:rsidRPr="00333639" w:rsidRDefault="00095E93" w:rsidP="00095E93">
            <w:pPr>
              <w:keepNext/>
              <w:spacing w:before="0" w:after="0"/>
              <w:jc w:val="left"/>
              <w:rPr>
                <w:rFonts w:ascii="Arial Narrow" w:eastAsia="MS Gothic" w:hAnsi="Arial Narrow" w:cs="Times New Roman"/>
                <w:bCs/>
                <w:sz w:val="20"/>
                <w:szCs w:val="24"/>
                <w:lang w:eastAsia="en-AU"/>
              </w:rPr>
            </w:pPr>
            <w:r w:rsidRPr="00333639">
              <w:rPr>
                <w:rFonts w:ascii="Arial Narrow" w:eastAsia="MS Gothic" w:hAnsi="Arial Narrow" w:cs="Times New Roman"/>
                <w:bCs/>
                <w:sz w:val="20"/>
                <w:szCs w:val="24"/>
                <w:lang w:eastAsia="en-AU"/>
              </w:rPr>
              <w:t>Comparator</w:t>
            </w:r>
          </w:p>
        </w:tc>
        <w:tc>
          <w:tcPr>
            <w:tcW w:w="4295" w:type="pct"/>
            <w:shd w:val="clear" w:color="auto" w:fill="auto"/>
          </w:tcPr>
          <w:p w:rsidR="00095E93" w:rsidRPr="00333639" w:rsidRDefault="00095E93" w:rsidP="00095E93">
            <w:pPr>
              <w:keepNext/>
              <w:spacing w:before="0" w:after="0"/>
              <w:jc w:val="left"/>
              <w:rPr>
                <w:rFonts w:ascii="Arial Narrow" w:eastAsia="MS Gothic" w:hAnsi="Arial Narrow" w:cs="Times New Roman"/>
                <w:bCs/>
                <w:sz w:val="20"/>
                <w:szCs w:val="24"/>
                <w:lang w:eastAsia="en-AU"/>
              </w:rPr>
            </w:pPr>
            <w:r w:rsidRPr="00333639">
              <w:rPr>
                <w:rFonts w:ascii="Arial Narrow" w:eastAsia="MS Gothic" w:hAnsi="Arial Narrow" w:cs="Times New Roman"/>
                <w:bCs/>
                <w:sz w:val="20"/>
                <w:szCs w:val="24"/>
                <w:lang w:eastAsia="en-AU"/>
              </w:rPr>
              <w:t>No test and treatment with nab-P</w:t>
            </w:r>
          </w:p>
        </w:tc>
      </w:tr>
      <w:tr w:rsidR="00095E93" w:rsidRPr="00333639" w:rsidTr="00C10118">
        <w:trPr>
          <w:cantSplit/>
        </w:trPr>
        <w:tc>
          <w:tcPr>
            <w:tcW w:w="705" w:type="pct"/>
            <w:shd w:val="clear" w:color="auto" w:fill="auto"/>
          </w:tcPr>
          <w:p w:rsidR="00095E93" w:rsidRPr="00333639" w:rsidRDefault="00095E93" w:rsidP="00095E93">
            <w:pPr>
              <w:keepNext/>
              <w:spacing w:before="0" w:after="0"/>
              <w:jc w:val="left"/>
              <w:rPr>
                <w:rFonts w:ascii="Arial Narrow" w:eastAsia="MS Gothic" w:hAnsi="Arial Narrow" w:cs="Times New Roman"/>
                <w:bCs/>
                <w:sz w:val="20"/>
                <w:szCs w:val="24"/>
                <w:lang w:eastAsia="en-AU"/>
              </w:rPr>
            </w:pPr>
            <w:r w:rsidRPr="00333639">
              <w:rPr>
                <w:rFonts w:ascii="Arial Narrow" w:eastAsia="MS Gothic" w:hAnsi="Arial Narrow" w:cs="Times New Roman"/>
                <w:bCs/>
                <w:sz w:val="20"/>
                <w:szCs w:val="24"/>
                <w:lang w:eastAsia="en-AU"/>
              </w:rPr>
              <w:t>Outcomes</w:t>
            </w:r>
          </w:p>
        </w:tc>
        <w:tc>
          <w:tcPr>
            <w:tcW w:w="4295" w:type="pct"/>
            <w:shd w:val="clear" w:color="auto" w:fill="auto"/>
          </w:tcPr>
          <w:p w:rsidR="00095E93" w:rsidRPr="00333639" w:rsidRDefault="00095E93" w:rsidP="00095E93">
            <w:pPr>
              <w:keepNext/>
              <w:spacing w:before="0" w:after="0"/>
              <w:jc w:val="left"/>
              <w:rPr>
                <w:rFonts w:ascii="Arial Narrow" w:eastAsia="MS Gothic" w:hAnsi="Arial Narrow" w:cs="Times New Roman"/>
                <w:bCs/>
                <w:sz w:val="20"/>
                <w:szCs w:val="24"/>
                <w:lang w:eastAsia="en-AU"/>
              </w:rPr>
            </w:pPr>
            <w:r w:rsidRPr="00333639">
              <w:rPr>
                <w:rFonts w:ascii="Arial Narrow" w:eastAsia="MS Gothic" w:hAnsi="Arial Narrow" w:cs="Times New Roman"/>
                <w:bCs/>
                <w:sz w:val="20"/>
                <w:szCs w:val="24"/>
                <w:lang w:eastAsia="en-AU"/>
              </w:rPr>
              <w:t>Overall survival</w:t>
            </w:r>
          </w:p>
          <w:p w:rsidR="00095E93" w:rsidRPr="00333639" w:rsidRDefault="00095E93" w:rsidP="00095E93">
            <w:pPr>
              <w:keepNext/>
              <w:spacing w:before="0" w:after="0"/>
              <w:jc w:val="left"/>
              <w:rPr>
                <w:rFonts w:ascii="Arial Narrow" w:eastAsia="MS Gothic" w:hAnsi="Arial Narrow" w:cs="Times New Roman"/>
                <w:bCs/>
                <w:sz w:val="20"/>
                <w:szCs w:val="24"/>
                <w:lang w:eastAsia="en-AU"/>
              </w:rPr>
            </w:pPr>
            <w:r w:rsidRPr="00333639">
              <w:rPr>
                <w:rFonts w:ascii="Arial Narrow" w:eastAsia="MS Gothic" w:hAnsi="Arial Narrow" w:cs="Times New Roman"/>
                <w:bCs/>
                <w:sz w:val="20"/>
                <w:szCs w:val="24"/>
                <w:lang w:eastAsia="en-AU"/>
              </w:rPr>
              <w:t>Progression-free survival</w:t>
            </w:r>
          </w:p>
          <w:p w:rsidR="00095E93" w:rsidRPr="00333639" w:rsidRDefault="00095E93" w:rsidP="00095E93">
            <w:pPr>
              <w:keepNext/>
              <w:spacing w:before="0" w:after="0"/>
              <w:jc w:val="left"/>
              <w:rPr>
                <w:rFonts w:ascii="Arial Narrow" w:eastAsia="MS Gothic" w:hAnsi="Arial Narrow" w:cs="Times New Roman"/>
                <w:bCs/>
                <w:sz w:val="20"/>
                <w:szCs w:val="24"/>
                <w:lang w:eastAsia="en-AU"/>
              </w:rPr>
            </w:pPr>
            <w:r w:rsidRPr="00333639">
              <w:rPr>
                <w:rFonts w:ascii="Arial Narrow" w:eastAsia="MS Gothic" w:hAnsi="Arial Narrow" w:cs="Times New Roman"/>
                <w:bCs/>
                <w:sz w:val="20"/>
                <w:szCs w:val="24"/>
                <w:lang w:eastAsia="en-AU"/>
              </w:rPr>
              <w:t>Safety</w:t>
            </w:r>
          </w:p>
          <w:p w:rsidR="00095E93" w:rsidRPr="00333639" w:rsidRDefault="00095E93" w:rsidP="00C10118">
            <w:pPr>
              <w:keepNext/>
              <w:spacing w:before="0" w:after="0"/>
              <w:jc w:val="left"/>
              <w:rPr>
                <w:rFonts w:ascii="Arial Narrow" w:eastAsia="Times New Roman" w:hAnsi="Arial Narrow" w:cs="Arial"/>
                <w:snapToGrid w:val="0"/>
                <w:sz w:val="20"/>
                <w:szCs w:val="20"/>
                <w:lang w:eastAsia="en-AU"/>
              </w:rPr>
            </w:pPr>
            <w:r w:rsidRPr="00333639">
              <w:rPr>
                <w:rFonts w:ascii="Arial Narrow" w:eastAsia="MS Gothic" w:hAnsi="Arial Narrow" w:cs="Times New Roman"/>
                <w:bCs/>
                <w:sz w:val="20"/>
                <w:szCs w:val="24"/>
                <w:lang w:eastAsia="en-AU"/>
              </w:rPr>
              <w:t>Quality of life as measured by GHS/HRQoL, EQLQ-C30 and QLQ-BR23 breast module and EQ-5D-5L</w:t>
            </w:r>
          </w:p>
        </w:tc>
      </w:tr>
      <w:tr w:rsidR="00095E93" w:rsidRPr="00333639" w:rsidTr="00C10118">
        <w:trPr>
          <w:cantSplit/>
        </w:trPr>
        <w:tc>
          <w:tcPr>
            <w:tcW w:w="705" w:type="pct"/>
            <w:shd w:val="clear" w:color="auto" w:fill="auto"/>
          </w:tcPr>
          <w:p w:rsidR="00095E93" w:rsidRPr="00333639" w:rsidRDefault="00095E93" w:rsidP="00095E93">
            <w:pPr>
              <w:keepNext/>
              <w:spacing w:before="0" w:after="0"/>
              <w:jc w:val="left"/>
              <w:rPr>
                <w:rFonts w:ascii="Arial Narrow" w:eastAsia="MS Gothic" w:hAnsi="Arial Narrow" w:cs="Times New Roman"/>
                <w:bCs/>
                <w:sz w:val="20"/>
                <w:szCs w:val="24"/>
                <w:lang w:eastAsia="en-AU"/>
              </w:rPr>
            </w:pPr>
            <w:r w:rsidRPr="00333639">
              <w:rPr>
                <w:rFonts w:ascii="Arial Narrow" w:eastAsia="MS Gothic" w:hAnsi="Arial Narrow" w:cs="Times New Roman"/>
                <w:bCs/>
                <w:sz w:val="20"/>
                <w:szCs w:val="24"/>
                <w:lang w:eastAsia="en-AU"/>
              </w:rPr>
              <w:t>Clinical claim</w:t>
            </w:r>
          </w:p>
        </w:tc>
        <w:tc>
          <w:tcPr>
            <w:tcW w:w="4295" w:type="pct"/>
            <w:shd w:val="clear" w:color="auto" w:fill="auto"/>
          </w:tcPr>
          <w:p w:rsidR="00095E93" w:rsidRPr="00EE0A1F" w:rsidRDefault="00095E93" w:rsidP="00095E93">
            <w:pPr>
              <w:keepNext/>
              <w:spacing w:before="0" w:after="0"/>
              <w:jc w:val="left"/>
              <w:rPr>
                <w:rFonts w:ascii="Arial Narrow" w:eastAsia="Times New Roman" w:hAnsi="Arial Narrow" w:cs="Arial"/>
                <w:snapToGrid w:val="0"/>
                <w:color w:val="auto"/>
                <w:sz w:val="20"/>
                <w:szCs w:val="20"/>
                <w:lang w:eastAsia="en-AU"/>
              </w:rPr>
            </w:pPr>
            <w:r w:rsidRPr="00EE0A1F">
              <w:rPr>
                <w:rFonts w:ascii="Arial Narrow" w:eastAsia="MS Gothic" w:hAnsi="Arial Narrow" w:cs="Times New Roman"/>
                <w:bCs/>
                <w:color w:val="auto"/>
                <w:sz w:val="20"/>
                <w:szCs w:val="24"/>
                <w:lang w:eastAsia="en-AU"/>
              </w:rPr>
              <w:t>Atezolizumab in combination with taxane chemotherapy is superior in effectiveness and inferior, but clinically manageable, in safety compared with nab-paclitaxel alone in patients with unresectable locally advanced or m</w:t>
            </w:r>
            <w:r w:rsidR="00EE0A1F" w:rsidRPr="00EE0A1F">
              <w:rPr>
                <w:rFonts w:ascii="Arial Narrow" w:eastAsia="MS Gothic" w:hAnsi="Arial Narrow" w:cs="Times New Roman"/>
                <w:bCs/>
                <w:color w:val="auto"/>
                <w:sz w:val="20"/>
                <w:szCs w:val="24"/>
                <w:lang w:eastAsia="en-AU"/>
              </w:rPr>
              <w:t xml:space="preserve">etastatic </w:t>
            </w:r>
            <w:r w:rsidRPr="00EE0A1F">
              <w:rPr>
                <w:rFonts w:ascii="Arial Narrow" w:eastAsia="MS Gothic" w:hAnsi="Arial Narrow" w:cs="Times New Roman"/>
                <w:bCs/>
                <w:color w:val="auto"/>
                <w:sz w:val="20"/>
                <w:szCs w:val="24"/>
                <w:lang w:eastAsia="en-AU"/>
              </w:rPr>
              <w:t>TNBC who have not received prior treatment for metastatic disease and who are PD-L1-positive (PD-L1 stained IC c</w:t>
            </w:r>
            <w:r w:rsidR="00C10118">
              <w:rPr>
                <w:rFonts w:ascii="Arial Narrow" w:eastAsia="MS Gothic" w:hAnsi="Arial Narrow" w:cs="Times New Roman"/>
                <w:bCs/>
                <w:color w:val="auto"/>
                <w:sz w:val="20"/>
                <w:szCs w:val="24"/>
                <w:lang w:eastAsia="en-AU"/>
              </w:rPr>
              <w:t>overing ≥1% of the tumour area)</w:t>
            </w:r>
          </w:p>
        </w:tc>
      </w:tr>
    </w:tbl>
    <w:p w:rsidR="00D52417" w:rsidRDefault="00D4434E" w:rsidP="00D52417">
      <w:pPr>
        <w:pStyle w:val="TableFooter"/>
      </w:pPr>
      <w:r>
        <w:t>TNBC = triple-</w:t>
      </w:r>
      <w:r w:rsidR="00095E93" w:rsidRPr="00333639">
        <w:t>negative breast cancer; PD-L1 = programmed death-ligand 1; IC = tumour</w:t>
      </w:r>
      <w:r w:rsidR="00095E93" w:rsidRPr="00333639">
        <w:noBreakHyphen/>
        <w:t>infiltrating immune cells;</w:t>
      </w:r>
      <w:r w:rsidR="00C10118">
        <w:t xml:space="preserve"> </w:t>
      </w:r>
      <w:r w:rsidR="00095E93" w:rsidRPr="00333639">
        <w:t>IHC = immunohistochemistry; nab-P = nanoparticle albumin bound paclitaxel; EQLQ-C3</w:t>
      </w:r>
      <w:r w:rsidR="00C10118">
        <w:t>0</w:t>
      </w:r>
      <w:r w:rsidR="00095E93" w:rsidRPr="00333639">
        <w:t xml:space="preserve"> = European Organisation for Research and Treatment of Cancer Quality of Life Questionnaire Core 30; EQ-5D-5L = European Quality of Life 5 Dimension 5 Level; GHS/HRQoL= global health status/health related quality of life; QLQ = quality of life questionnaire.</w:t>
      </w:r>
    </w:p>
    <w:p w:rsidR="00D52417" w:rsidRPr="00333639" w:rsidRDefault="00D52417" w:rsidP="00D52417">
      <w:pPr>
        <w:pStyle w:val="TableFooter"/>
      </w:pPr>
      <w:r w:rsidRPr="00333639">
        <w:t xml:space="preserve">Source: Table 1.1.1, p 21 of the </w:t>
      </w:r>
      <w:r w:rsidRPr="008D006C">
        <w:t>MSAC_PBAC Combined Submission</w:t>
      </w:r>
      <w:r w:rsidRPr="00333639">
        <w:t>.</w:t>
      </w:r>
    </w:p>
    <w:p w:rsidR="002B2F61" w:rsidRPr="00C339CC" w:rsidRDefault="002B2F61" w:rsidP="002B2F61">
      <w:pPr>
        <w:pStyle w:val="PBACESHeading1"/>
        <w:numPr>
          <w:ilvl w:val="0"/>
          <w:numId w:val="1"/>
        </w:numPr>
      </w:pPr>
      <w:bookmarkStart w:id="5" w:name="_Toc30411825"/>
      <w:r w:rsidRPr="00C339CC">
        <w:t>Background</w:t>
      </w:r>
      <w:bookmarkEnd w:id="5"/>
    </w:p>
    <w:p w:rsidR="002B2F61" w:rsidRPr="00434533" w:rsidRDefault="002B2F61" w:rsidP="00434533">
      <w:pPr>
        <w:pStyle w:val="PBACESHeading2"/>
      </w:pPr>
      <w:bookmarkStart w:id="6" w:name="_Toc30411826"/>
      <w:r w:rsidRPr="00434533">
        <w:t>Registration status</w:t>
      </w:r>
      <w:bookmarkEnd w:id="6"/>
    </w:p>
    <w:p w:rsidR="00F64E57" w:rsidRDefault="002B2F61" w:rsidP="00661215">
      <w:pPr>
        <w:pStyle w:val="ListParagraph"/>
      </w:pPr>
      <w:r w:rsidRPr="00333639">
        <w:t xml:space="preserve">Atezolizumab received a two-year provisional TGA registration in October 2019 for the following indication: </w:t>
      </w:r>
      <w:r w:rsidR="00661215">
        <w:rPr>
          <w:color w:val="auto"/>
        </w:rPr>
        <w:t>‘</w:t>
      </w:r>
      <w:r w:rsidR="00661215" w:rsidRPr="00661215">
        <w:rPr>
          <w:color w:val="auto"/>
        </w:rPr>
        <w:t xml:space="preserve">atezolizumab in combination with paclitaxel protein-bound, is </w:t>
      </w:r>
      <w:r w:rsidR="00661215" w:rsidRPr="00661215">
        <w:rPr>
          <w:color w:val="auto"/>
        </w:rPr>
        <w:lastRenderedPageBreak/>
        <w:t xml:space="preserve">indicated for the treatment of adult patients with unresectable locally advanced or metastatic TNBC whose tumours express PD-L1 (PD-L1 stained </w:t>
      </w:r>
      <w:r w:rsidR="00051615" w:rsidRPr="00661215">
        <w:rPr>
          <w:color w:val="auto"/>
        </w:rPr>
        <w:t>tumour</w:t>
      </w:r>
      <w:r w:rsidR="00661215" w:rsidRPr="00661215">
        <w:rPr>
          <w:color w:val="auto"/>
        </w:rPr>
        <w:t>-infiltrating immune cells [IC] of any intensity covering ≥ 1% of the tumour), as determined by a validated test and who have not received prior chemotherapy for metastatic disease. This indication is approved under provisional approval based on progression free survival. Continued approval for this indication depends on verification and description of clinical benefit in a confirmatory trial(s).</w:t>
      </w:r>
      <w:r w:rsidR="00661215">
        <w:rPr>
          <w:color w:val="auto"/>
        </w:rPr>
        <w:t>’</w:t>
      </w:r>
    </w:p>
    <w:p w:rsidR="00661215" w:rsidRPr="008F6F21" w:rsidRDefault="00AF116B" w:rsidP="00661215">
      <w:pPr>
        <w:pStyle w:val="ListParagraph"/>
        <w:numPr>
          <w:ilvl w:val="4"/>
          <w:numId w:val="1"/>
        </w:numPr>
      </w:pPr>
      <w:r>
        <w:t>The TGA Delegate’s Overview</w:t>
      </w:r>
      <w:r w:rsidR="00661215" w:rsidRPr="008F6F21">
        <w:t xml:space="preserve"> stated: ‘The efficacy results are promising, but not definitive. They support provisional/accelerated approval, but not standard approval. The sponsor will be required to submit confirmatory data: more mature data from IMpassion130 (especially OS data) and data from the IMpassion131 trial.’</w:t>
      </w:r>
    </w:p>
    <w:p w:rsidR="004E7CB1" w:rsidRDefault="004E7CB1" w:rsidP="00661215">
      <w:pPr>
        <w:pStyle w:val="ListParagraph"/>
      </w:pPr>
      <w:r w:rsidRPr="006D388C">
        <w:t>Th</w:t>
      </w:r>
      <w:r w:rsidR="00661215">
        <w:t>e provisional</w:t>
      </w:r>
      <w:r w:rsidRPr="006D388C">
        <w:t xml:space="preserve"> approval was based on</w:t>
      </w:r>
      <w:r w:rsidR="003357D6" w:rsidRPr="006D388C">
        <w:t xml:space="preserve"> </w:t>
      </w:r>
      <w:r w:rsidRPr="006D388C">
        <w:t>IMpassion130 data from the 17 A</w:t>
      </w:r>
      <w:r w:rsidR="00F63471" w:rsidRPr="006D388C">
        <w:t>pril 2018 data cut</w:t>
      </w:r>
      <w:r w:rsidR="007E5636">
        <w:t>-off</w:t>
      </w:r>
      <w:r w:rsidR="00E55D6E" w:rsidRPr="006D388C">
        <w:t xml:space="preserve"> (</w:t>
      </w:r>
      <w:r w:rsidR="00661215">
        <w:t xml:space="preserve">while </w:t>
      </w:r>
      <w:r w:rsidR="00E55D6E" w:rsidRPr="006D388C">
        <w:t xml:space="preserve">the current submission has provided </w:t>
      </w:r>
      <w:r w:rsidR="00876886" w:rsidRPr="006D388C">
        <w:t>data</w:t>
      </w:r>
      <w:r w:rsidR="00E55D6E" w:rsidRPr="006D388C">
        <w:t xml:space="preserve"> from the second interim analysis data</w:t>
      </w:r>
      <w:r w:rsidR="00B06DCF">
        <w:t xml:space="preserve"> </w:t>
      </w:r>
      <w:r w:rsidR="00E55D6E" w:rsidRPr="006D388C">
        <w:t>cut</w:t>
      </w:r>
      <w:r w:rsidR="007E5636">
        <w:t>-off</w:t>
      </w:r>
      <w:r w:rsidR="00E55D6E" w:rsidRPr="006D388C">
        <w:t xml:space="preserve"> of 2 January 2019)</w:t>
      </w:r>
      <w:r w:rsidR="00811B75" w:rsidRPr="006D388C">
        <w:t>.</w:t>
      </w:r>
      <w:r w:rsidR="00F64E57" w:rsidRPr="006D388C">
        <w:t xml:space="preserve"> The </w:t>
      </w:r>
      <w:r w:rsidR="00AF116B">
        <w:rPr>
          <w:color w:val="auto"/>
        </w:rPr>
        <w:t>Delegate’s Overview</w:t>
      </w:r>
      <w:r w:rsidR="00661215" w:rsidRPr="00661215">
        <w:rPr>
          <w:color w:val="auto"/>
        </w:rPr>
        <w:t xml:space="preserve"> stated ‘there is </w:t>
      </w:r>
      <w:r w:rsidR="00F64E57" w:rsidRPr="006D388C">
        <w:t>a large amount of uncertainty in the evidence</w:t>
      </w:r>
      <w:r w:rsidR="00661215">
        <w:t xml:space="preserve"> </w:t>
      </w:r>
      <w:r w:rsidR="00661215" w:rsidRPr="00661215">
        <w:t>for this application. The main uncertainty relates to the limited supportive OS data in the ITT population, which impacts on the analysis of the PD-L1 subgroup, on which the proposed indication is based’. The Delegate noted that</w:t>
      </w:r>
      <w:r w:rsidR="00F64E57" w:rsidRPr="006D388C">
        <w:t xml:space="preserve"> the </w:t>
      </w:r>
      <w:r w:rsidR="00661215">
        <w:t xml:space="preserve">available </w:t>
      </w:r>
      <w:r w:rsidR="00F64E57" w:rsidRPr="006D388C">
        <w:t>OS</w:t>
      </w:r>
      <w:r w:rsidR="00C83658" w:rsidRPr="006D388C">
        <w:t xml:space="preserve"> data were immature, and </w:t>
      </w:r>
      <w:r w:rsidR="00661215">
        <w:t xml:space="preserve">the </w:t>
      </w:r>
      <w:r w:rsidR="00C83658" w:rsidRPr="006D388C">
        <w:t xml:space="preserve">PFS data were </w:t>
      </w:r>
      <w:r w:rsidR="00661215">
        <w:t>‘</w:t>
      </w:r>
      <w:r w:rsidR="00C83658" w:rsidRPr="006D388C">
        <w:t>promising but not definitive</w:t>
      </w:r>
      <w:r w:rsidR="00661215">
        <w:t>’</w:t>
      </w:r>
      <w:r w:rsidR="00C83658" w:rsidRPr="006D388C">
        <w:t xml:space="preserve">. In addition, the proportion of </w:t>
      </w:r>
      <w:r w:rsidR="00C83658" w:rsidRPr="00172239">
        <w:rPr>
          <w:i/>
        </w:rPr>
        <w:t>de novo</w:t>
      </w:r>
      <w:r w:rsidR="00C83658" w:rsidRPr="006D388C">
        <w:t xml:space="preserve"> m</w:t>
      </w:r>
      <w:r w:rsidR="00EE0A1F">
        <w:t xml:space="preserve">etastatic </w:t>
      </w:r>
      <w:r w:rsidR="00C83658" w:rsidRPr="006D388C">
        <w:t xml:space="preserve">TNBC in IMpassion130 was </w:t>
      </w:r>
      <w:r w:rsidR="00661215">
        <w:t>considered</w:t>
      </w:r>
      <w:r w:rsidR="00661215" w:rsidRPr="006D388C">
        <w:t xml:space="preserve"> </w:t>
      </w:r>
      <w:r w:rsidR="00C83658" w:rsidRPr="006D388C">
        <w:t xml:space="preserve">to be high compared </w:t>
      </w:r>
      <w:r w:rsidR="00661215">
        <w:t>with</w:t>
      </w:r>
      <w:r w:rsidR="00C83658" w:rsidRPr="006D388C">
        <w:t xml:space="preserve"> the expected Australian proportion of </w:t>
      </w:r>
      <w:r w:rsidR="00661215">
        <w:t xml:space="preserve">approximately </w:t>
      </w:r>
      <w:r w:rsidR="00C83658" w:rsidRPr="006D388C">
        <w:t>10%</w:t>
      </w:r>
      <w:r w:rsidR="00D26F27">
        <w:t>,</w:t>
      </w:r>
      <w:r w:rsidR="00C83658" w:rsidRPr="006D388C">
        <w:t xml:space="preserve"> </w:t>
      </w:r>
      <w:r w:rsidR="00661215" w:rsidRPr="00661215">
        <w:t xml:space="preserve">which the Delegate considered to be relevant </w:t>
      </w:r>
      <w:r w:rsidR="00C83658" w:rsidRPr="006D388C">
        <w:t>as patients who had prior (neo)adjuvant treatment may be less likely to respond to immune therapy than patients who have had no prior treatment.</w:t>
      </w:r>
      <w:r w:rsidR="00730546" w:rsidRPr="006D388C">
        <w:t xml:space="preserve"> There was also uncertainty regarding the possible effect of anti-drug antibodies, and the safety profile</w:t>
      </w:r>
      <w:r w:rsidR="008C19DB" w:rsidRPr="006D388C">
        <w:t xml:space="preserve">, both </w:t>
      </w:r>
      <w:r w:rsidR="00D26F27">
        <w:t xml:space="preserve">of </w:t>
      </w:r>
      <w:r w:rsidR="008C19DB" w:rsidRPr="006D388C">
        <w:t>which</w:t>
      </w:r>
      <w:r w:rsidR="005351E4" w:rsidRPr="006D388C">
        <w:t xml:space="preserve"> the TGA will need additional data for analysis</w:t>
      </w:r>
      <w:r w:rsidR="008C19DB" w:rsidRPr="006D388C">
        <w:t>.</w:t>
      </w:r>
    </w:p>
    <w:p w:rsidR="00661215" w:rsidRPr="008F6F21" w:rsidRDefault="00661215" w:rsidP="00661215">
      <w:pPr>
        <w:pStyle w:val="ListParagraph"/>
      </w:pPr>
      <w:r w:rsidRPr="008F6F21">
        <w:t>The atezol</w:t>
      </w:r>
      <w:r w:rsidR="00AF116B">
        <w:t>izumab TGA approval letter</w:t>
      </w:r>
      <w:r w:rsidRPr="008F6F21">
        <w:t xml:space="preserve"> states that as part of the provisional registration, the following study reports should be submitted to the TGA:</w:t>
      </w:r>
    </w:p>
    <w:p w:rsidR="00661215" w:rsidRPr="008F6F21" w:rsidRDefault="00661215" w:rsidP="00EF5451">
      <w:pPr>
        <w:pStyle w:val="Bulletpoints"/>
        <w:ind w:left="1077" w:hanging="357"/>
      </w:pPr>
      <w:r w:rsidRPr="008F6F21">
        <w:t>IMpassion130 (expected to be available Q4 2020); and</w:t>
      </w:r>
    </w:p>
    <w:p w:rsidR="00661215" w:rsidRPr="008F6F21" w:rsidRDefault="00661215" w:rsidP="00EF5451">
      <w:pPr>
        <w:pStyle w:val="Bulletpoints"/>
        <w:ind w:left="1077" w:hanging="357"/>
      </w:pPr>
      <w:r w:rsidRPr="008F6F21">
        <w:t>IMpassion131 (expected to be available Q2 2020)</w:t>
      </w:r>
      <w:r w:rsidR="00B06DCF" w:rsidRPr="008F6F21">
        <w:t>.</w:t>
      </w:r>
    </w:p>
    <w:p w:rsidR="00661215" w:rsidRPr="00DD0EBF" w:rsidRDefault="00661215" w:rsidP="00661215">
      <w:pPr>
        <w:pStyle w:val="ListParagraph"/>
      </w:pPr>
      <w:r w:rsidRPr="008F6F21">
        <w:t>IMpassion131 is a phase 3, randomised controlled trial of atezolizumab plus paclitaxel compared with placebo plus paclitaxel for patients with previously untreated unresectable locally advanced or m</w:t>
      </w:r>
      <w:r w:rsidR="00B06DCF" w:rsidRPr="008F6F21">
        <w:t xml:space="preserve">etastatic </w:t>
      </w:r>
      <w:r w:rsidRPr="008F6F21">
        <w:t>TNBC. The D</w:t>
      </w:r>
      <w:r w:rsidR="00AF116B">
        <w:t>elegate’s Overview</w:t>
      </w:r>
      <w:r w:rsidRPr="008F6F21">
        <w:t xml:space="preserve"> stated that the study design (including the inclusion criteria) appears </w:t>
      </w:r>
      <w:r w:rsidRPr="00DD0EBF">
        <w:t>similar to IMpassion130 overall but that paclitaxel will be used instead of nab-paclitaxel. The IMpassion131 clinical cut-off date for the final PFS analysis and interim OS analysis is estimated to be reached by Q1 2020 with results expected to be available in Q2 2020.</w:t>
      </w:r>
    </w:p>
    <w:p w:rsidR="00434533" w:rsidRPr="00434533" w:rsidRDefault="00434533" w:rsidP="00434533">
      <w:pPr>
        <w:pStyle w:val="ListParagraph"/>
        <w:numPr>
          <w:ilvl w:val="0"/>
          <w:numId w:val="0"/>
        </w:numPr>
        <w:ind w:left="709"/>
        <w:rPr>
          <w:i/>
        </w:rPr>
      </w:pPr>
      <w:r w:rsidRPr="00525B39">
        <w:rPr>
          <w:i/>
        </w:rPr>
        <w:t>For more detail on PBAC’s view, see section 7 PBAC outcome.</w:t>
      </w:r>
    </w:p>
    <w:p w:rsidR="00095E93" w:rsidRDefault="00095E93" w:rsidP="00095E93">
      <w:pPr>
        <w:pStyle w:val="PBACESHeading1"/>
        <w:numPr>
          <w:ilvl w:val="0"/>
          <w:numId w:val="1"/>
        </w:numPr>
      </w:pPr>
      <w:bookmarkStart w:id="7" w:name="_Toc413139272"/>
      <w:bookmarkStart w:id="8" w:name="_Toc497226178"/>
      <w:bookmarkStart w:id="9" w:name="_Toc30411827"/>
      <w:r w:rsidRPr="006D388C">
        <w:lastRenderedPageBreak/>
        <w:t>Requested listing</w:t>
      </w:r>
      <w:bookmarkEnd w:id="7"/>
      <w:bookmarkEnd w:id="8"/>
      <w:bookmarkEnd w:id="9"/>
    </w:p>
    <w:p w:rsidR="001F7E51" w:rsidRPr="001F7E51" w:rsidRDefault="00D26F27" w:rsidP="001F7E51">
      <w:pPr>
        <w:pStyle w:val="ListParagraph"/>
      </w:pPr>
      <w:r>
        <w:rPr>
          <w:lang w:val="en-US"/>
        </w:rPr>
        <w:t xml:space="preserve">The requested listing is presented below. </w:t>
      </w:r>
      <w:r w:rsidR="001F7E51" w:rsidRPr="0096567E">
        <w:rPr>
          <w:lang w:val="en-US"/>
        </w:rPr>
        <w:t>Suggestions</w:t>
      </w:r>
      <w:r w:rsidR="001F7E51" w:rsidRPr="0096567E">
        <w:t xml:space="preserve"> and additions proposed by the Secretariat are added in italics and suggested deletions are crossed out with strikethrough.</w:t>
      </w:r>
    </w:p>
    <w:tbl>
      <w:tblPr>
        <w:tblW w:w="5023" w:type="pct"/>
        <w:tblInd w:w="5" w:type="dxa"/>
        <w:tblLayout w:type="fixed"/>
        <w:tblCellMar>
          <w:left w:w="28" w:type="dxa"/>
          <w:right w:w="28" w:type="dxa"/>
        </w:tblCellMar>
        <w:tblLook w:val="0000" w:firstRow="0" w:lastRow="0" w:firstColumn="0" w:lastColumn="0" w:noHBand="0" w:noVBand="0"/>
      </w:tblPr>
      <w:tblGrid>
        <w:gridCol w:w="21"/>
        <w:gridCol w:w="1528"/>
        <w:gridCol w:w="1280"/>
        <w:gridCol w:w="1134"/>
        <w:gridCol w:w="1277"/>
        <w:gridCol w:w="1843"/>
        <w:gridCol w:w="1134"/>
        <w:gridCol w:w="800"/>
        <w:gridCol w:w="9"/>
        <w:gridCol w:w="42"/>
      </w:tblGrid>
      <w:tr w:rsidR="00095E93" w:rsidRPr="006D388C" w:rsidTr="00C10118">
        <w:trPr>
          <w:gridBefore w:val="1"/>
          <w:wBefore w:w="12" w:type="pct"/>
          <w:cantSplit/>
          <w:trHeight w:val="463"/>
        </w:trPr>
        <w:tc>
          <w:tcPr>
            <w:tcW w:w="1549" w:type="pct"/>
            <w:gridSpan w:val="2"/>
            <w:tcBorders>
              <w:top w:val="single" w:sz="4" w:space="0" w:color="auto"/>
              <w:bottom w:val="single" w:sz="4" w:space="0" w:color="auto"/>
            </w:tcBorders>
            <w:vAlign w:val="center"/>
          </w:tcPr>
          <w:p w:rsidR="00095E93" w:rsidRPr="006D388C" w:rsidRDefault="00095E93" w:rsidP="00095E93">
            <w:pPr>
              <w:keepNext/>
              <w:spacing w:before="0" w:after="0"/>
              <w:jc w:val="left"/>
              <w:rPr>
                <w:rFonts w:ascii="Arial Narrow" w:eastAsia="Times New Roman" w:hAnsi="Arial Narrow" w:cs="Arial"/>
                <w:b/>
                <w:sz w:val="20"/>
                <w:szCs w:val="24"/>
                <w:lang w:eastAsia="en-AU"/>
              </w:rPr>
            </w:pPr>
            <w:r w:rsidRPr="006D388C">
              <w:rPr>
                <w:rFonts w:ascii="Arial Narrow" w:eastAsia="Times New Roman" w:hAnsi="Arial Narrow" w:cs="Arial"/>
                <w:b/>
                <w:sz w:val="20"/>
                <w:szCs w:val="24"/>
                <w:lang w:eastAsia="en-AU"/>
              </w:rPr>
              <w:t>Name, Restriction,</w:t>
            </w:r>
          </w:p>
          <w:p w:rsidR="00095E93" w:rsidRPr="006D388C" w:rsidRDefault="00095E93" w:rsidP="00095E93">
            <w:pPr>
              <w:keepNext/>
              <w:spacing w:before="0" w:after="0"/>
              <w:jc w:val="left"/>
              <w:rPr>
                <w:rFonts w:ascii="Arial Narrow" w:eastAsia="Times New Roman" w:hAnsi="Arial Narrow" w:cs="Arial"/>
                <w:b/>
                <w:sz w:val="20"/>
                <w:szCs w:val="24"/>
                <w:lang w:eastAsia="en-AU"/>
              </w:rPr>
            </w:pPr>
            <w:r w:rsidRPr="006D388C">
              <w:rPr>
                <w:rFonts w:ascii="Arial Narrow" w:eastAsia="Times New Roman" w:hAnsi="Arial Narrow" w:cs="Arial"/>
                <w:b/>
                <w:sz w:val="20"/>
                <w:szCs w:val="24"/>
                <w:lang w:eastAsia="en-AU"/>
              </w:rPr>
              <w:t>Manner of administration and form</w:t>
            </w:r>
          </w:p>
        </w:tc>
        <w:tc>
          <w:tcPr>
            <w:tcW w:w="625" w:type="pct"/>
            <w:tcBorders>
              <w:top w:val="single" w:sz="4" w:space="0" w:color="auto"/>
              <w:bottom w:val="single" w:sz="4" w:space="0" w:color="auto"/>
            </w:tcBorders>
            <w:vAlign w:val="center"/>
          </w:tcPr>
          <w:p w:rsidR="00095E93" w:rsidRPr="006D388C" w:rsidRDefault="00095E93" w:rsidP="00095E93">
            <w:pPr>
              <w:keepNext/>
              <w:spacing w:before="0" w:after="0"/>
              <w:jc w:val="center"/>
              <w:rPr>
                <w:rFonts w:ascii="Arial Narrow" w:eastAsia="Times New Roman" w:hAnsi="Arial Narrow" w:cs="Arial"/>
                <w:b/>
                <w:sz w:val="20"/>
                <w:szCs w:val="24"/>
                <w:lang w:eastAsia="en-AU"/>
              </w:rPr>
            </w:pPr>
            <w:r w:rsidRPr="006D388C">
              <w:rPr>
                <w:rFonts w:ascii="Arial Narrow" w:eastAsia="Times New Roman" w:hAnsi="Arial Narrow" w:cs="Arial"/>
                <w:b/>
                <w:sz w:val="20"/>
                <w:szCs w:val="24"/>
                <w:lang w:eastAsia="en-AU"/>
              </w:rPr>
              <w:t>Max.</w:t>
            </w:r>
          </w:p>
          <w:p w:rsidR="00095E93" w:rsidRPr="006D388C" w:rsidRDefault="00095E93" w:rsidP="00095E93">
            <w:pPr>
              <w:keepNext/>
              <w:spacing w:before="0" w:after="0"/>
              <w:jc w:val="center"/>
              <w:rPr>
                <w:rFonts w:ascii="Arial Narrow" w:eastAsia="Times New Roman" w:hAnsi="Arial Narrow" w:cs="Arial"/>
                <w:b/>
                <w:sz w:val="20"/>
                <w:szCs w:val="24"/>
                <w:lang w:eastAsia="en-AU"/>
              </w:rPr>
            </w:pPr>
            <w:r w:rsidRPr="006D388C">
              <w:rPr>
                <w:rFonts w:ascii="Arial Narrow" w:eastAsia="Times New Roman" w:hAnsi="Arial Narrow" w:cs="Arial"/>
                <w:b/>
                <w:sz w:val="20"/>
                <w:szCs w:val="24"/>
                <w:lang w:eastAsia="en-AU"/>
              </w:rPr>
              <w:t>Amt</w:t>
            </w:r>
          </w:p>
        </w:tc>
        <w:tc>
          <w:tcPr>
            <w:tcW w:w="704" w:type="pct"/>
            <w:tcBorders>
              <w:top w:val="single" w:sz="4" w:space="0" w:color="auto"/>
              <w:bottom w:val="single" w:sz="4" w:space="0" w:color="auto"/>
            </w:tcBorders>
            <w:vAlign w:val="center"/>
          </w:tcPr>
          <w:p w:rsidR="00095E93" w:rsidRPr="006D388C" w:rsidRDefault="00095E93" w:rsidP="00095E93">
            <w:pPr>
              <w:keepNext/>
              <w:spacing w:before="0" w:after="0"/>
              <w:jc w:val="center"/>
              <w:rPr>
                <w:rFonts w:ascii="Arial Narrow" w:eastAsia="Times New Roman" w:hAnsi="Arial Narrow" w:cs="Arial"/>
                <w:b/>
                <w:sz w:val="20"/>
                <w:szCs w:val="24"/>
                <w:lang w:eastAsia="en-AU"/>
              </w:rPr>
            </w:pPr>
            <w:r w:rsidRPr="006D388C">
              <w:rPr>
                <w:rFonts w:ascii="Arial Narrow" w:eastAsia="Times New Roman" w:hAnsi="Arial Narrow" w:cs="Times New Roman"/>
                <w:b/>
                <w:sz w:val="20"/>
                <w:szCs w:val="24"/>
                <w:lang w:eastAsia="en-AU"/>
              </w:rPr>
              <w:t>№</w:t>
            </w:r>
            <w:r w:rsidRPr="006D388C">
              <w:rPr>
                <w:rFonts w:ascii="Arial Narrow" w:eastAsia="Times New Roman" w:hAnsi="Arial Narrow" w:cs="Arial"/>
                <w:b/>
                <w:sz w:val="20"/>
                <w:szCs w:val="24"/>
                <w:lang w:eastAsia="en-AU"/>
              </w:rPr>
              <w:t>.of</w:t>
            </w:r>
          </w:p>
          <w:p w:rsidR="00095E93" w:rsidRPr="006D388C" w:rsidRDefault="00095E93" w:rsidP="00095E93">
            <w:pPr>
              <w:keepNext/>
              <w:spacing w:before="0" w:after="0"/>
              <w:jc w:val="center"/>
              <w:rPr>
                <w:rFonts w:ascii="Arial Narrow" w:eastAsia="Times New Roman" w:hAnsi="Arial Narrow" w:cs="Arial"/>
                <w:b/>
                <w:sz w:val="20"/>
                <w:szCs w:val="24"/>
                <w:lang w:eastAsia="en-AU"/>
              </w:rPr>
            </w:pPr>
            <w:r w:rsidRPr="006D388C">
              <w:rPr>
                <w:rFonts w:ascii="Arial Narrow" w:eastAsia="Times New Roman" w:hAnsi="Arial Narrow" w:cs="Arial"/>
                <w:b/>
                <w:sz w:val="20"/>
                <w:szCs w:val="24"/>
                <w:lang w:eastAsia="en-AU"/>
              </w:rPr>
              <w:t>Rpts</w:t>
            </w:r>
          </w:p>
        </w:tc>
        <w:tc>
          <w:tcPr>
            <w:tcW w:w="1016" w:type="pct"/>
            <w:tcBorders>
              <w:top w:val="single" w:sz="4" w:space="0" w:color="auto"/>
              <w:bottom w:val="single" w:sz="4" w:space="0" w:color="auto"/>
            </w:tcBorders>
            <w:vAlign w:val="center"/>
          </w:tcPr>
          <w:p w:rsidR="00095E93" w:rsidRPr="006D388C" w:rsidRDefault="00095E93" w:rsidP="00095E93">
            <w:pPr>
              <w:keepNext/>
              <w:spacing w:before="0" w:after="0"/>
              <w:jc w:val="center"/>
              <w:rPr>
                <w:rFonts w:ascii="Arial Narrow" w:eastAsia="Times New Roman" w:hAnsi="Arial Narrow" w:cs="Arial"/>
                <w:b/>
                <w:sz w:val="20"/>
                <w:szCs w:val="24"/>
                <w:lang w:eastAsia="en-AU"/>
              </w:rPr>
            </w:pPr>
            <w:r w:rsidRPr="006D388C">
              <w:rPr>
                <w:rFonts w:ascii="Arial Narrow" w:eastAsia="Times New Roman" w:hAnsi="Arial Narrow" w:cs="Arial"/>
                <w:b/>
                <w:sz w:val="20"/>
                <w:szCs w:val="24"/>
                <w:lang w:eastAsia="en-AU"/>
              </w:rPr>
              <w:t>Dispensed Price for Max. Amt</w:t>
            </w:r>
          </w:p>
        </w:tc>
        <w:tc>
          <w:tcPr>
            <w:tcW w:w="1095" w:type="pct"/>
            <w:gridSpan w:val="4"/>
            <w:tcBorders>
              <w:top w:val="single" w:sz="4" w:space="0" w:color="auto"/>
              <w:bottom w:val="single" w:sz="4" w:space="0" w:color="auto"/>
            </w:tcBorders>
            <w:vAlign w:val="center"/>
          </w:tcPr>
          <w:p w:rsidR="00095E93" w:rsidRPr="006D388C" w:rsidRDefault="00095E93" w:rsidP="00095E93">
            <w:pPr>
              <w:keepNext/>
              <w:spacing w:before="0" w:after="0"/>
              <w:jc w:val="center"/>
              <w:rPr>
                <w:rFonts w:ascii="Arial Narrow" w:eastAsia="Times New Roman" w:hAnsi="Arial Narrow" w:cs="Arial"/>
                <w:b/>
                <w:sz w:val="20"/>
                <w:szCs w:val="24"/>
                <w:lang w:val="fr-FR" w:eastAsia="en-AU"/>
              </w:rPr>
            </w:pPr>
            <w:r w:rsidRPr="006D388C">
              <w:rPr>
                <w:rFonts w:ascii="Arial Narrow" w:eastAsia="Times New Roman" w:hAnsi="Arial Narrow" w:cs="Arial"/>
                <w:b/>
                <w:sz w:val="20"/>
                <w:szCs w:val="24"/>
                <w:lang w:eastAsia="en-AU"/>
              </w:rPr>
              <w:t>Proprietary Name and Manufacturer</w:t>
            </w:r>
          </w:p>
        </w:tc>
      </w:tr>
      <w:tr w:rsidR="00095E93" w:rsidRPr="00333639" w:rsidTr="00C10118">
        <w:trPr>
          <w:gridBefore w:val="1"/>
          <w:wBefore w:w="12" w:type="pct"/>
          <w:cantSplit/>
          <w:trHeight w:val="567"/>
        </w:trPr>
        <w:tc>
          <w:tcPr>
            <w:tcW w:w="1549" w:type="pct"/>
            <w:gridSpan w:val="2"/>
            <w:vAlign w:val="center"/>
          </w:tcPr>
          <w:p w:rsidR="00095E93" w:rsidRPr="00333639" w:rsidRDefault="00095E93" w:rsidP="00095E93">
            <w:pPr>
              <w:keepNext/>
              <w:spacing w:before="0" w:after="0"/>
              <w:jc w:val="left"/>
              <w:rPr>
                <w:rFonts w:ascii="Arial Narrow" w:eastAsia="Times New Roman" w:hAnsi="Arial Narrow" w:cs="Arial"/>
                <w:sz w:val="20"/>
                <w:szCs w:val="24"/>
                <w:lang w:eastAsia="en-AU"/>
              </w:rPr>
            </w:pPr>
            <w:r w:rsidRPr="00333639">
              <w:rPr>
                <w:rFonts w:ascii="Arial Narrow" w:eastAsia="Times New Roman" w:hAnsi="Arial Narrow" w:cs="Arial"/>
                <w:smallCaps/>
                <w:sz w:val="20"/>
                <w:szCs w:val="24"/>
                <w:lang w:eastAsia="en-AU"/>
              </w:rPr>
              <w:t>Atezolizumab</w:t>
            </w:r>
            <w:r w:rsidRPr="00333639">
              <w:rPr>
                <w:rFonts w:ascii="Arial Narrow" w:eastAsia="Times New Roman" w:hAnsi="Arial Narrow" w:cs="Arial"/>
                <w:smallCaps/>
                <w:sz w:val="20"/>
                <w:szCs w:val="24"/>
                <w:lang w:eastAsia="en-AU"/>
              </w:rPr>
              <w:br/>
              <w:t>Solution for IV infusion</w:t>
            </w:r>
            <w:r w:rsidRPr="00333639">
              <w:rPr>
                <w:rFonts w:ascii="Arial Narrow" w:eastAsia="Times New Roman" w:hAnsi="Arial Narrow" w:cs="Arial"/>
                <w:smallCaps/>
                <w:sz w:val="20"/>
                <w:szCs w:val="24"/>
                <w:lang w:eastAsia="en-AU"/>
              </w:rPr>
              <w:br/>
              <w:t>840 mg in 14 mL vial</w:t>
            </w:r>
          </w:p>
        </w:tc>
        <w:tc>
          <w:tcPr>
            <w:tcW w:w="625" w:type="pct"/>
            <w:vAlign w:val="center"/>
          </w:tcPr>
          <w:p w:rsidR="00095E93" w:rsidRPr="00333639" w:rsidRDefault="00095E93" w:rsidP="00095E93">
            <w:pPr>
              <w:keepNext/>
              <w:spacing w:before="0" w:after="0"/>
              <w:jc w:val="center"/>
              <w:rPr>
                <w:rFonts w:ascii="Arial Narrow" w:eastAsia="Times New Roman" w:hAnsi="Arial Narrow" w:cs="Arial"/>
                <w:sz w:val="20"/>
                <w:szCs w:val="24"/>
                <w:lang w:eastAsia="en-AU"/>
              </w:rPr>
            </w:pPr>
            <w:r w:rsidRPr="00333639">
              <w:rPr>
                <w:rFonts w:ascii="Arial Narrow" w:eastAsia="Times New Roman" w:hAnsi="Arial Narrow" w:cs="Arial"/>
                <w:sz w:val="20"/>
                <w:szCs w:val="24"/>
                <w:lang w:eastAsia="en-AU"/>
              </w:rPr>
              <w:t>840</w:t>
            </w:r>
            <w:r w:rsidR="00C10118">
              <w:rPr>
                <w:rFonts w:ascii="Arial Narrow" w:eastAsia="Times New Roman" w:hAnsi="Arial Narrow" w:cs="Arial"/>
                <w:sz w:val="20"/>
                <w:szCs w:val="24"/>
                <w:lang w:eastAsia="en-AU"/>
              </w:rPr>
              <w:t xml:space="preserve"> </w:t>
            </w:r>
            <w:r w:rsidRPr="00333639">
              <w:rPr>
                <w:rFonts w:ascii="Arial Narrow" w:eastAsia="Times New Roman" w:hAnsi="Arial Narrow" w:cs="Arial"/>
                <w:sz w:val="20"/>
                <w:szCs w:val="24"/>
                <w:lang w:eastAsia="en-AU"/>
              </w:rPr>
              <w:t>mg</w:t>
            </w:r>
          </w:p>
        </w:tc>
        <w:tc>
          <w:tcPr>
            <w:tcW w:w="704" w:type="pct"/>
            <w:vAlign w:val="center"/>
          </w:tcPr>
          <w:p w:rsidR="00095E93" w:rsidRPr="00333639" w:rsidRDefault="00095E93" w:rsidP="00095E93">
            <w:pPr>
              <w:keepNext/>
              <w:spacing w:before="0" w:after="0"/>
              <w:jc w:val="center"/>
              <w:rPr>
                <w:rFonts w:ascii="Arial Narrow" w:eastAsia="Times New Roman" w:hAnsi="Arial Narrow" w:cs="Arial"/>
                <w:sz w:val="20"/>
                <w:szCs w:val="24"/>
                <w:lang w:eastAsia="en-AU"/>
              </w:rPr>
            </w:pPr>
            <w:r w:rsidRPr="00333639">
              <w:rPr>
                <w:rFonts w:ascii="Arial Narrow" w:eastAsia="Times New Roman" w:hAnsi="Arial Narrow" w:cs="Arial"/>
                <w:sz w:val="20"/>
                <w:szCs w:val="24"/>
                <w:lang w:eastAsia="en-AU"/>
              </w:rPr>
              <w:t>5 (initial treatment)</w:t>
            </w:r>
          </w:p>
          <w:p w:rsidR="00095E93" w:rsidRPr="00333639" w:rsidRDefault="00095E93" w:rsidP="00095E93">
            <w:pPr>
              <w:keepNext/>
              <w:spacing w:before="0" w:after="0"/>
              <w:jc w:val="center"/>
              <w:rPr>
                <w:rFonts w:ascii="Arial Narrow" w:eastAsia="Times New Roman" w:hAnsi="Arial Narrow" w:cs="Arial"/>
                <w:sz w:val="20"/>
                <w:szCs w:val="24"/>
                <w:lang w:eastAsia="en-AU"/>
              </w:rPr>
            </w:pPr>
            <w:r w:rsidRPr="00333639">
              <w:rPr>
                <w:rFonts w:ascii="Arial Narrow" w:eastAsia="Times New Roman" w:hAnsi="Arial Narrow" w:cs="Arial"/>
                <w:sz w:val="20"/>
                <w:szCs w:val="24"/>
                <w:lang w:eastAsia="en-AU"/>
              </w:rPr>
              <w:t>11 (continuing treatment)</w:t>
            </w:r>
          </w:p>
        </w:tc>
        <w:tc>
          <w:tcPr>
            <w:tcW w:w="1016" w:type="pct"/>
            <w:vAlign w:val="center"/>
          </w:tcPr>
          <w:p w:rsidR="00095E93" w:rsidRPr="00333639" w:rsidRDefault="00095E93" w:rsidP="00095E93">
            <w:pPr>
              <w:keepNext/>
              <w:spacing w:before="0" w:after="0"/>
              <w:jc w:val="center"/>
              <w:rPr>
                <w:rFonts w:ascii="Arial Narrow" w:eastAsia="Times New Roman" w:hAnsi="Arial Narrow" w:cs="Arial"/>
                <w:sz w:val="20"/>
                <w:szCs w:val="24"/>
                <w:lang w:eastAsia="en-AU"/>
              </w:rPr>
            </w:pPr>
            <w:r w:rsidRPr="00333639">
              <w:rPr>
                <w:rFonts w:ascii="Arial Narrow" w:eastAsia="Times New Roman" w:hAnsi="Arial Narrow" w:cs="Arial"/>
                <w:sz w:val="20"/>
                <w:szCs w:val="24"/>
                <w:lang w:eastAsia="en-AU"/>
              </w:rPr>
              <w:t>Published price</w:t>
            </w:r>
            <w:r w:rsidR="002B2F61" w:rsidRPr="002B2F61">
              <w:rPr>
                <w:rFonts w:ascii="Arial Narrow" w:eastAsia="Times New Roman" w:hAnsi="Arial Narrow" w:cs="Arial"/>
                <w:sz w:val="20"/>
                <w:szCs w:val="24"/>
                <w:vertAlign w:val="superscript"/>
                <w:lang w:eastAsia="en-AU"/>
              </w:rPr>
              <w:t>a</w:t>
            </w:r>
          </w:p>
          <w:p w:rsidR="00095E93" w:rsidRPr="00333639" w:rsidRDefault="00095E93" w:rsidP="00095E93">
            <w:pPr>
              <w:keepNext/>
              <w:spacing w:before="0" w:after="0"/>
              <w:jc w:val="center"/>
              <w:rPr>
                <w:rFonts w:ascii="Arial Narrow" w:eastAsia="Times New Roman" w:hAnsi="Arial Narrow" w:cs="Arial"/>
                <w:sz w:val="20"/>
                <w:szCs w:val="24"/>
                <w:lang w:eastAsia="en-AU"/>
              </w:rPr>
            </w:pPr>
            <w:r w:rsidRPr="00333639">
              <w:rPr>
                <w:rFonts w:ascii="Arial Narrow" w:eastAsia="Times New Roman" w:hAnsi="Arial Narrow" w:cs="Arial"/>
                <w:sz w:val="20"/>
                <w:szCs w:val="24"/>
                <w:lang w:eastAsia="en-AU"/>
              </w:rPr>
              <w:t>$5,318.47 (public)</w:t>
            </w:r>
          </w:p>
          <w:p w:rsidR="00095E93" w:rsidRPr="00333639" w:rsidRDefault="00095E93" w:rsidP="00095E93">
            <w:pPr>
              <w:keepNext/>
              <w:spacing w:before="0" w:after="0"/>
              <w:jc w:val="center"/>
              <w:rPr>
                <w:rFonts w:ascii="Arial Narrow" w:eastAsia="Times New Roman" w:hAnsi="Arial Narrow" w:cs="Arial"/>
                <w:sz w:val="20"/>
                <w:szCs w:val="24"/>
                <w:lang w:eastAsia="en-AU"/>
              </w:rPr>
            </w:pPr>
            <w:r w:rsidRPr="00333639">
              <w:rPr>
                <w:rFonts w:ascii="Arial Narrow" w:eastAsia="Times New Roman" w:hAnsi="Arial Narrow" w:cs="Arial"/>
                <w:sz w:val="20"/>
                <w:szCs w:val="24"/>
                <w:lang w:eastAsia="en-AU"/>
              </w:rPr>
              <w:t>$5,431.50 (private)</w:t>
            </w:r>
          </w:p>
          <w:p w:rsidR="00095E93" w:rsidRPr="00333639" w:rsidRDefault="00095E93" w:rsidP="00095E93">
            <w:pPr>
              <w:keepNext/>
              <w:spacing w:before="0" w:after="0"/>
              <w:jc w:val="center"/>
              <w:rPr>
                <w:rFonts w:ascii="Arial Narrow" w:eastAsia="Times New Roman" w:hAnsi="Arial Narrow" w:cs="Arial"/>
                <w:sz w:val="20"/>
                <w:szCs w:val="24"/>
                <w:lang w:eastAsia="en-AU"/>
              </w:rPr>
            </w:pPr>
          </w:p>
          <w:p w:rsidR="00095E93" w:rsidRPr="00333639" w:rsidRDefault="00095E93" w:rsidP="00095E93">
            <w:pPr>
              <w:keepNext/>
              <w:spacing w:before="0" w:after="0"/>
              <w:jc w:val="center"/>
              <w:rPr>
                <w:rFonts w:ascii="Arial Narrow" w:eastAsia="Times New Roman" w:hAnsi="Arial Narrow" w:cs="Arial"/>
                <w:sz w:val="20"/>
                <w:szCs w:val="24"/>
                <w:lang w:eastAsia="en-AU"/>
              </w:rPr>
            </w:pPr>
            <w:r w:rsidRPr="00333639">
              <w:rPr>
                <w:rFonts w:ascii="Arial Narrow" w:eastAsia="Times New Roman" w:hAnsi="Arial Narrow" w:cs="Arial"/>
                <w:sz w:val="20"/>
                <w:szCs w:val="24"/>
                <w:lang w:eastAsia="en-AU"/>
              </w:rPr>
              <w:t>Effective price</w:t>
            </w:r>
            <w:r w:rsidR="002B2F61" w:rsidRPr="002B2F61">
              <w:rPr>
                <w:rFonts w:ascii="Arial Narrow" w:eastAsia="Times New Roman" w:hAnsi="Arial Narrow" w:cs="Arial"/>
                <w:sz w:val="20"/>
                <w:szCs w:val="24"/>
                <w:vertAlign w:val="superscript"/>
                <w:lang w:eastAsia="en-AU"/>
              </w:rPr>
              <w:t>a</w:t>
            </w:r>
            <w:r w:rsidRPr="00333639">
              <w:rPr>
                <w:rFonts w:ascii="Arial Narrow" w:eastAsia="Times New Roman" w:hAnsi="Arial Narrow" w:cs="Arial"/>
                <w:sz w:val="20"/>
                <w:szCs w:val="24"/>
                <w:vertAlign w:val="superscript"/>
                <w:lang w:eastAsia="en-AU"/>
              </w:rPr>
              <w:t>,</w:t>
            </w:r>
          </w:p>
          <w:p w:rsidR="00095E93" w:rsidRPr="00333639" w:rsidRDefault="00095E93" w:rsidP="00095E93">
            <w:pPr>
              <w:keepNext/>
              <w:spacing w:before="0" w:after="0"/>
              <w:jc w:val="center"/>
              <w:rPr>
                <w:rFonts w:ascii="Arial Narrow" w:eastAsia="Times New Roman" w:hAnsi="Arial Narrow" w:cs="Arial"/>
                <w:sz w:val="20"/>
                <w:szCs w:val="24"/>
                <w:lang w:eastAsia="en-AU"/>
              </w:rPr>
            </w:pPr>
            <w:r w:rsidRPr="00333639">
              <w:rPr>
                <w:rFonts w:ascii="Arial Narrow" w:eastAsia="Times New Roman" w:hAnsi="Arial Narrow" w:cs="Arial"/>
                <w:sz w:val="20"/>
                <w:szCs w:val="24"/>
                <w:lang w:eastAsia="en-AU"/>
              </w:rPr>
              <w:t>$</w:t>
            </w:r>
            <w:r w:rsidR="00EB2224">
              <w:rPr>
                <w:rFonts w:ascii="Arial Narrow" w:eastAsia="Times New Roman" w:hAnsi="Arial Narrow" w:cs="Arial"/>
                <w:noProof/>
                <w:color w:val="000000"/>
                <w:sz w:val="20"/>
                <w:szCs w:val="24"/>
                <w:highlight w:val="black"/>
                <w:lang w:eastAsia="en-AU"/>
              </w:rPr>
              <w:t>'''''''''''''''''''</w:t>
            </w:r>
            <w:r w:rsidRPr="00333639">
              <w:rPr>
                <w:rFonts w:ascii="Arial Narrow" w:eastAsia="Times New Roman" w:hAnsi="Arial Narrow" w:cs="Arial"/>
                <w:sz w:val="20"/>
                <w:szCs w:val="24"/>
                <w:lang w:eastAsia="en-AU"/>
              </w:rPr>
              <w:t xml:space="preserve"> (public)</w:t>
            </w:r>
          </w:p>
          <w:p w:rsidR="00095E93" w:rsidRPr="00333639" w:rsidRDefault="00095E93" w:rsidP="00095E93">
            <w:pPr>
              <w:keepNext/>
              <w:spacing w:before="0" w:after="0"/>
              <w:jc w:val="center"/>
              <w:rPr>
                <w:rFonts w:ascii="Arial Narrow" w:eastAsia="Times New Roman" w:hAnsi="Arial Narrow" w:cs="Arial"/>
                <w:sz w:val="20"/>
                <w:szCs w:val="24"/>
                <w:lang w:eastAsia="en-AU"/>
              </w:rPr>
            </w:pPr>
            <w:r w:rsidRPr="00333639">
              <w:rPr>
                <w:rFonts w:ascii="Arial Narrow" w:eastAsia="Times New Roman" w:hAnsi="Arial Narrow" w:cs="Arial"/>
                <w:sz w:val="20"/>
                <w:szCs w:val="24"/>
                <w:lang w:eastAsia="en-AU"/>
              </w:rPr>
              <w:t>$</w:t>
            </w:r>
            <w:r w:rsidR="00EB2224">
              <w:rPr>
                <w:rFonts w:ascii="Arial Narrow" w:eastAsia="Times New Roman" w:hAnsi="Arial Narrow" w:cs="Arial"/>
                <w:noProof/>
                <w:color w:val="000000"/>
                <w:sz w:val="20"/>
                <w:szCs w:val="24"/>
                <w:highlight w:val="black"/>
                <w:lang w:eastAsia="en-AU"/>
              </w:rPr>
              <w:t>'''''''''''''''''''</w:t>
            </w:r>
            <w:r w:rsidRPr="00333639">
              <w:rPr>
                <w:rFonts w:ascii="Arial Narrow" w:eastAsia="Times New Roman" w:hAnsi="Arial Narrow" w:cs="Arial"/>
                <w:sz w:val="20"/>
                <w:szCs w:val="24"/>
                <w:lang w:eastAsia="en-AU"/>
              </w:rPr>
              <w:t xml:space="preserve"> (private)</w:t>
            </w:r>
          </w:p>
        </w:tc>
        <w:tc>
          <w:tcPr>
            <w:tcW w:w="625" w:type="pct"/>
            <w:vAlign w:val="center"/>
          </w:tcPr>
          <w:p w:rsidR="00095E93" w:rsidRPr="00333639" w:rsidRDefault="00095E93" w:rsidP="00095E93">
            <w:pPr>
              <w:keepNext/>
              <w:spacing w:before="0" w:after="0"/>
              <w:jc w:val="center"/>
              <w:rPr>
                <w:rFonts w:ascii="Arial Narrow" w:eastAsia="Times New Roman" w:hAnsi="Arial Narrow" w:cs="Arial"/>
                <w:sz w:val="20"/>
                <w:szCs w:val="24"/>
                <w:lang w:eastAsia="en-AU"/>
              </w:rPr>
            </w:pPr>
            <w:r w:rsidRPr="00333639">
              <w:rPr>
                <w:rFonts w:ascii="Arial Narrow" w:eastAsia="Times New Roman" w:hAnsi="Arial Narrow" w:cs="Arial"/>
                <w:sz w:val="20"/>
                <w:szCs w:val="24"/>
                <w:lang w:eastAsia="en-AU"/>
              </w:rPr>
              <w:t>TECENTRIQ®</w:t>
            </w:r>
          </w:p>
        </w:tc>
        <w:tc>
          <w:tcPr>
            <w:tcW w:w="469" w:type="pct"/>
            <w:gridSpan w:val="3"/>
            <w:vAlign w:val="center"/>
          </w:tcPr>
          <w:p w:rsidR="00095E93" w:rsidRPr="00333639" w:rsidRDefault="00095E93" w:rsidP="00095E93">
            <w:pPr>
              <w:keepNext/>
              <w:spacing w:before="0" w:after="0"/>
              <w:jc w:val="center"/>
              <w:rPr>
                <w:rFonts w:ascii="Arial Narrow" w:eastAsia="Times New Roman" w:hAnsi="Arial Narrow" w:cs="Arial"/>
                <w:sz w:val="20"/>
                <w:szCs w:val="24"/>
                <w:lang w:eastAsia="en-AU"/>
              </w:rPr>
            </w:pPr>
            <w:r w:rsidRPr="00333639">
              <w:rPr>
                <w:rFonts w:ascii="Arial Narrow" w:eastAsia="Times New Roman" w:hAnsi="Arial Narrow" w:cs="Arial"/>
                <w:sz w:val="20"/>
                <w:szCs w:val="24"/>
                <w:lang w:eastAsia="en-AU"/>
              </w:rPr>
              <w:t>Roche Products Pty Ltd</w:t>
            </w:r>
          </w:p>
        </w:tc>
      </w:tr>
      <w:tr w:rsidR="003C4A6A" w:rsidRPr="00EA5C8F" w:rsidTr="00C101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rPr>
          <w:gridAfter w:val="2"/>
          <w:wAfter w:w="28" w:type="pct"/>
        </w:trPr>
        <w:tc>
          <w:tcPr>
            <w:tcW w:w="855" w:type="pct"/>
            <w:gridSpan w:val="2"/>
            <w:tcBorders>
              <w:top w:val="single" w:sz="4" w:space="0" w:color="auto"/>
              <w:left w:val="single" w:sz="4" w:space="0" w:color="auto"/>
              <w:bottom w:val="single" w:sz="4" w:space="0" w:color="auto"/>
              <w:right w:val="single" w:sz="4" w:space="0" w:color="auto"/>
            </w:tcBorders>
          </w:tcPr>
          <w:p w:rsidR="003C4A6A" w:rsidRPr="002D2320" w:rsidRDefault="00C10118" w:rsidP="002D2320">
            <w:pPr>
              <w:spacing w:before="0" w:after="0"/>
              <w:jc w:val="left"/>
              <w:rPr>
                <w:rFonts w:ascii="Arial Narrow" w:eastAsia="Calibri" w:hAnsi="Arial Narrow" w:cs="Arial"/>
                <w:b/>
                <w:sz w:val="18"/>
                <w:szCs w:val="18"/>
              </w:rPr>
            </w:pPr>
            <w:r>
              <w:rPr>
                <w:rFonts w:ascii="Arial Narrow" w:eastAsia="Calibri" w:hAnsi="Arial Narrow" w:cs="Arial"/>
                <w:b/>
                <w:sz w:val="18"/>
                <w:szCs w:val="18"/>
              </w:rPr>
              <w:t>Category / Program:</w:t>
            </w:r>
          </w:p>
        </w:tc>
        <w:tc>
          <w:tcPr>
            <w:tcW w:w="4117" w:type="pct"/>
            <w:gridSpan w:val="6"/>
            <w:tcBorders>
              <w:top w:val="single" w:sz="4" w:space="0" w:color="auto"/>
              <w:left w:val="single" w:sz="4" w:space="0" w:color="auto"/>
              <w:bottom w:val="single" w:sz="4" w:space="0" w:color="auto"/>
              <w:right w:val="single" w:sz="4" w:space="0" w:color="auto"/>
            </w:tcBorders>
          </w:tcPr>
          <w:p w:rsidR="003C4A6A" w:rsidRPr="00EA5C8F" w:rsidRDefault="003C4A6A" w:rsidP="001E358B">
            <w:pPr>
              <w:spacing w:before="0" w:after="0"/>
              <w:rPr>
                <w:rFonts w:ascii="Arial Narrow" w:eastAsia="Calibri" w:hAnsi="Arial Narrow" w:cs="Arial"/>
                <w:b/>
                <w:color w:val="auto"/>
                <w:sz w:val="18"/>
                <w:szCs w:val="18"/>
              </w:rPr>
            </w:pPr>
            <w:r w:rsidRPr="00EA5C8F">
              <w:rPr>
                <w:rFonts w:ascii="Arial Narrow" w:eastAsia="Calibri" w:hAnsi="Arial Narrow" w:cs="Arial"/>
                <w:color w:val="auto"/>
                <w:sz w:val="18"/>
                <w:szCs w:val="18"/>
              </w:rPr>
              <w:t>Section 100 – Efficient Funding of Chemotherapy (Private/Public Hospital code)</w:t>
            </w:r>
          </w:p>
        </w:tc>
      </w:tr>
      <w:tr w:rsidR="003C4A6A" w:rsidRPr="00EA5C8F" w:rsidTr="00C101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rPr>
          <w:gridAfter w:val="2"/>
          <w:wAfter w:w="28" w:type="pct"/>
          <w:trHeight w:val="304"/>
        </w:trPr>
        <w:tc>
          <w:tcPr>
            <w:tcW w:w="855" w:type="pct"/>
            <w:gridSpan w:val="2"/>
            <w:tcBorders>
              <w:top w:val="single" w:sz="4" w:space="0" w:color="auto"/>
              <w:left w:val="single" w:sz="4" w:space="0" w:color="auto"/>
              <w:bottom w:val="single" w:sz="4" w:space="0" w:color="auto"/>
              <w:right w:val="single" w:sz="4" w:space="0" w:color="auto"/>
            </w:tcBorders>
          </w:tcPr>
          <w:p w:rsidR="003C4A6A" w:rsidRPr="002D2320" w:rsidRDefault="00C10118" w:rsidP="002D2320">
            <w:pPr>
              <w:spacing w:before="0" w:after="0"/>
              <w:jc w:val="left"/>
              <w:rPr>
                <w:rFonts w:ascii="Arial Narrow" w:eastAsia="Calibri" w:hAnsi="Arial Narrow" w:cs="Arial"/>
                <w:sz w:val="18"/>
                <w:szCs w:val="18"/>
              </w:rPr>
            </w:pPr>
            <w:r>
              <w:rPr>
                <w:rFonts w:ascii="Arial Narrow" w:eastAsia="Calibri" w:hAnsi="Arial Narrow" w:cs="Arial"/>
                <w:b/>
                <w:sz w:val="18"/>
                <w:szCs w:val="18"/>
              </w:rPr>
              <w:t>Prescriber type:</w:t>
            </w:r>
          </w:p>
        </w:tc>
        <w:tc>
          <w:tcPr>
            <w:tcW w:w="4117" w:type="pct"/>
            <w:gridSpan w:val="6"/>
            <w:tcBorders>
              <w:top w:val="single" w:sz="4" w:space="0" w:color="auto"/>
              <w:left w:val="single" w:sz="4" w:space="0" w:color="auto"/>
              <w:bottom w:val="single" w:sz="4" w:space="0" w:color="auto"/>
              <w:right w:val="single" w:sz="4" w:space="0" w:color="auto"/>
            </w:tcBorders>
          </w:tcPr>
          <w:p w:rsidR="003C4A6A" w:rsidRPr="00EA5C8F" w:rsidRDefault="003C4A6A" w:rsidP="00C10118">
            <w:pPr>
              <w:spacing w:before="0" w:after="0"/>
              <w:rPr>
                <w:rFonts w:ascii="Arial Narrow" w:eastAsia="Calibri" w:hAnsi="Arial Narrow" w:cs="Arial"/>
                <w:color w:val="auto"/>
                <w:sz w:val="18"/>
                <w:szCs w:val="18"/>
              </w:rPr>
            </w:pPr>
            <w:r w:rsidRPr="00EA5C8F">
              <w:rPr>
                <w:rFonts w:ascii="Arial Narrow" w:eastAsia="Calibri" w:hAnsi="Arial Narrow" w:cs="Arial"/>
                <w:color w:val="auto"/>
                <w:sz w:val="18"/>
                <w:szCs w:val="18"/>
              </w:rPr>
              <w:fldChar w:fldCharType="begin">
                <w:ffData>
                  <w:name w:val="Check1"/>
                  <w:enabled/>
                  <w:calcOnExit w:val="0"/>
                  <w:checkBox>
                    <w:sizeAuto/>
                    <w:default w:val="0"/>
                  </w:checkBox>
                </w:ffData>
              </w:fldChar>
            </w:r>
            <w:r w:rsidRPr="00EA5C8F">
              <w:rPr>
                <w:rFonts w:ascii="Arial Narrow" w:eastAsia="Calibri" w:hAnsi="Arial Narrow" w:cs="Arial"/>
                <w:color w:val="auto"/>
                <w:sz w:val="18"/>
                <w:szCs w:val="18"/>
              </w:rPr>
              <w:instrText xml:space="preserve"> FORMCHECKBOX </w:instrText>
            </w:r>
            <w:r w:rsidR="00E965A4">
              <w:rPr>
                <w:rFonts w:ascii="Arial Narrow" w:eastAsia="Calibri" w:hAnsi="Arial Narrow" w:cs="Arial"/>
                <w:color w:val="auto"/>
                <w:sz w:val="18"/>
                <w:szCs w:val="18"/>
              </w:rPr>
            </w:r>
            <w:r w:rsidR="00E965A4">
              <w:rPr>
                <w:rFonts w:ascii="Arial Narrow" w:eastAsia="Calibri" w:hAnsi="Arial Narrow" w:cs="Arial"/>
                <w:color w:val="auto"/>
                <w:sz w:val="18"/>
                <w:szCs w:val="18"/>
              </w:rPr>
              <w:fldChar w:fldCharType="separate"/>
            </w:r>
            <w:r w:rsidRPr="00EA5C8F">
              <w:rPr>
                <w:rFonts w:ascii="Arial Narrow" w:eastAsia="Calibri" w:hAnsi="Arial Narrow" w:cs="Arial"/>
                <w:color w:val="auto"/>
                <w:sz w:val="18"/>
                <w:szCs w:val="18"/>
              </w:rPr>
              <w:fldChar w:fldCharType="end"/>
            </w:r>
            <w:r w:rsidRPr="00EA5C8F">
              <w:rPr>
                <w:rFonts w:ascii="Arial Narrow" w:eastAsia="Calibri" w:hAnsi="Arial Narrow" w:cs="Arial"/>
                <w:color w:val="auto"/>
                <w:sz w:val="18"/>
                <w:szCs w:val="18"/>
              </w:rPr>
              <w:t xml:space="preserve">Dental  </w:t>
            </w:r>
            <w:r w:rsidRPr="00EA5C8F">
              <w:rPr>
                <w:rFonts w:ascii="Arial Narrow" w:eastAsia="Calibri" w:hAnsi="Arial Narrow" w:cs="Arial"/>
                <w:color w:val="auto"/>
                <w:sz w:val="18"/>
                <w:szCs w:val="18"/>
              </w:rPr>
              <w:fldChar w:fldCharType="begin">
                <w:ffData>
                  <w:name w:val=""/>
                  <w:enabled/>
                  <w:calcOnExit w:val="0"/>
                  <w:checkBox>
                    <w:sizeAuto/>
                    <w:default w:val="1"/>
                  </w:checkBox>
                </w:ffData>
              </w:fldChar>
            </w:r>
            <w:r w:rsidRPr="00EA5C8F">
              <w:rPr>
                <w:rFonts w:ascii="Arial Narrow" w:eastAsia="Calibri" w:hAnsi="Arial Narrow" w:cs="Arial"/>
                <w:color w:val="auto"/>
                <w:sz w:val="18"/>
                <w:szCs w:val="18"/>
              </w:rPr>
              <w:instrText xml:space="preserve"> FORMCHECKBOX </w:instrText>
            </w:r>
            <w:r w:rsidR="00E965A4">
              <w:rPr>
                <w:rFonts w:ascii="Arial Narrow" w:eastAsia="Calibri" w:hAnsi="Arial Narrow" w:cs="Arial"/>
                <w:color w:val="auto"/>
                <w:sz w:val="18"/>
                <w:szCs w:val="18"/>
              </w:rPr>
            </w:r>
            <w:r w:rsidR="00E965A4">
              <w:rPr>
                <w:rFonts w:ascii="Arial Narrow" w:eastAsia="Calibri" w:hAnsi="Arial Narrow" w:cs="Arial"/>
                <w:color w:val="auto"/>
                <w:sz w:val="18"/>
                <w:szCs w:val="18"/>
              </w:rPr>
              <w:fldChar w:fldCharType="separate"/>
            </w:r>
            <w:r w:rsidRPr="00EA5C8F">
              <w:rPr>
                <w:rFonts w:ascii="Arial Narrow" w:eastAsia="Calibri" w:hAnsi="Arial Narrow" w:cs="Arial"/>
                <w:color w:val="auto"/>
                <w:sz w:val="18"/>
                <w:szCs w:val="18"/>
              </w:rPr>
              <w:fldChar w:fldCharType="end"/>
            </w:r>
            <w:r w:rsidRPr="00EA5C8F">
              <w:rPr>
                <w:rFonts w:ascii="Arial Narrow" w:eastAsia="Calibri" w:hAnsi="Arial Narrow" w:cs="Arial"/>
                <w:color w:val="auto"/>
                <w:sz w:val="18"/>
                <w:szCs w:val="18"/>
              </w:rPr>
              <w:t xml:space="preserve">Medical Practitioners  </w:t>
            </w:r>
            <w:r w:rsidRPr="00EA5C8F">
              <w:rPr>
                <w:rFonts w:ascii="Arial Narrow" w:eastAsia="Calibri" w:hAnsi="Arial Narrow" w:cs="Arial"/>
                <w:color w:val="auto"/>
                <w:sz w:val="18"/>
                <w:szCs w:val="18"/>
              </w:rPr>
              <w:fldChar w:fldCharType="begin">
                <w:ffData>
                  <w:name w:val="Check3"/>
                  <w:enabled/>
                  <w:calcOnExit w:val="0"/>
                  <w:checkBox>
                    <w:sizeAuto/>
                    <w:default w:val="0"/>
                  </w:checkBox>
                </w:ffData>
              </w:fldChar>
            </w:r>
            <w:r w:rsidRPr="00EA5C8F">
              <w:rPr>
                <w:rFonts w:ascii="Arial Narrow" w:eastAsia="Calibri" w:hAnsi="Arial Narrow" w:cs="Arial"/>
                <w:color w:val="auto"/>
                <w:sz w:val="18"/>
                <w:szCs w:val="18"/>
              </w:rPr>
              <w:instrText xml:space="preserve"> FORMCHECKBOX </w:instrText>
            </w:r>
            <w:r w:rsidR="00E965A4">
              <w:rPr>
                <w:rFonts w:ascii="Arial Narrow" w:eastAsia="Calibri" w:hAnsi="Arial Narrow" w:cs="Arial"/>
                <w:color w:val="auto"/>
                <w:sz w:val="18"/>
                <w:szCs w:val="18"/>
              </w:rPr>
            </w:r>
            <w:r w:rsidR="00E965A4">
              <w:rPr>
                <w:rFonts w:ascii="Arial Narrow" w:eastAsia="Calibri" w:hAnsi="Arial Narrow" w:cs="Arial"/>
                <w:color w:val="auto"/>
                <w:sz w:val="18"/>
                <w:szCs w:val="18"/>
              </w:rPr>
              <w:fldChar w:fldCharType="separate"/>
            </w:r>
            <w:r w:rsidRPr="00EA5C8F">
              <w:rPr>
                <w:rFonts w:ascii="Arial Narrow" w:eastAsia="Calibri" w:hAnsi="Arial Narrow" w:cs="Arial"/>
                <w:color w:val="auto"/>
                <w:sz w:val="18"/>
                <w:szCs w:val="18"/>
              </w:rPr>
              <w:fldChar w:fldCharType="end"/>
            </w:r>
            <w:r w:rsidRPr="00EA5C8F">
              <w:rPr>
                <w:rFonts w:ascii="Arial Narrow" w:eastAsia="Calibri" w:hAnsi="Arial Narrow" w:cs="Arial"/>
                <w:color w:val="auto"/>
                <w:sz w:val="18"/>
                <w:szCs w:val="18"/>
              </w:rPr>
              <w:t xml:space="preserve">Nurse practitioners  </w:t>
            </w:r>
            <w:r w:rsidRPr="00EA5C8F">
              <w:rPr>
                <w:rFonts w:ascii="Arial Narrow" w:eastAsia="Calibri" w:hAnsi="Arial Narrow" w:cs="Arial"/>
                <w:color w:val="auto"/>
                <w:sz w:val="18"/>
                <w:szCs w:val="18"/>
              </w:rPr>
              <w:fldChar w:fldCharType="begin">
                <w:ffData>
                  <w:name w:val=""/>
                  <w:enabled/>
                  <w:calcOnExit w:val="0"/>
                  <w:checkBox>
                    <w:sizeAuto/>
                    <w:default w:val="0"/>
                  </w:checkBox>
                </w:ffData>
              </w:fldChar>
            </w:r>
            <w:r w:rsidRPr="00EA5C8F">
              <w:rPr>
                <w:rFonts w:ascii="Arial Narrow" w:eastAsia="Calibri" w:hAnsi="Arial Narrow" w:cs="Arial"/>
                <w:color w:val="auto"/>
                <w:sz w:val="18"/>
                <w:szCs w:val="18"/>
              </w:rPr>
              <w:instrText xml:space="preserve"> FORMCHECKBOX </w:instrText>
            </w:r>
            <w:r w:rsidR="00E965A4">
              <w:rPr>
                <w:rFonts w:ascii="Arial Narrow" w:eastAsia="Calibri" w:hAnsi="Arial Narrow" w:cs="Arial"/>
                <w:color w:val="auto"/>
                <w:sz w:val="18"/>
                <w:szCs w:val="18"/>
              </w:rPr>
            </w:r>
            <w:r w:rsidR="00E965A4">
              <w:rPr>
                <w:rFonts w:ascii="Arial Narrow" w:eastAsia="Calibri" w:hAnsi="Arial Narrow" w:cs="Arial"/>
                <w:color w:val="auto"/>
                <w:sz w:val="18"/>
                <w:szCs w:val="18"/>
              </w:rPr>
              <w:fldChar w:fldCharType="separate"/>
            </w:r>
            <w:r w:rsidRPr="00EA5C8F">
              <w:rPr>
                <w:rFonts w:ascii="Arial Narrow" w:eastAsia="Calibri" w:hAnsi="Arial Narrow" w:cs="Arial"/>
                <w:color w:val="auto"/>
                <w:sz w:val="18"/>
                <w:szCs w:val="18"/>
              </w:rPr>
              <w:fldChar w:fldCharType="end"/>
            </w:r>
            <w:r w:rsidRPr="00EA5C8F">
              <w:rPr>
                <w:rFonts w:ascii="Arial Narrow" w:eastAsia="Calibri" w:hAnsi="Arial Narrow" w:cs="Arial"/>
                <w:color w:val="auto"/>
                <w:sz w:val="18"/>
                <w:szCs w:val="18"/>
              </w:rPr>
              <w:t xml:space="preserve">Optometrists  </w:t>
            </w:r>
            <w:r w:rsidRPr="00EA5C8F">
              <w:rPr>
                <w:rFonts w:ascii="Arial Narrow" w:eastAsia="Calibri" w:hAnsi="Arial Narrow" w:cs="Arial"/>
                <w:color w:val="auto"/>
                <w:sz w:val="18"/>
                <w:szCs w:val="18"/>
              </w:rPr>
              <w:fldChar w:fldCharType="begin">
                <w:ffData>
                  <w:name w:val="Check5"/>
                  <w:enabled/>
                  <w:calcOnExit w:val="0"/>
                  <w:checkBox>
                    <w:sizeAuto/>
                    <w:default w:val="0"/>
                  </w:checkBox>
                </w:ffData>
              </w:fldChar>
            </w:r>
            <w:r w:rsidRPr="00EA5C8F">
              <w:rPr>
                <w:rFonts w:ascii="Arial Narrow" w:eastAsia="Calibri" w:hAnsi="Arial Narrow" w:cs="Arial"/>
                <w:color w:val="auto"/>
                <w:sz w:val="18"/>
                <w:szCs w:val="18"/>
              </w:rPr>
              <w:instrText xml:space="preserve"> FORMCHECKBOX </w:instrText>
            </w:r>
            <w:r w:rsidR="00E965A4">
              <w:rPr>
                <w:rFonts w:ascii="Arial Narrow" w:eastAsia="Calibri" w:hAnsi="Arial Narrow" w:cs="Arial"/>
                <w:color w:val="auto"/>
                <w:sz w:val="18"/>
                <w:szCs w:val="18"/>
              </w:rPr>
            </w:r>
            <w:r w:rsidR="00E965A4">
              <w:rPr>
                <w:rFonts w:ascii="Arial Narrow" w:eastAsia="Calibri" w:hAnsi="Arial Narrow" w:cs="Arial"/>
                <w:color w:val="auto"/>
                <w:sz w:val="18"/>
                <w:szCs w:val="18"/>
              </w:rPr>
              <w:fldChar w:fldCharType="separate"/>
            </w:r>
            <w:r w:rsidRPr="00EA5C8F">
              <w:rPr>
                <w:rFonts w:ascii="Arial Narrow" w:eastAsia="Calibri" w:hAnsi="Arial Narrow" w:cs="Arial"/>
                <w:color w:val="auto"/>
                <w:sz w:val="18"/>
                <w:szCs w:val="18"/>
              </w:rPr>
              <w:fldChar w:fldCharType="end"/>
            </w:r>
            <w:r w:rsidRPr="00EA5C8F">
              <w:rPr>
                <w:rFonts w:ascii="Arial Narrow" w:eastAsia="Calibri" w:hAnsi="Arial Narrow" w:cs="Arial"/>
                <w:color w:val="auto"/>
                <w:sz w:val="18"/>
                <w:szCs w:val="18"/>
              </w:rPr>
              <w:t>Midwives</w:t>
            </w:r>
          </w:p>
        </w:tc>
      </w:tr>
      <w:tr w:rsidR="003C4A6A" w:rsidRPr="00EA5C8F" w:rsidTr="00C101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rPr>
          <w:gridAfter w:val="2"/>
          <w:wAfter w:w="28" w:type="pct"/>
        </w:trPr>
        <w:tc>
          <w:tcPr>
            <w:tcW w:w="855" w:type="pct"/>
            <w:gridSpan w:val="2"/>
            <w:tcBorders>
              <w:top w:val="single" w:sz="4" w:space="0" w:color="auto"/>
              <w:left w:val="single" w:sz="4" w:space="0" w:color="auto"/>
              <w:bottom w:val="single" w:sz="4" w:space="0" w:color="auto"/>
              <w:right w:val="single" w:sz="4" w:space="0" w:color="auto"/>
            </w:tcBorders>
          </w:tcPr>
          <w:p w:rsidR="003C4A6A" w:rsidRPr="002D2320" w:rsidRDefault="003C4A6A" w:rsidP="00C10118">
            <w:pPr>
              <w:spacing w:before="0" w:after="0"/>
              <w:jc w:val="left"/>
              <w:rPr>
                <w:rFonts w:ascii="Arial Narrow" w:eastAsia="Calibri" w:hAnsi="Arial Narrow" w:cs="Arial"/>
                <w:sz w:val="18"/>
                <w:szCs w:val="18"/>
              </w:rPr>
            </w:pPr>
            <w:r w:rsidRPr="002D2320">
              <w:rPr>
                <w:rFonts w:ascii="Arial Narrow" w:eastAsia="Calibri" w:hAnsi="Arial Narrow" w:cs="Arial"/>
                <w:b/>
                <w:sz w:val="18"/>
                <w:szCs w:val="18"/>
              </w:rPr>
              <w:t>Restriction Level / Method:</w:t>
            </w:r>
          </w:p>
        </w:tc>
        <w:tc>
          <w:tcPr>
            <w:tcW w:w="4117" w:type="pct"/>
            <w:gridSpan w:val="6"/>
            <w:tcBorders>
              <w:top w:val="single" w:sz="4" w:space="0" w:color="auto"/>
              <w:left w:val="single" w:sz="4" w:space="0" w:color="auto"/>
              <w:bottom w:val="single" w:sz="4" w:space="0" w:color="auto"/>
              <w:right w:val="single" w:sz="4" w:space="0" w:color="auto"/>
            </w:tcBorders>
          </w:tcPr>
          <w:p w:rsidR="003C4A6A" w:rsidRPr="00EA5C8F" w:rsidRDefault="003C4A6A" w:rsidP="001E358B">
            <w:pPr>
              <w:spacing w:before="0" w:after="0"/>
              <w:rPr>
                <w:rFonts w:ascii="Arial Narrow" w:eastAsia="Calibri" w:hAnsi="Arial Narrow" w:cs="Arial"/>
                <w:color w:val="auto"/>
                <w:sz w:val="18"/>
                <w:szCs w:val="18"/>
              </w:rPr>
            </w:pPr>
            <w:r w:rsidRPr="00EA5C8F">
              <w:rPr>
                <w:rFonts w:ascii="Arial Narrow" w:eastAsia="Calibri" w:hAnsi="Arial Narrow" w:cs="Arial"/>
                <w:color w:val="auto"/>
                <w:sz w:val="18"/>
                <w:szCs w:val="18"/>
              </w:rPr>
              <w:fldChar w:fldCharType="begin">
                <w:ffData>
                  <w:name w:val="Check1"/>
                  <w:enabled/>
                  <w:calcOnExit w:val="0"/>
                  <w:checkBox>
                    <w:sizeAuto/>
                    <w:default w:val="0"/>
                  </w:checkBox>
                </w:ffData>
              </w:fldChar>
            </w:r>
            <w:r w:rsidRPr="00EA5C8F">
              <w:rPr>
                <w:rFonts w:ascii="Arial Narrow" w:eastAsia="Calibri" w:hAnsi="Arial Narrow" w:cs="Arial"/>
                <w:color w:val="auto"/>
                <w:sz w:val="18"/>
                <w:szCs w:val="18"/>
              </w:rPr>
              <w:instrText xml:space="preserve"> FORMCHECKBOX </w:instrText>
            </w:r>
            <w:r w:rsidR="00E965A4">
              <w:rPr>
                <w:rFonts w:ascii="Arial Narrow" w:eastAsia="Calibri" w:hAnsi="Arial Narrow" w:cs="Arial"/>
                <w:color w:val="auto"/>
                <w:sz w:val="18"/>
                <w:szCs w:val="18"/>
              </w:rPr>
            </w:r>
            <w:r w:rsidR="00E965A4">
              <w:rPr>
                <w:rFonts w:ascii="Arial Narrow" w:eastAsia="Calibri" w:hAnsi="Arial Narrow" w:cs="Arial"/>
                <w:color w:val="auto"/>
                <w:sz w:val="18"/>
                <w:szCs w:val="18"/>
              </w:rPr>
              <w:fldChar w:fldCharType="separate"/>
            </w:r>
            <w:r w:rsidRPr="00EA5C8F">
              <w:rPr>
                <w:rFonts w:ascii="Arial Narrow" w:eastAsia="Calibri" w:hAnsi="Arial Narrow" w:cs="Arial"/>
                <w:color w:val="auto"/>
                <w:sz w:val="18"/>
                <w:szCs w:val="18"/>
              </w:rPr>
              <w:fldChar w:fldCharType="end"/>
            </w:r>
            <w:r w:rsidRPr="00EA5C8F">
              <w:rPr>
                <w:rFonts w:ascii="Arial Narrow" w:eastAsia="Calibri" w:hAnsi="Arial Narrow" w:cs="Arial"/>
                <w:color w:val="auto"/>
                <w:sz w:val="18"/>
                <w:szCs w:val="18"/>
              </w:rPr>
              <w:t>Unrestricted benefit</w:t>
            </w:r>
          </w:p>
          <w:p w:rsidR="003C4A6A" w:rsidRPr="00EA5C8F" w:rsidRDefault="003C4A6A" w:rsidP="001E358B">
            <w:pPr>
              <w:spacing w:before="0" w:after="0"/>
              <w:rPr>
                <w:rFonts w:ascii="Arial Narrow" w:eastAsia="Calibri" w:hAnsi="Arial Narrow" w:cs="Arial"/>
                <w:color w:val="auto"/>
                <w:sz w:val="18"/>
                <w:szCs w:val="18"/>
              </w:rPr>
            </w:pPr>
            <w:r w:rsidRPr="00EA5C8F">
              <w:rPr>
                <w:rFonts w:ascii="Arial Narrow" w:eastAsia="Calibri" w:hAnsi="Arial Narrow" w:cs="Arial"/>
                <w:color w:val="auto"/>
                <w:sz w:val="18"/>
                <w:szCs w:val="18"/>
              </w:rPr>
              <w:fldChar w:fldCharType="begin">
                <w:ffData>
                  <w:name w:val="Check1"/>
                  <w:enabled/>
                  <w:calcOnExit w:val="0"/>
                  <w:checkBox>
                    <w:sizeAuto/>
                    <w:default w:val="0"/>
                  </w:checkBox>
                </w:ffData>
              </w:fldChar>
            </w:r>
            <w:r w:rsidRPr="00EA5C8F">
              <w:rPr>
                <w:rFonts w:ascii="Arial Narrow" w:eastAsia="Calibri" w:hAnsi="Arial Narrow" w:cs="Arial"/>
                <w:color w:val="auto"/>
                <w:sz w:val="18"/>
                <w:szCs w:val="18"/>
              </w:rPr>
              <w:instrText xml:space="preserve"> FORMCHECKBOX </w:instrText>
            </w:r>
            <w:r w:rsidR="00E965A4">
              <w:rPr>
                <w:rFonts w:ascii="Arial Narrow" w:eastAsia="Calibri" w:hAnsi="Arial Narrow" w:cs="Arial"/>
                <w:color w:val="auto"/>
                <w:sz w:val="18"/>
                <w:szCs w:val="18"/>
              </w:rPr>
            </w:r>
            <w:r w:rsidR="00E965A4">
              <w:rPr>
                <w:rFonts w:ascii="Arial Narrow" w:eastAsia="Calibri" w:hAnsi="Arial Narrow" w:cs="Arial"/>
                <w:color w:val="auto"/>
                <w:sz w:val="18"/>
                <w:szCs w:val="18"/>
              </w:rPr>
              <w:fldChar w:fldCharType="separate"/>
            </w:r>
            <w:r w:rsidRPr="00EA5C8F">
              <w:rPr>
                <w:rFonts w:ascii="Arial Narrow" w:eastAsia="Calibri" w:hAnsi="Arial Narrow" w:cs="Arial"/>
                <w:color w:val="auto"/>
                <w:sz w:val="18"/>
                <w:szCs w:val="18"/>
              </w:rPr>
              <w:fldChar w:fldCharType="end"/>
            </w:r>
            <w:r w:rsidRPr="00EA5C8F">
              <w:rPr>
                <w:rFonts w:ascii="Arial Narrow" w:eastAsia="Calibri" w:hAnsi="Arial Narrow" w:cs="Arial"/>
                <w:color w:val="auto"/>
                <w:sz w:val="18"/>
                <w:szCs w:val="18"/>
              </w:rPr>
              <w:t>Restricted benefit</w:t>
            </w:r>
          </w:p>
          <w:p w:rsidR="003C4A6A" w:rsidRPr="00EA5C8F" w:rsidRDefault="003C4A6A" w:rsidP="001E358B">
            <w:pPr>
              <w:spacing w:before="0" w:after="0"/>
              <w:rPr>
                <w:rFonts w:ascii="Arial Narrow" w:eastAsia="Calibri" w:hAnsi="Arial Narrow" w:cs="Arial"/>
                <w:color w:val="auto"/>
                <w:sz w:val="18"/>
                <w:szCs w:val="18"/>
              </w:rPr>
            </w:pPr>
            <w:r w:rsidRPr="00EA5C8F">
              <w:rPr>
                <w:rFonts w:ascii="Arial Narrow" w:eastAsia="Calibri" w:hAnsi="Arial Narrow" w:cs="Arial"/>
                <w:color w:val="auto"/>
                <w:sz w:val="18"/>
                <w:szCs w:val="18"/>
              </w:rPr>
              <w:fldChar w:fldCharType="begin">
                <w:ffData>
                  <w:name w:val=""/>
                  <w:enabled/>
                  <w:calcOnExit w:val="0"/>
                  <w:checkBox>
                    <w:sizeAuto/>
                    <w:default w:val="0"/>
                  </w:checkBox>
                </w:ffData>
              </w:fldChar>
            </w:r>
            <w:r w:rsidRPr="00EA5C8F">
              <w:rPr>
                <w:rFonts w:ascii="Arial Narrow" w:eastAsia="Calibri" w:hAnsi="Arial Narrow" w:cs="Arial"/>
                <w:color w:val="auto"/>
                <w:sz w:val="18"/>
                <w:szCs w:val="18"/>
              </w:rPr>
              <w:instrText xml:space="preserve"> FORMCHECKBOX </w:instrText>
            </w:r>
            <w:r w:rsidR="00E965A4">
              <w:rPr>
                <w:rFonts w:ascii="Arial Narrow" w:eastAsia="Calibri" w:hAnsi="Arial Narrow" w:cs="Arial"/>
                <w:color w:val="auto"/>
                <w:sz w:val="18"/>
                <w:szCs w:val="18"/>
              </w:rPr>
            </w:r>
            <w:r w:rsidR="00E965A4">
              <w:rPr>
                <w:rFonts w:ascii="Arial Narrow" w:eastAsia="Calibri" w:hAnsi="Arial Narrow" w:cs="Arial"/>
                <w:color w:val="auto"/>
                <w:sz w:val="18"/>
                <w:szCs w:val="18"/>
              </w:rPr>
              <w:fldChar w:fldCharType="separate"/>
            </w:r>
            <w:r w:rsidRPr="00EA5C8F">
              <w:rPr>
                <w:rFonts w:ascii="Arial Narrow" w:eastAsia="Calibri" w:hAnsi="Arial Narrow" w:cs="Arial"/>
                <w:color w:val="auto"/>
                <w:sz w:val="18"/>
                <w:szCs w:val="18"/>
              </w:rPr>
              <w:fldChar w:fldCharType="end"/>
            </w:r>
            <w:r w:rsidRPr="00EA5C8F">
              <w:rPr>
                <w:rFonts w:ascii="Arial Narrow" w:eastAsia="Calibri" w:hAnsi="Arial Narrow" w:cs="Arial"/>
                <w:color w:val="auto"/>
                <w:sz w:val="18"/>
                <w:szCs w:val="18"/>
              </w:rPr>
              <w:t>Authority Required – In Writing</w:t>
            </w:r>
          </w:p>
          <w:p w:rsidR="003C4A6A" w:rsidRPr="00EA5C8F" w:rsidRDefault="003C4A6A" w:rsidP="001E358B">
            <w:pPr>
              <w:spacing w:before="0" w:after="0"/>
              <w:rPr>
                <w:rFonts w:ascii="Arial Narrow" w:eastAsia="Calibri" w:hAnsi="Arial Narrow" w:cs="Arial"/>
                <w:color w:val="auto"/>
                <w:sz w:val="18"/>
                <w:szCs w:val="18"/>
              </w:rPr>
            </w:pPr>
            <w:r w:rsidRPr="00EA5C8F">
              <w:rPr>
                <w:rFonts w:ascii="Arial Narrow" w:eastAsia="Calibri" w:hAnsi="Arial Narrow" w:cs="Arial"/>
                <w:color w:val="auto"/>
                <w:sz w:val="18"/>
                <w:szCs w:val="18"/>
              </w:rPr>
              <w:fldChar w:fldCharType="begin">
                <w:ffData>
                  <w:name w:val=""/>
                  <w:enabled/>
                  <w:calcOnExit w:val="0"/>
                  <w:checkBox>
                    <w:sizeAuto/>
                    <w:default w:val="0"/>
                  </w:checkBox>
                </w:ffData>
              </w:fldChar>
            </w:r>
            <w:r w:rsidRPr="00EA5C8F">
              <w:rPr>
                <w:rFonts w:ascii="Arial Narrow" w:eastAsia="Calibri" w:hAnsi="Arial Narrow" w:cs="Arial"/>
                <w:color w:val="auto"/>
                <w:sz w:val="18"/>
                <w:szCs w:val="18"/>
              </w:rPr>
              <w:instrText xml:space="preserve"> FORMCHECKBOX </w:instrText>
            </w:r>
            <w:r w:rsidR="00E965A4">
              <w:rPr>
                <w:rFonts w:ascii="Arial Narrow" w:eastAsia="Calibri" w:hAnsi="Arial Narrow" w:cs="Arial"/>
                <w:color w:val="auto"/>
                <w:sz w:val="18"/>
                <w:szCs w:val="18"/>
              </w:rPr>
            </w:r>
            <w:r w:rsidR="00E965A4">
              <w:rPr>
                <w:rFonts w:ascii="Arial Narrow" w:eastAsia="Calibri" w:hAnsi="Arial Narrow" w:cs="Arial"/>
                <w:color w:val="auto"/>
                <w:sz w:val="18"/>
                <w:szCs w:val="18"/>
              </w:rPr>
              <w:fldChar w:fldCharType="separate"/>
            </w:r>
            <w:r w:rsidRPr="00EA5C8F">
              <w:rPr>
                <w:rFonts w:ascii="Arial Narrow" w:eastAsia="Calibri" w:hAnsi="Arial Narrow" w:cs="Arial"/>
                <w:color w:val="auto"/>
                <w:sz w:val="18"/>
                <w:szCs w:val="18"/>
              </w:rPr>
              <w:fldChar w:fldCharType="end"/>
            </w:r>
            <w:r w:rsidRPr="00EA5C8F">
              <w:rPr>
                <w:rFonts w:ascii="Arial Narrow" w:eastAsia="Calibri" w:hAnsi="Arial Narrow" w:cs="Arial"/>
                <w:color w:val="auto"/>
                <w:sz w:val="18"/>
                <w:szCs w:val="18"/>
              </w:rPr>
              <w:t>Authority Required – Telephone/Electronic/Emergency</w:t>
            </w:r>
          </w:p>
          <w:p w:rsidR="003C4A6A" w:rsidRPr="00EA5C8F" w:rsidRDefault="003C4A6A" w:rsidP="001E358B">
            <w:pPr>
              <w:spacing w:before="0" w:after="0"/>
              <w:rPr>
                <w:rFonts w:ascii="Arial Narrow" w:eastAsia="Calibri" w:hAnsi="Arial Narrow" w:cs="Arial"/>
                <w:color w:val="auto"/>
                <w:sz w:val="18"/>
                <w:szCs w:val="18"/>
              </w:rPr>
            </w:pPr>
            <w:r w:rsidRPr="00EA5C8F">
              <w:rPr>
                <w:rFonts w:ascii="Arial Narrow" w:eastAsia="Calibri" w:hAnsi="Arial Narrow" w:cs="Arial"/>
                <w:color w:val="auto"/>
                <w:sz w:val="18"/>
                <w:szCs w:val="18"/>
              </w:rPr>
              <w:fldChar w:fldCharType="begin">
                <w:ffData>
                  <w:name w:val=""/>
                  <w:enabled/>
                  <w:calcOnExit w:val="0"/>
                  <w:checkBox>
                    <w:sizeAuto/>
                    <w:default w:val="1"/>
                  </w:checkBox>
                </w:ffData>
              </w:fldChar>
            </w:r>
            <w:r w:rsidRPr="00EA5C8F">
              <w:rPr>
                <w:rFonts w:ascii="Arial Narrow" w:eastAsia="Calibri" w:hAnsi="Arial Narrow" w:cs="Arial"/>
                <w:color w:val="auto"/>
                <w:sz w:val="18"/>
                <w:szCs w:val="18"/>
              </w:rPr>
              <w:instrText xml:space="preserve"> FORMCHECKBOX </w:instrText>
            </w:r>
            <w:r w:rsidR="00E965A4">
              <w:rPr>
                <w:rFonts w:ascii="Arial Narrow" w:eastAsia="Calibri" w:hAnsi="Arial Narrow" w:cs="Arial"/>
                <w:color w:val="auto"/>
                <w:sz w:val="18"/>
                <w:szCs w:val="18"/>
              </w:rPr>
            </w:r>
            <w:r w:rsidR="00E965A4">
              <w:rPr>
                <w:rFonts w:ascii="Arial Narrow" w:eastAsia="Calibri" w:hAnsi="Arial Narrow" w:cs="Arial"/>
                <w:color w:val="auto"/>
                <w:sz w:val="18"/>
                <w:szCs w:val="18"/>
              </w:rPr>
              <w:fldChar w:fldCharType="separate"/>
            </w:r>
            <w:r w:rsidRPr="00EA5C8F">
              <w:rPr>
                <w:rFonts w:ascii="Arial Narrow" w:eastAsia="Calibri" w:hAnsi="Arial Narrow" w:cs="Arial"/>
                <w:color w:val="auto"/>
                <w:sz w:val="18"/>
                <w:szCs w:val="18"/>
              </w:rPr>
              <w:fldChar w:fldCharType="end"/>
            </w:r>
            <w:r w:rsidRPr="00EA5C8F">
              <w:rPr>
                <w:rFonts w:ascii="Arial Narrow" w:eastAsia="Calibri" w:hAnsi="Arial Narrow" w:cs="Arial"/>
                <w:color w:val="auto"/>
                <w:sz w:val="18"/>
                <w:szCs w:val="18"/>
              </w:rPr>
              <w:t>Authority Required - Streamlined</w:t>
            </w:r>
          </w:p>
        </w:tc>
      </w:tr>
      <w:tr w:rsidR="003C4A6A" w:rsidRPr="00EA5C8F" w:rsidTr="00C101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rPr>
          <w:gridAfter w:val="2"/>
          <w:wAfter w:w="28" w:type="pct"/>
        </w:trPr>
        <w:tc>
          <w:tcPr>
            <w:tcW w:w="855" w:type="pct"/>
            <w:gridSpan w:val="2"/>
            <w:tcBorders>
              <w:top w:val="single" w:sz="4" w:space="0" w:color="auto"/>
              <w:left w:val="single" w:sz="4" w:space="0" w:color="auto"/>
              <w:bottom w:val="single" w:sz="4" w:space="0" w:color="auto"/>
              <w:right w:val="single" w:sz="4" w:space="0" w:color="auto"/>
            </w:tcBorders>
          </w:tcPr>
          <w:p w:rsidR="003C4A6A" w:rsidRPr="002D2320" w:rsidRDefault="003C4A6A" w:rsidP="002D2320">
            <w:pPr>
              <w:spacing w:before="0" w:after="0"/>
              <w:jc w:val="left"/>
              <w:rPr>
                <w:rFonts w:ascii="Arial Narrow" w:eastAsia="Calibri" w:hAnsi="Arial Narrow" w:cs="Arial"/>
                <w:i/>
                <w:sz w:val="18"/>
                <w:szCs w:val="18"/>
              </w:rPr>
            </w:pPr>
            <w:r w:rsidRPr="002D2320">
              <w:rPr>
                <w:rFonts w:ascii="Arial Narrow" w:eastAsia="Calibri" w:hAnsi="Arial Narrow" w:cs="Arial"/>
                <w:b/>
                <w:sz w:val="18"/>
                <w:szCs w:val="18"/>
              </w:rPr>
              <w:t>Severity:</w:t>
            </w:r>
          </w:p>
        </w:tc>
        <w:tc>
          <w:tcPr>
            <w:tcW w:w="4117" w:type="pct"/>
            <w:gridSpan w:val="6"/>
            <w:tcBorders>
              <w:top w:val="single" w:sz="4" w:space="0" w:color="auto"/>
              <w:left w:val="single" w:sz="4" w:space="0" w:color="auto"/>
              <w:bottom w:val="single" w:sz="4" w:space="0" w:color="auto"/>
              <w:right w:val="single" w:sz="4" w:space="0" w:color="auto"/>
            </w:tcBorders>
          </w:tcPr>
          <w:p w:rsidR="003C4A6A" w:rsidRPr="00EA5C8F" w:rsidRDefault="003C4A6A" w:rsidP="001E358B">
            <w:pPr>
              <w:spacing w:before="0" w:after="0"/>
              <w:rPr>
                <w:rFonts w:ascii="Arial Narrow" w:eastAsia="Calibri" w:hAnsi="Arial Narrow" w:cs="Arial"/>
                <w:b/>
                <w:color w:val="auto"/>
                <w:sz w:val="18"/>
                <w:szCs w:val="18"/>
              </w:rPr>
            </w:pPr>
            <w:r w:rsidRPr="00EA5C8F">
              <w:rPr>
                <w:rFonts w:ascii="Arial Narrow" w:eastAsia="Calibri" w:hAnsi="Arial Narrow" w:cs="Calibri"/>
                <w:color w:val="auto"/>
                <w:sz w:val="18"/>
                <w:szCs w:val="18"/>
              </w:rPr>
              <w:t>Unresectable locally advanced or metastatic</w:t>
            </w:r>
          </w:p>
        </w:tc>
      </w:tr>
      <w:tr w:rsidR="003C4A6A" w:rsidRPr="00EA5C8F" w:rsidTr="00C101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rPr>
          <w:gridAfter w:val="2"/>
          <w:wAfter w:w="28" w:type="pct"/>
        </w:trPr>
        <w:tc>
          <w:tcPr>
            <w:tcW w:w="855" w:type="pct"/>
            <w:gridSpan w:val="2"/>
            <w:tcBorders>
              <w:top w:val="single" w:sz="4" w:space="0" w:color="auto"/>
              <w:left w:val="single" w:sz="4" w:space="0" w:color="auto"/>
              <w:bottom w:val="single" w:sz="4" w:space="0" w:color="auto"/>
              <w:right w:val="single" w:sz="4" w:space="0" w:color="auto"/>
            </w:tcBorders>
          </w:tcPr>
          <w:p w:rsidR="003C4A6A" w:rsidRPr="002D2320" w:rsidRDefault="003C4A6A" w:rsidP="002D2320">
            <w:pPr>
              <w:spacing w:before="0" w:after="0"/>
              <w:jc w:val="left"/>
              <w:rPr>
                <w:rFonts w:ascii="Arial Narrow" w:eastAsia="Calibri" w:hAnsi="Arial Narrow" w:cs="Arial"/>
                <w:i/>
                <w:sz w:val="18"/>
                <w:szCs w:val="18"/>
              </w:rPr>
            </w:pPr>
            <w:r w:rsidRPr="002D2320">
              <w:rPr>
                <w:rFonts w:ascii="Arial Narrow" w:eastAsia="Calibri" w:hAnsi="Arial Narrow" w:cs="Arial"/>
                <w:b/>
                <w:sz w:val="18"/>
                <w:szCs w:val="18"/>
              </w:rPr>
              <w:t>Condition:</w:t>
            </w:r>
          </w:p>
        </w:tc>
        <w:tc>
          <w:tcPr>
            <w:tcW w:w="4117" w:type="pct"/>
            <w:gridSpan w:val="6"/>
            <w:tcBorders>
              <w:top w:val="single" w:sz="4" w:space="0" w:color="auto"/>
              <w:left w:val="single" w:sz="4" w:space="0" w:color="auto"/>
              <w:bottom w:val="single" w:sz="4" w:space="0" w:color="auto"/>
              <w:right w:val="single" w:sz="4" w:space="0" w:color="auto"/>
            </w:tcBorders>
          </w:tcPr>
          <w:p w:rsidR="003C4A6A" w:rsidRPr="00EA5C8F" w:rsidRDefault="003C4A6A" w:rsidP="001E358B">
            <w:pPr>
              <w:spacing w:before="0" w:after="0"/>
              <w:rPr>
                <w:rFonts w:ascii="Arial Narrow" w:eastAsia="Calibri" w:hAnsi="Arial Narrow" w:cs="Arial"/>
                <w:b/>
                <w:i/>
                <w:color w:val="auto"/>
                <w:sz w:val="18"/>
                <w:szCs w:val="18"/>
              </w:rPr>
            </w:pPr>
            <w:r w:rsidRPr="00EA5C8F">
              <w:rPr>
                <w:rFonts w:ascii="Arial Narrow" w:eastAsia="Calibri" w:hAnsi="Arial Narrow" w:cs="Arial"/>
                <w:color w:val="auto"/>
                <w:sz w:val="18"/>
                <w:szCs w:val="18"/>
              </w:rPr>
              <w:t>triple</w:t>
            </w:r>
            <w:r w:rsidRPr="00EA5C8F">
              <w:rPr>
                <w:rFonts w:ascii="Arial Narrow" w:eastAsia="Calibri" w:hAnsi="Arial Narrow" w:cs="Arial"/>
                <w:strike/>
                <w:color w:val="auto"/>
                <w:sz w:val="18"/>
                <w:szCs w:val="18"/>
              </w:rPr>
              <w:t>-</w:t>
            </w:r>
            <w:r w:rsidRPr="00EA5C8F">
              <w:rPr>
                <w:rFonts w:ascii="Arial Narrow" w:eastAsia="Calibri" w:hAnsi="Arial Narrow" w:cs="Arial"/>
                <w:color w:val="auto"/>
                <w:sz w:val="18"/>
                <w:szCs w:val="18"/>
              </w:rPr>
              <w:t>negative</w:t>
            </w:r>
            <w:r w:rsidRPr="00EA5C8F">
              <w:rPr>
                <w:rFonts w:ascii="Arial Narrow" w:eastAsia="Calibri" w:hAnsi="Arial Narrow" w:cs="Calibri"/>
                <w:color w:val="auto"/>
                <w:sz w:val="18"/>
                <w:szCs w:val="18"/>
              </w:rPr>
              <w:t xml:space="preserve"> breast cancer </w:t>
            </w:r>
            <w:r w:rsidRPr="00EA5C8F">
              <w:rPr>
                <w:rFonts w:ascii="Arial Narrow" w:eastAsia="Calibri" w:hAnsi="Arial Narrow" w:cs="Calibri"/>
                <w:i/>
                <w:color w:val="auto"/>
                <w:sz w:val="18"/>
                <w:szCs w:val="18"/>
              </w:rPr>
              <w:t>(delete hyphen)</w:t>
            </w:r>
          </w:p>
        </w:tc>
      </w:tr>
      <w:tr w:rsidR="003C4A6A" w:rsidRPr="00EA5C8F" w:rsidTr="00C101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rPr>
          <w:gridAfter w:val="2"/>
          <w:wAfter w:w="28" w:type="pct"/>
        </w:trPr>
        <w:tc>
          <w:tcPr>
            <w:tcW w:w="855" w:type="pct"/>
            <w:gridSpan w:val="2"/>
            <w:tcBorders>
              <w:top w:val="single" w:sz="4" w:space="0" w:color="auto"/>
              <w:left w:val="single" w:sz="4" w:space="0" w:color="auto"/>
              <w:bottom w:val="single" w:sz="4" w:space="0" w:color="auto"/>
              <w:right w:val="single" w:sz="4" w:space="0" w:color="auto"/>
            </w:tcBorders>
            <w:vAlign w:val="center"/>
          </w:tcPr>
          <w:p w:rsidR="003C4A6A" w:rsidRPr="002D2320" w:rsidRDefault="003C4A6A" w:rsidP="002D2320">
            <w:pPr>
              <w:spacing w:before="0" w:after="0"/>
              <w:jc w:val="left"/>
              <w:rPr>
                <w:rFonts w:ascii="Arial Narrow" w:eastAsia="Times New Roman" w:hAnsi="Arial Narrow" w:cs="Times New Roman"/>
                <w:sz w:val="18"/>
                <w:szCs w:val="18"/>
                <w:lang w:eastAsia="en-AU"/>
              </w:rPr>
            </w:pPr>
            <w:r w:rsidRPr="002D2320">
              <w:rPr>
                <w:rFonts w:ascii="Arial Narrow" w:eastAsia="Times New Roman" w:hAnsi="Arial Narrow" w:cs="Times New Roman"/>
                <w:b/>
                <w:bCs/>
                <w:sz w:val="18"/>
                <w:szCs w:val="18"/>
                <w:lang w:eastAsia="en-AU"/>
              </w:rPr>
              <w:t>Indication:</w:t>
            </w:r>
          </w:p>
        </w:tc>
        <w:tc>
          <w:tcPr>
            <w:tcW w:w="4117" w:type="pct"/>
            <w:gridSpan w:val="6"/>
            <w:tcBorders>
              <w:top w:val="single" w:sz="4" w:space="0" w:color="auto"/>
              <w:left w:val="single" w:sz="4" w:space="0" w:color="auto"/>
              <w:bottom w:val="single" w:sz="4" w:space="0" w:color="auto"/>
              <w:right w:val="single" w:sz="4" w:space="0" w:color="auto"/>
            </w:tcBorders>
            <w:vAlign w:val="center"/>
          </w:tcPr>
          <w:p w:rsidR="003C4A6A" w:rsidRPr="00EA5C8F" w:rsidRDefault="003C4A6A" w:rsidP="004B7914">
            <w:pPr>
              <w:spacing w:before="0" w:after="0"/>
              <w:jc w:val="left"/>
              <w:rPr>
                <w:rFonts w:ascii="Arial Narrow" w:eastAsia="Times New Roman" w:hAnsi="Arial Narrow" w:cs="Times New Roman"/>
                <w:b/>
                <w:bCs/>
                <w:color w:val="333333"/>
                <w:sz w:val="18"/>
                <w:szCs w:val="18"/>
                <w:lang w:eastAsia="en-AU"/>
              </w:rPr>
            </w:pPr>
            <w:r w:rsidRPr="00EA5C8F">
              <w:rPr>
                <w:rFonts w:ascii="Arial Narrow" w:eastAsia="Times New Roman" w:hAnsi="Arial Narrow" w:cs="Times New Roman"/>
                <w:bCs/>
                <w:color w:val="333333"/>
                <w:sz w:val="18"/>
                <w:szCs w:val="18"/>
                <w:lang w:eastAsia="en-AU"/>
              </w:rPr>
              <w:t>Unresectable locally advanced or metastatic</w:t>
            </w:r>
            <w:r w:rsidRPr="00EA5C8F">
              <w:rPr>
                <w:rFonts w:ascii="Arial Narrow" w:eastAsia="Times New Roman" w:hAnsi="Arial Narrow" w:cs="Times New Roman"/>
                <w:b/>
                <w:bCs/>
                <w:color w:val="333333"/>
                <w:sz w:val="18"/>
                <w:szCs w:val="18"/>
                <w:lang w:eastAsia="en-AU"/>
              </w:rPr>
              <w:t xml:space="preserve"> </w:t>
            </w:r>
            <w:r w:rsidRPr="00EA5C8F">
              <w:rPr>
                <w:rFonts w:ascii="Arial Narrow" w:eastAsia="Times New Roman" w:hAnsi="Arial Narrow" w:cs="Times New Roman"/>
                <w:bCs/>
                <w:color w:val="333333"/>
                <w:sz w:val="18"/>
                <w:szCs w:val="18"/>
                <w:lang w:eastAsia="en-AU"/>
              </w:rPr>
              <w:t>triple</w:t>
            </w:r>
            <w:r w:rsidR="004B7914">
              <w:rPr>
                <w:rFonts w:ascii="Arial Narrow" w:eastAsia="Times New Roman" w:hAnsi="Arial Narrow" w:cs="Times New Roman"/>
                <w:bCs/>
                <w:color w:val="333333"/>
                <w:sz w:val="18"/>
                <w:szCs w:val="18"/>
                <w:lang w:eastAsia="en-AU"/>
              </w:rPr>
              <w:t>-</w:t>
            </w:r>
            <w:r w:rsidRPr="00EA5C8F">
              <w:rPr>
                <w:rFonts w:ascii="Arial Narrow" w:eastAsia="Times New Roman" w:hAnsi="Arial Narrow" w:cs="Times New Roman"/>
                <w:bCs/>
                <w:color w:val="333333"/>
                <w:sz w:val="18"/>
                <w:szCs w:val="18"/>
                <w:lang w:eastAsia="en-AU"/>
              </w:rPr>
              <w:t>negative breast cancer</w:t>
            </w:r>
          </w:p>
        </w:tc>
      </w:tr>
      <w:tr w:rsidR="003C4A6A" w:rsidRPr="00EA5C8F" w:rsidTr="00C101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rPr>
          <w:gridAfter w:val="2"/>
          <w:wAfter w:w="28" w:type="pct"/>
        </w:trPr>
        <w:tc>
          <w:tcPr>
            <w:tcW w:w="855" w:type="pct"/>
            <w:gridSpan w:val="2"/>
            <w:tcBorders>
              <w:top w:val="single" w:sz="4" w:space="0" w:color="auto"/>
              <w:left w:val="single" w:sz="4" w:space="0" w:color="auto"/>
              <w:bottom w:val="single" w:sz="4" w:space="0" w:color="auto"/>
              <w:right w:val="single" w:sz="4" w:space="0" w:color="auto"/>
            </w:tcBorders>
            <w:vAlign w:val="center"/>
          </w:tcPr>
          <w:p w:rsidR="003C4A6A" w:rsidRPr="002D2320" w:rsidRDefault="003C4A6A" w:rsidP="002D2320">
            <w:pPr>
              <w:spacing w:before="0" w:after="0"/>
              <w:jc w:val="left"/>
              <w:rPr>
                <w:rFonts w:ascii="Arial Narrow" w:eastAsia="Times New Roman" w:hAnsi="Arial Narrow" w:cs="Times New Roman"/>
                <w:sz w:val="18"/>
                <w:szCs w:val="18"/>
                <w:lang w:eastAsia="en-AU"/>
              </w:rPr>
            </w:pPr>
            <w:r w:rsidRPr="002D2320">
              <w:rPr>
                <w:rFonts w:ascii="Arial Narrow" w:eastAsia="Times New Roman" w:hAnsi="Arial Narrow" w:cs="Times New Roman"/>
                <w:b/>
                <w:bCs/>
                <w:sz w:val="18"/>
                <w:szCs w:val="18"/>
                <w:lang w:eastAsia="en-AU"/>
              </w:rPr>
              <w:t>Treatment Phase:</w:t>
            </w:r>
          </w:p>
        </w:tc>
        <w:tc>
          <w:tcPr>
            <w:tcW w:w="4117" w:type="pct"/>
            <w:gridSpan w:val="6"/>
            <w:tcBorders>
              <w:top w:val="single" w:sz="4" w:space="0" w:color="auto"/>
              <w:left w:val="single" w:sz="4" w:space="0" w:color="auto"/>
              <w:bottom w:val="single" w:sz="4" w:space="0" w:color="auto"/>
              <w:right w:val="single" w:sz="4" w:space="0" w:color="auto"/>
            </w:tcBorders>
            <w:vAlign w:val="center"/>
          </w:tcPr>
          <w:p w:rsidR="003C4A6A" w:rsidRPr="00EA5C8F" w:rsidRDefault="003C4A6A" w:rsidP="001E358B">
            <w:pPr>
              <w:spacing w:before="0" w:after="0"/>
              <w:jc w:val="left"/>
              <w:rPr>
                <w:rFonts w:ascii="Arial Narrow" w:eastAsia="Times New Roman" w:hAnsi="Arial Narrow" w:cs="Times New Roman"/>
                <w:b/>
                <w:bCs/>
                <w:color w:val="333333"/>
                <w:sz w:val="18"/>
                <w:szCs w:val="18"/>
                <w:lang w:eastAsia="en-AU"/>
              </w:rPr>
            </w:pPr>
            <w:r w:rsidRPr="00EA5C8F">
              <w:rPr>
                <w:rFonts w:ascii="Arial Narrow" w:eastAsia="Times New Roman" w:hAnsi="Arial Narrow" w:cs="Times New Roman"/>
                <w:bCs/>
                <w:color w:val="333333"/>
                <w:sz w:val="18"/>
                <w:szCs w:val="18"/>
                <w:lang w:eastAsia="en-AU"/>
              </w:rPr>
              <w:t>Initial treatment</w:t>
            </w:r>
          </w:p>
        </w:tc>
      </w:tr>
      <w:tr w:rsidR="003C4A6A" w:rsidRPr="00EA5C8F" w:rsidTr="00C101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rPr>
          <w:gridAfter w:val="2"/>
          <w:wAfter w:w="28" w:type="pct"/>
        </w:trPr>
        <w:tc>
          <w:tcPr>
            <w:tcW w:w="855" w:type="pct"/>
            <w:gridSpan w:val="2"/>
            <w:tcBorders>
              <w:top w:val="single" w:sz="4" w:space="0" w:color="auto"/>
              <w:left w:val="single" w:sz="4" w:space="0" w:color="auto"/>
              <w:bottom w:val="single" w:sz="4" w:space="0" w:color="auto"/>
              <w:right w:val="single" w:sz="4" w:space="0" w:color="auto"/>
            </w:tcBorders>
            <w:vAlign w:val="center"/>
          </w:tcPr>
          <w:p w:rsidR="003C4A6A" w:rsidRPr="002D2320" w:rsidRDefault="003C4A6A" w:rsidP="002D2320">
            <w:pPr>
              <w:spacing w:before="0" w:after="0"/>
              <w:jc w:val="left"/>
              <w:rPr>
                <w:rFonts w:ascii="Arial Narrow" w:eastAsia="Times New Roman" w:hAnsi="Arial Narrow" w:cs="Times New Roman"/>
                <w:sz w:val="18"/>
                <w:szCs w:val="18"/>
                <w:lang w:eastAsia="en-AU"/>
              </w:rPr>
            </w:pPr>
            <w:r w:rsidRPr="002D2320">
              <w:rPr>
                <w:rFonts w:ascii="Arial Narrow" w:eastAsia="Times New Roman" w:hAnsi="Arial Narrow" w:cs="Times New Roman"/>
                <w:b/>
                <w:bCs/>
                <w:sz w:val="18"/>
                <w:szCs w:val="18"/>
                <w:lang w:eastAsia="en-AU"/>
              </w:rPr>
              <w:t>Clinical criteria:</w:t>
            </w:r>
          </w:p>
        </w:tc>
        <w:tc>
          <w:tcPr>
            <w:tcW w:w="4117" w:type="pct"/>
            <w:gridSpan w:val="6"/>
            <w:tcBorders>
              <w:top w:val="single" w:sz="4" w:space="0" w:color="auto"/>
              <w:left w:val="single" w:sz="4" w:space="0" w:color="auto"/>
              <w:bottom w:val="single" w:sz="4" w:space="0" w:color="auto"/>
              <w:right w:val="single" w:sz="4" w:space="0" w:color="auto"/>
            </w:tcBorders>
            <w:vAlign w:val="center"/>
          </w:tcPr>
          <w:p w:rsidR="002D2320" w:rsidRPr="00EA5C8F" w:rsidRDefault="002D2320" w:rsidP="002D2320">
            <w:pPr>
              <w:spacing w:before="0" w:after="0"/>
              <w:rPr>
                <w:rFonts w:ascii="Arial Narrow" w:eastAsia="Times New Roman" w:hAnsi="Arial Narrow" w:cs="Arial"/>
                <w:strike/>
                <w:color w:val="auto"/>
                <w:sz w:val="18"/>
                <w:szCs w:val="18"/>
              </w:rPr>
            </w:pPr>
            <w:r w:rsidRPr="00EA5C8F">
              <w:rPr>
                <w:rFonts w:ascii="Arial Narrow" w:eastAsia="Times New Roman" w:hAnsi="Arial Narrow" w:cs="Arial"/>
                <w:strike/>
                <w:color w:val="auto"/>
                <w:sz w:val="18"/>
                <w:szCs w:val="18"/>
              </w:rPr>
              <w:t>The condition must be triple-negative breast cancer,</w:t>
            </w:r>
          </w:p>
          <w:p w:rsidR="003C4A6A" w:rsidRDefault="002D2320" w:rsidP="002D2320">
            <w:pPr>
              <w:spacing w:before="0" w:after="0"/>
              <w:jc w:val="left"/>
              <w:rPr>
                <w:rFonts w:ascii="Arial Narrow" w:eastAsia="Times New Roman" w:hAnsi="Arial Narrow" w:cs="Arial"/>
                <w:i/>
                <w:color w:val="auto"/>
                <w:sz w:val="18"/>
                <w:szCs w:val="18"/>
              </w:rPr>
            </w:pPr>
            <w:r w:rsidRPr="00EA5C8F">
              <w:rPr>
                <w:rFonts w:ascii="Arial Narrow" w:eastAsia="Times New Roman" w:hAnsi="Arial Narrow" w:cs="Arial"/>
                <w:i/>
                <w:color w:val="auto"/>
                <w:sz w:val="18"/>
                <w:szCs w:val="18"/>
              </w:rPr>
              <w:t>The condition must be hormone receptor (estrogen and progesterone receptor) negative,</w:t>
            </w:r>
          </w:p>
          <w:p w:rsidR="002D2320" w:rsidRPr="002D2320" w:rsidRDefault="002D2320" w:rsidP="002D2320">
            <w:pPr>
              <w:spacing w:before="0" w:after="0"/>
              <w:jc w:val="left"/>
              <w:rPr>
                <w:rFonts w:ascii="Arial Narrow" w:eastAsia="Times New Roman" w:hAnsi="Arial Narrow" w:cs="Arial"/>
                <w:color w:val="auto"/>
                <w:sz w:val="18"/>
                <w:szCs w:val="18"/>
              </w:rPr>
            </w:pPr>
            <w:r w:rsidRPr="002D2320">
              <w:rPr>
                <w:rFonts w:ascii="Arial Narrow" w:eastAsia="Times New Roman" w:hAnsi="Arial Narrow" w:cs="Arial"/>
                <w:color w:val="auto"/>
                <w:sz w:val="18"/>
                <w:szCs w:val="18"/>
              </w:rPr>
              <w:t>AND</w:t>
            </w:r>
          </w:p>
          <w:p w:rsidR="002D2320" w:rsidRDefault="002D2320" w:rsidP="002D2320">
            <w:pPr>
              <w:spacing w:before="0" w:after="0"/>
              <w:jc w:val="left"/>
              <w:rPr>
                <w:rFonts w:ascii="Arial Narrow" w:eastAsia="Times New Roman" w:hAnsi="Arial Narrow" w:cs="Arial"/>
                <w:i/>
                <w:color w:val="auto"/>
                <w:sz w:val="18"/>
                <w:szCs w:val="18"/>
              </w:rPr>
            </w:pPr>
            <w:r w:rsidRPr="00EA5C8F">
              <w:rPr>
                <w:rFonts w:ascii="Arial Narrow" w:eastAsia="Times New Roman" w:hAnsi="Arial Narrow" w:cs="Arial"/>
                <w:i/>
                <w:color w:val="auto"/>
                <w:sz w:val="18"/>
                <w:szCs w:val="18"/>
              </w:rPr>
              <w:t>The condition must be human epidermal growth factor receptor 2 (HER2) negative</w:t>
            </w:r>
          </w:p>
          <w:p w:rsidR="002D2320" w:rsidRPr="002D2320" w:rsidRDefault="002D2320" w:rsidP="002D2320">
            <w:pPr>
              <w:spacing w:before="0" w:after="0"/>
              <w:jc w:val="left"/>
              <w:rPr>
                <w:rFonts w:ascii="Arial Narrow" w:eastAsia="Times New Roman" w:hAnsi="Arial Narrow" w:cs="Arial"/>
                <w:color w:val="auto"/>
                <w:sz w:val="18"/>
                <w:szCs w:val="18"/>
              </w:rPr>
            </w:pPr>
            <w:r w:rsidRPr="002D2320">
              <w:rPr>
                <w:rFonts w:ascii="Arial Narrow" w:eastAsia="Times New Roman" w:hAnsi="Arial Narrow" w:cs="Arial"/>
                <w:color w:val="auto"/>
                <w:sz w:val="18"/>
                <w:szCs w:val="18"/>
              </w:rPr>
              <w:t>AND</w:t>
            </w:r>
          </w:p>
          <w:p w:rsidR="002D2320" w:rsidRDefault="002D2320" w:rsidP="002D2320">
            <w:pPr>
              <w:spacing w:before="0" w:after="0"/>
              <w:jc w:val="left"/>
              <w:rPr>
                <w:rFonts w:ascii="Arial Narrow" w:eastAsia="Times New Roman" w:hAnsi="Arial Narrow" w:cs="Arial"/>
                <w:i/>
                <w:color w:val="auto"/>
                <w:sz w:val="18"/>
                <w:szCs w:val="18"/>
              </w:rPr>
            </w:pPr>
            <w:r w:rsidRPr="00EA5C8F">
              <w:rPr>
                <w:rFonts w:ascii="Arial Narrow" w:eastAsia="Times New Roman" w:hAnsi="Arial Narrow" w:cs="Arial"/>
                <w:i/>
                <w:color w:val="auto"/>
                <w:sz w:val="18"/>
                <w:szCs w:val="18"/>
              </w:rPr>
              <w:t>The condition must be inoperable,</w:t>
            </w:r>
          </w:p>
          <w:p w:rsidR="002D2320" w:rsidRPr="002D2320" w:rsidRDefault="002D2320" w:rsidP="002D2320">
            <w:pPr>
              <w:spacing w:before="0" w:after="0"/>
              <w:jc w:val="left"/>
              <w:rPr>
                <w:rFonts w:ascii="Arial Narrow" w:eastAsia="Times New Roman" w:hAnsi="Arial Narrow" w:cs="Arial"/>
                <w:color w:val="auto"/>
                <w:sz w:val="18"/>
                <w:szCs w:val="18"/>
              </w:rPr>
            </w:pPr>
            <w:r w:rsidRPr="002D2320">
              <w:rPr>
                <w:rFonts w:ascii="Arial Narrow" w:eastAsia="Times New Roman" w:hAnsi="Arial Narrow" w:cs="Arial"/>
                <w:color w:val="auto"/>
                <w:sz w:val="18"/>
                <w:szCs w:val="18"/>
              </w:rPr>
              <w:t>AND</w:t>
            </w:r>
          </w:p>
          <w:p w:rsidR="002D2320" w:rsidRDefault="002D2320" w:rsidP="002D2320">
            <w:pPr>
              <w:spacing w:before="0" w:after="0"/>
              <w:jc w:val="left"/>
              <w:rPr>
                <w:rFonts w:ascii="Arial Narrow" w:eastAsia="Calibri" w:hAnsi="Arial Narrow" w:cs="Arial"/>
                <w:color w:val="auto"/>
                <w:sz w:val="18"/>
                <w:szCs w:val="18"/>
              </w:rPr>
            </w:pPr>
            <w:r w:rsidRPr="00EA5C8F">
              <w:rPr>
                <w:rFonts w:ascii="Arial Narrow" w:eastAsia="Calibri" w:hAnsi="Arial Narrow" w:cs="Arial"/>
                <w:color w:val="auto"/>
                <w:sz w:val="18"/>
                <w:szCs w:val="18"/>
              </w:rPr>
              <w:t>Patient must not have been treated for this condition in the unresectable locally advanced or metastatic setting,</w:t>
            </w:r>
          </w:p>
          <w:p w:rsidR="002D2320" w:rsidRDefault="002D2320" w:rsidP="002D2320">
            <w:pPr>
              <w:spacing w:before="0" w:after="0"/>
              <w:jc w:val="left"/>
              <w:rPr>
                <w:rFonts w:ascii="Arial Narrow" w:eastAsia="Calibri" w:hAnsi="Arial Narrow" w:cs="Arial"/>
                <w:color w:val="auto"/>
                <w:sz w:val="18"/>
                <w:szCs w:val="18"/>
              </w:rPr>
            </w:pPr>
            <w:r>
              <w:rPr>
                <w:rFonts w:ascii="Arial Narrow" w:eastAsia="Calibri" w:hAnsi="Arial Narrow" w:cs="Arial"/>
                <w:color w:val="auto"/>
                <w:sz w:val="18"/>
                <w:szCs w:val="18"/>
              </w:rPr>
              <w:t>AND</w:t>
            </w:r>
          </w:p>
          <w:p w:rsidR="002D2320" w:rsidRDefault="002D2320" w:rsidP="002D2320">
            <w:pPr>
              <w:spacing w:before="0" w:after="0"/>
              <w:jc w:val="left"/>
              <w:rPr>
                <w:rFonts w:ascii="Arial Narrow" w:eastAsia="Times New Roman" w:hAnsi="Arial Narrow" w:cs="Arial"/>
                <w:strike/>
                <w:color w:val="auto"/>
                <w:sz w:val="18"/>
                <w:szCs w:val="18"/>
              </w:rPr>
            </w:pPr>
            <w:r w:rsidRPr="00EA5C8F">
              <w:rPr>
                <w:rFonts w:ascii="Arial Narrow" w:eastAsia="Times New Roman" w:hAnsi="Arial Narrow" w:cs="Arial"/>
                <w:strike/>
                <w:color w:val="auto"/>
                <w:sz w:val="18"/>
                <w:szCs w:val="18"/>
              </w:rPr>
              <w:t>Patient must have an Eastern Cooperative Oncology Group (ECOG) performance status of 1 or less,</w:t>
            </w:r>
          </w:p>
          <w:p w:rsidR="002D2320" w:rsidRDefault="002D2320" w:rsidP="002D2320">
            <w:pPr>
              <w:spacing w:before="0" w:after="0"/>
              <w:jc w:val="left"/>
              <w:rPr>
                <w:rFonts w:ascii="Arial Narrow" w:eastAsia="Times New Roman" w:hAnsi="Arial Narrow" w:cs="Arial"/>
                <w:i/>
                <w:color w:val="auto"/>
                <w:sz w:val="18"/>
                <w:szCs w:val="18"/>
              </w:rPr>
            </w:pPr>
            <w:r w:rsidRPr="00EA5C8F">
              <w:rPr>
                <w:rFonts w:ascii="Arial Narrow" w:eastAsia="Times New Roman" w:hAnsi="Arial Narrow" w:cs="Arial"/>
                <w:i/>
                <w:color w:val="auto"/>
                <w:sz w:val="18"/>
                <w:szCs w:val="18"/>
              </w:rPr>
              <w:t>Patient must have a WHO performance status of 0 or 1.</w:t>
            </w:r>
          </w:p>
          <w:p w:rsidR="002D2320" w:rsidRPr="002D2320" w:rsidRDefault="002D2320" w:rsidP="002D2320">
            <w:pPr>
              <w:spacing w:before="0" w:after="0"/>
              <w:jc w:val="left"/>
              <w:rPr>
                <w:rFonts w:ascii="Arial Narrow" w:eastAsia="Times New Roman" w:hAnsi="Arial Narrow" w:cs="Arial"/>
                <w:color w:val="auto"/>
                <w:sz w:val="18"/>
                <w:szCs w:val="18"/>
              </w:rPr>
            </w:pPr>
            <w:r w:rsidRPr="002D2320">
              <w:rPr>
                <w:rFonts w:ascii="Arial Narrow" w:eastAsia="Times New Roman" w:hAnsi="Arial Narrow" w:cs="Arial"/>
                <w:color w:val="auto"/>
                <w:sz w:val="18"/>
                <w:szCs w:val="18"/>
              </w:rPr>
              <w:t>AND</w:t>
            </w:r>
          </w:p>
          <w:p w:rsidR="002D2320" w:rsidRDefault="002D2320" w:rsidP="002D2320">
            <w:pPr>
              <w:spacing w:before="0" w:after="0"/>
              <w:jc w:val="left"/>
              <w:rPr>
                <w:rFonts w:ascii="Arial Narrow" w:eastAsia="Times New Roman" w:hAnsi="Arial Narrow" w:cs="Arial"/>
                <w:color w:val="auto"/>
                <w:sz w:val="18"/>
                <w:szCs w:val="18"/>
              </w:rPr>
            </w:pPr>
            <w:r w:rsidRPr="00EA5C8F">
              <w:rPr>
                <w:rFonts w:ascii="Arial Narrow" w:eastAsia="Times New Roman" w:hAnsi="Arial Narrow" w:cs="Arial"/>
                <w:color w:val="auto"/>
                <w:sz w:val="18"/>
                <w:szCs w:val="18"/>
              </w:rPr>
              <w:t xml:space="preserve">The treatment must </w:t>
            </w:r>
            <w:r w:rsidRPr="00EA5C8F">
              <w:rPr>
                <w:rFonts w:ascii="Arial Narrow" w:eastAsia="Times New Roman" w:hAnsi="Arial Narrow" w:cs="Arial"/>
                <w:strike/>
                <w:color w:val="auto"/>
                <w:sz w:val="18"/>
                <w:szCs w:val="18"/>
              </w:rPr>
              <w:t>only</w:t>
            </w:r>
            <w:r w:rsidRPr="00EA5C8F">
              <w:rPr>
                <w:rFonts w:ascii="Arial Narrow" w:eastAsia="Times New Roman" w:hAnsi="Arial Narrow" w:cs="Arial"/>
                <w:color w:val="auto"/>
                <w:sz w:val="18"/>
                <w:szCs w:val="18"/>
              </w:rPr>
              <w:t xml:space="preserve"> be </w:t>
            </w:r>
            <w:r w:rsidR="006C243B" w:rsidRPr="0000195B">
              <w:rPr>
                <w:rFonts w:ascii="Arial Narrow" w:eastAsia="Times New Roman" w:hAnsi="Arial Narrow" w:cs="Arial"/>
                <w:i/>
                <w:color w:val="auto"/>
                <w:sz w:val="18"/>
                <w:szCs w:val="18"/>
              </w:rPr>
              <w:t xml:space="preserve">initiated </w:t>
            </w:r>
            <w:r w:rsidRPr="00EA5C8F">
              <w:rPr>
                <w:rFonts w:ascii="Arial Narrow" w:eastAsia="Times New Roman" w:hAnsi="Arial Narrow" w:cs="Arial"/>
                <w:color w:val="auto"/>
                <w:sz w:val="18"/>
                <w:szCs w:val="18"/>
              </w:rPr>
              <w:t xml:space="preserve">in combination with </w:t>
            </w:r>
            <w:r w:rsidR="006C243B" w:rsidRPr="0000195B">
              <w:rPr>
                <w:rFonts w:ascii="Arial Narrow" w:eastAsia="Times New Roman" w:hAnsi="Arial Narrow" w:cs="Arial"/>
                <w:i/>
                <w:color w:val="auto"/>
                <w:sz w:val="18"/>
                <w:szCs w:val="18"/>
              </w:rPr>
              <w:t>nanoparticle albumin-bound paclitaxel (nab-paclitaxel</w:t>
            </w:r>
            <w:r w:rsidR="006C243B">
              <w:rPr>
                <w:rFonts w:ascii="Arial Narrow" w:eastAsia="Times New Roman" w:hAnsi="Arial Narrow" w:cs="Arial"/>
                <w:color w:val="auto"/>
                <w:sz w:val="18"/>
                <w:szCs w:val="18"/>
              </w:rPr>
              <w:t>)</w:t>
            </w:r>
            <w:r w:rsidRPr="00EA5C8F">
              <w:rPr>
                <w:rFonts w:ascii="Arial Narrow" w:eastAsia="Times New Roman" w:hAnsi="Arial Narrow" w:cs="Arial"/>
                <w:color w:val="auto"/>
                <w:sz w:val="18"/>
                <w:szCs w:val="18"/>
              </w:rPr>
              <w:t>,</w:t>
            </w:r>
          </w:p>
          <w:p w:rsidR="002D2320" w:rsidRDefault="002D2320" w:rsidP="002D2320">
            <w:pPr>
              <w:spacing w:before="0" w:after="0"/>
              <w:jc w:val="left"/>
              <w:rPr>
                <w:rFonts w:ascii="Arial Narrow" w:eastAsia="Times New Roman" w:hAnsi="Arial Narrow" w:cs="Arial"/>
                <w:color w:val="auto"/>
                <w:sz w:val="18"/>
                <w:szCs w:val="18"/>
              </w:rPr>
            </w:pPr>
            <w:r>
              <w:rPr>
                <w:rFonts w:ascii="Arial Narrow" w:eastAsia="Times New Roman" w:hAnsi="Arial Narrow" w:cs="Arial"/>
                <w:color w:val="auto"/>
                <w:sz w:val="18"/>
                <w:szCs w:val="18"/>
              </w:rPr>
              <w:t>AND</w:t>
            </w:r>
          </w:p>
          <w:p w:rsidR="002D2320" w:rsidRDefault="002D2320" w:rsidP="002D2320">
            <w:pPr>
              <w:spacing w:before="0" w:after="0"/>
              <w:jc w:val="left"/>
              <w:rPr>
                <w:rFonts w:ascii="Arial Narrow" w:eastAsia="Times New Roman" w:hAnsi="Arial Narrow" w:cs="Arial"/>
                <w:color w:val="auto"/>
                <w:sz w:val="18"/>
                <w:szCs w:val="18"/>
              </w:rPr>
            </w:pPr>
            <w:r w:rsidRPr="00EA5C8F">
              <w:rPr>
                <w:rFonts w:ascii="Arial Narrow" w:eastAsia="Times New Roman" w:hAnsi="Arial Narrow" w:cs="Arial"/>
                <w:color w:val="auto"/>
                <w:sz w:val="18"/>
                <w:szCs w:val="18"/>
              </w:rPr>
              <w:t xml:space="preserve">The condition must express programmed </w:t>
            </w:r>
            <w:r w:rsidRPr="00EA5C8F">
              <w:rPr>
                <w:rFonts w:ascii="Arial Narrow" w:eastAsia="Times New Roman" w:hAnsi="Arial Narrow" w:cs="Arial"/>
                <w:i/>
                <w:color w:val="auto"/>
                <w:sz w:val="18"/>
                <w:szCs w:val="18"/>
              </w:rPr>
              <w:t>cell</w:t>
            </w:r>
            <w:r w:rsidRPr="00EA5C8F">
              <w:rPr>
                <w:rFonts w:ascii="Arial Narrow" w:eastAsia="Times New Roman" w:hAnsi="Arial Narrow" w:cs="Arial"/>
                <w:color w:val="auto"/>
                <w:sz w:val="18"/>
                <w:szCs w:val="18"/>
              </w:rPr>
              <w:t xml:space="preserve"> death ligand 1 (PD-L1) of any intensity in tumour-infiltrating immune cells covering ≥1% of the tumour area.</w:t>
            </w:r>
          </w:p>
          <w:p w:rsidR="00416A2D" w:rsidRPr="0000195B" w:rsidRDefault="00416A2D" w:rsidP="002D2320">
            <w:pPr>
              <w:spacing w:before="0" w:after="0"/>
              <w:jc w:val="left"/>
              <w:rPr>
                <w:rFonts w:ascii="Arial Narrow" w:eastAsia="Times New Roman" w:hAnsi="Arial Narrow" w:cs="Arial"/>
                <w:i/>
                <w:color w:val="auto"/>
                <w:sz w:val="18"/>
                <w:szCs w:val="18"/>
              </w:rPr>
            </w:pPr>
            <w:r w:rsidRPr="0000195B">
              <w:rPr>
                <w:rFonts w:ascii="Arial Narrow" w:eastAsia="Times New Roman" w:hAnsi="Arial Narrow" w:cs="Arial"/>
                <w:i/>
                <w:color w:val="auto"/>
                <w:sz w:val="18"/>
                <w:szCs w:val="18"/>
              </w:rPr>
              <w:t>AND</w:t>
            </w:r>
          </w:p>
          <w:p w:rsidR="00416A2D" w:rsidRPr="00EA5C8F" w:rsidRDefault="00416A2D" w:rsidP="00416A2D">
            <w:pPr>
              <w:spacing w:before="0" w:after="0"/>
              <w:jc w:val="left"/>
              <w:rPr>
                <w:rFonts w:ascii="Arial Narrow" w:eastAsia="Times New Roman" w:hAnsi="Arial Narrow" w:cs="Times New Roman"/>
                <w:b/>
                <w:bCs/>
                <w:color w:val="333333"/>
                <w:sz w:val="18"/>
                <w:szCs w:val="18"/>
                <w:lang w:eastAsia="en-AU"/>
              </w:rPr>
            </w:pPr>
            <w:r w:rsidRPr="0000195B">
              <w:rPr>
                <w:rFonts w:ascii="Arial Narrow" w:eastAsia="Times New Roman" w:hAnsi="Arial Narrow" w:cs="Arial"/>
                <w:i/>
                <w:color w:val="auto"/>
                <w:sz w:val="18"/>
                <w:szCs w:val="18"/>
              </w:rPr>
              <w:t>Patient must not have received taxane therapy in the previous 12 months.</w:t>
            </w:r>
          </w:p>
        </w:tc>
      </w:tr>
      <w:tr w:rsidR="003C4A6A" w:rsidRPr="00EA5C8F" w:rsidTr="00C101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rPr>
          <w:gridAfter w:val="2"/>
          <w:wAfter w:w="28" w:type="pct"/>
        </w:trPr>
        <w:tc>
          <w:tcPr>
            <w:tcW w:w="855" w:type="pct"/>
            <w:gridSpan w:val="2"/>
            <w:tcBorders>
              <w:top w:val="single" w:sz="4" w:space="0" w:color="auto"/>
              <w:left w:val="single" w:sz="4" w:space="0" w:color="auto"/>
              <w:bottom w:val="single" w:sz="4" w:space="0" w:color="auto"/>
              <w:right w:val="single" w:sz="4" w:space="0" w:color="auto"/>
            </w:tcBorders>
            <w:vAlign w:val="center"/>
          </w:tcPr>
          <w:p w:rsidR="003C4A6A" w:rsidRPr="002D2320" w:rsidRDefault="003C4A6A" w:rsidP="00C10118">
            <w:pPr>
              <w:spacing w:before="0" w:after="0"/>
              <w:jc w:val="left"/>
              <w:rPr>
                <w:rFonts w:ascii="Arial Narrow" w:eastAsia="Times New Roman" w:hAnsi="Arial Narrow" w:cs="Times New Roman"/>
                <w:sz w:val="18"/>
                <w:szCs w:val="18"/>
                <w:lang w:eastAsia="en-AU"/>
              </w:rPr>
            </w:pPr>
            <w:r w:rsidRPr="002D2320">
              <w:rPr>
                <w:rFonts w:ascii="Arial Narrow" w:eastAsia="Times New Roman" w:hAnsi="Arial Narrow" w:cs="Times New Roman"/>
                <w:b/>
                <w:bCs/>
                <w:sz w:val="18"/>
                <w:szCs w:val="18"/>
                <w:lang w:eastAsia="en-AU"/>
              </w:rPr>
              <w:t>Caution:</w:t>
            </w:r>
          </w:p>
        </w:tc>
        <w:tc>
          <w:tcPr>
            <w:tcW w:w="4117" w:type="pct"/>
            <w:gridSpan w:val="6"/>
            <w:tcBorders>
              <w:top w:val="single" w:sz="4" w:space="0" w:color="auto"/>
              <w:left w:val="single" w:sz="4" w:space="0" w:color="auto"/>
              <w:bottom w:val="single" w:sz="4" w:space="0" w:color="auto"/>
              <w:right w:val="single" w:sz="4" w:space="0" w:color="auto"/>
            </w:tcBorders>
            <w:vAlign w:val="center"/>
          </w:tcPr>
          <w:p w:rsidR="003C4A6A" w:rsidRPr="00EA5C8F" w:rsidRDefault="003C4A6A" w:rsidP="001E358B">
            <w:pPr>
              <w:spacing w:before="0" w:after="0"/>
              <w:jc w:val="left"/>
              <w:rPr>
                <w:rFonts w:ascii="Arial Narrow" w:eastAsia="Times New Roman" w:hAnsi="Arial Narrow" w:cs="Times New Roman"/>
                <w:bCs/>
                <w:i/>
                <w:color w:val="auto"/>
                <w:sz w:val="18"/>
                <w:szCs w:val="18"/>
                <w:lang w:eastAsia="en-AU"/>
              </w:rPr>
            </w:pPr>
            <w:r w:rsidRPr="00EA5C8F">
              <w:rPr>
                <w:rFonts w:ascii="Arial Narrow" w:eastAsia="Times New Roman" w:hAnsi="Arial Narrow" w:cs="Times New Roman"/>
                <w:bCs/>
                <w:i/>
                <w:color w:val="auto"/>
                <w:sz w:val="18"/>
                <w:szCs w:val="18"/>
                <w:lang w:eastAsia="en-AU"/>
              </w:rPr>
              <w:t>In the first few months after start of immunotherapy, some patients can have a transient tumour flare with subsequent disease response. When progression is suspected, this should be confirmed through a confirmatory scan, taken at least 4 weeks later.</w:t>
            </w:r>
          </w:p>
        </w:tc>
      </w:tr>
      <w:tr w:rsidR="003C4A6A" w:rsidRPr="00EA5C8F" w:rsidTr="00C101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rPr>
          <w:gridAfter w:val="2"/>
          <w:wAfter w:w="28" w:type="pct"/>
        </w:trPr>
        <w:tc>
          <w:tcPr>
            <w:tcW w:w="855" w:type="pct"/>
            <w:gridSpan w:val="2"/>
            <w:tcBorders>
              <w:top w:val="single" w:sz="4" w:space="0" w:color="auto"/>
              <w:left w:val="single" w:sz="4" w:space="0" w:color="auto"/>
              <w:bottom w:val="single" w:sz="4" w:space="0" w:color="auto"/>
              <w:right w:val="single" w:sz="4" w:space="0" w:color="auto"/>
            </w:tcBorders>
            <w:vAlign w:val="center"/>
          </w:tcPr>
          <w:p w:rsidR="003C4A6A" w:rsidRPr="002D2320" w:rsidRDefault="003C4A6A" w:rsidP="002D2320">
            <w:pPr>
              <w:spacing w:before="0" w:after="0"/>
              <w:jc w:val="left"/>
              <w:rPr>
                <w:rFonts w:ascii="Arial Narrow" w:eastAsia="Times New Roman" w:hAnsi="Arial Narrow" w:cs="Times New Roman"/>
                <w:sz w:val="18"/>
                <w:szCs w:val="18"/>
                <w:highlight w:val="yellow"/>
                <w:lang w:eastAsia="en-AU"/>
              </w:rPr>
            </w:pPr>
            <w:r w:rsidRPr="002D2320">
              <w:rPr>
                <w:rFonts w:ascii="Arial Narrow" w:eastAsia="Times New Roman" w:hAnsi="Arial Narrow" w:cs="Times New Roman"/>
                <w:b/>
                <w:bCs/>
                <w:sz w:val="18"/>
                <w:szCs w:val="18"/>
                <w:lang w:eastAsia="en-AU"/>
              </w:rPr>
              <w:t>Administrative Advice:</w:t>
            </w:r>
          </w:p>
        </w:tc>
        <w:tc>
          <w:tcPr>
            <w:tcW w:w="4117" w:type="pct"/>
            <w:gridSpan w:val="6"/>
            <w:tcBorders>
              <w:top w:val="single" w:sz="4" w:space="0" w:color="auto"/>
              <w:left w:val="single" w:sz="4" w:space="0" w:color="auto"/>
              <w:bottom w:val="single" w:sz="4" w:space="0" w:color="auto"/>
              <w:right w:val="single" w:sz="4" w:space="0" w:color="auto"/>
            </w:tcBorders>
            <w:vAlign w:val="center"/>
          </w:tcPr>
          <w:p w:rsidR="003C4A6A" w:rsidRPr="00EA5C8F" w:rsidRDefault="003C4A6A" w:rsidP="001E358B">
            <w:pPr>
              <w:spacing w:before="0" w:after="0"/>
              <w:jc w:val="left"/>
              <w:rPr>
                <w:rFonts w:ascii="Arial Narrow" w:eastAsia="Times New Roman" w:hAnsi="Arial Narrow" w:cs="Times New Roman"/>
                <w:b/>
                <w:bCs/>
                <w:color w:val="auto"/>
                <w:sz w:val="18"/>
                <w:szCs w:val="18"/>
                <w:highlight w:val="yellow"/>
                <w:lang w:eastAsia="en-AU"/>
              </w:rPr>
            </w:pPr>
            <w:r w:rsidRPr="00EA5C8F">
              <w:rPr>
                <w:rFonts w:ascii="Arial Narrow" w:eastAsia="Times New Roman" w:hAnsi="Arial Narrow" w:cs="Times New Roman"/>
                <w:color w:val="auto"/>
                <w:sz w:val="18"/>
                <w:szCs w:val="18"/>
                <w:lang w:eastAsia="en-AU"/>
              </w:rPr>
              <w:t>Special Pricing Arrangements apply.</w:t>
            </w:r>
          </w:p>
        </w:tc>
      </w:tr>
      <w:tr w:rsidR="003C4A6A" w:rsidRPr="00EA5C8F" w:rsidTr="00C101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rPr>
          <w:gridAfter w:val="1"/>
          <w:wAfter w:w="23" w:type="pct"/>
        </w:trPr>
        <w:tc>
          <w:tcPr>
            <w:tcW w:w="855" w:type="pct"/>
            <w:gridSpan w:val="2"/>
            <w:tcBorders>
              <w:top w:val="single" w:sz="4" w:space="0" w:color="auto"/>
              <w:left w:val="nil"/>
              <w:bottom w:val="single" w:sz="4" w:space="0" w:color="auto"/>
              <w:right w:val="nil"/>
            </w:tcBorders>
          </w:tcPr>
          <w:p w:rsidR="003C4A6A" w:rsidRPr="00EA5C8F" w:rsidRDefault="003C4A6A" w:rsidP="001C2CD4">
            <w:pPr>
              <w:spacing w:before="0" w:after="0"/>
              <w:jc w:val="center"/>
              <w:rPr>
                <w:rFonts w:ascii="Arial Narrow" w:eastAsia="Calibri" w:hAnsi="Arial Narrow" w:cs="Arial"/>
                <w:b/>
                <w:color w:val="auto"/>
                <w:sz w:val="18"/>
                <w:szCs w:val="18"/>
              </w:rPr>
            </w:pPr>
          </w:p>
        </w:tc>
        <w:tc>
          <w:tcPr>
            <w:tcW w:w="4122" w:type="pct"/>
            <w:gridSpan w:val="7"/>
            <w:tcBorders>
              <w:top w:val="single" w:sz="4" w:space="0" w:color="auto"/>
              <w:left w:val="nil"/>
              <w:bottom w:val="single" w:sz="4" w:space="0" w:color="auto"/>
              <w:right w:val="nil"/>
            </w:tcBorders>
          </w:tcPr>
          <w:p w:rsidR="003C4A6A" w:rsidRPr="00EA5C8F" w:rsidRDefault="003C4A6A" w:rsidP="001C2CD4">
            <w:pPr>
              <w:spacing w:before="0" w:after="0"/>
              <w:rPr>
                <w:rFonts w:ascii="Arial Narrow" w:eastAsia="Calibri" w:hAnsi="Arial Narrow" w:cs="Arial"/>
                <w:color w:val="auto"/>
                <w:sz w:val="18"/>
                <w:szCs w:val="18"/>
              </w:rPr>
            </w:pPr>
          </w:p>
        </w:tc>
      </w:tr>
      <w:tr w:rsidR="001C2CD4" w:rsidRPr="00EA5C8F" w:rsidTr="00C101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rPr>
          <w:gridAfter w:val="1"/>
          <w:wAfter w:w="23" w:type="pct"/>
        </w:trPr>
        <w:tc>
          <w:tcPr>
            <w:tcW w:w="855" w:type="pct"/>
            <w:gridSpan w:val="2"/>
            <w:tcBorders>
              <w:top w:val="single" w:sz="4" w:space="0" w:color="auto"/>
              <w:left w:val="single" w:sz="4" w:space="0" w:color="auto"/>
              <w:bottom w:val="single" w:sz="4" w:space="0" w:color="auto"/>
              <w:right w:val="single" w:sz="4" w:space="0" w:color="auto"/>
            </w:tcBorders>
          </w:tcPr>
          <w:p w:rsidR="001C2CD4" w:rsidRPr="00EA5C8F" w:rsidRDefault="00C10118" w:rsidP="002D2320">
            <w:pPr>
              <w:spacing w:before="0" w:after="0"/>
              <w:jc w:val="left"/>
              <w:rPr>
                <w:rFonts w:ascii="Arial Narrow" w:eastAsia="Calibri" w:hAnsi="Arial Narrow" w:cs="Arial"/>
                <w:b/>
                <w:color w:val="auto"/>
                <w:sz w:val="18"/>
                <w:szCs w:val="18"/>
              </w:rPr>
            </w:pPr>
            <w:r>
              <w:rPr>
                <w:rFonts w:ascii="Arial Narrow" w:eastAsia="Calibri" w:hAnsi="Arial Narrow" w:cs="Arial"/>
                <w:b/>
                <w:color w:val="auto"/>
                <w:sz w:val="18"/>
                <w:szCs w:val="18"/>
              </w:rPr>
              <w:t>Category / Program:</w:t>
            </w:r>
          </w:p>
        </w:tc>
        <w:tc>
          <w:tcPr>
            <w:tcW w:w="4122" w:type="pct"/>
            <w:gridSpan w:val="7"/>
            <w:tcBorders>
              <w:top w:val="single" w:sz="4" w:space="0" w:color="auto"/>
              <w:left w:val="single" w:sz="4" w:space="0" w:color="auto"/>
              <w:bottom w:val="single" w:sz="4" w:space="0" w:color="auto"/>
              <w:right w:val="single" w:sz="4" w:space="0" w:color="auto"/>
            </w:tcBorders>
          </w:tcPr>
          <w:p w:rsidR="001C2CD4" w:rsidRPr="00EA5C8F" w:rsidRDefault="001C2CD4" w:rsidP="001C2CD4">
            <w:pPr>
              <w:spacing w:before="0" w:after="0"/>
              <w:rPr>
                <w:rFonts w:ascii="Arial Narrow" w:eastAsia="Calibri" w:hAnsi="Arial Narrow" w:cs="Arial"/>
                <w:b/>
                <w:color w:val="auto"/>
                <w:sz w:val="18"/>
                <w:szCs w:val="18"/>
              </w:rPr>
            </w:pPr>
            <w:r w:rsidRPr="00EA5C8F">
              <w:rPr>
                <w:rFonts w:ascii="Arial Narrow" w:eastAsia="Calibri" w:hAnsi="Arial Narrow" w:cs="Arial"/>
                <w:color w:val="auto"/>
                <w:sz w:val="18"/>
                <w:szCs w:val="18"/>
              </w:rPr>
              <w:t>Section 100 – Efficient Funding of Chemotherapy  (Public/Private hospital codes)</w:t>
            </w:r>
          </w:p>
        </w:tc>
      </w:tr>
      <w:tr w:rsidR="001C2CD4" w:rsidRPr="00EA5C8F" w:rsidTr="00C101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rPr>
          <w:gridAfter w:val="1"/>
          <w:wAfter w:w="23" w:type="pct"/>
          <w:trHeight w:val="237"/>
        </w:trPr>
        <w:tc>
          <w:tcPr>
            <w:tcW w:w="855" w:type="pct"/>
            <w:gridSpan w:val="2"/>
            <w:tcBorders>
              <w:top w:val="single" w:sz="4" w:space="0" w:color="auto"/>
              <w:left w:val="single" w:sz="4" w:space="0" w:color="auto"/>
              <w:bottom w:val="single" w:sz="4" w:space="0" w:color="auto"/>
              <w:right w:val="single" w:sz="4" w:space="0" w:color="auto"/>
            </w:tcBorders>
          </w:tcPr>
          <w:p w:rsidR="001C2CD4" w:rsidRPr="00EA5C8F" w:rsidRDefault="001C2CD4" w:rsidP="00C10118">
            <w:pPr>
              <w:spacing w:before="0" w:after="0"/>
              <w:jc w:val="left"/>
              <w:rPr>
                <w:rFonts w:ascii="Arial Narrow" w:eastAsia="Calibri" w:hAnsi="Arial Narrow" w:cs="Arial"/>
                <w:color w:val="auto"/>
                <w:sz w:val="18"/>
                <w:szCs w:val="18"/>
              </w:rPr>
            </w:pPr>
            <w:r w:rsidRPr="00EA5C8F">
              <w:rPr>
                <w:rFonts w:ascii="Arial Narrow" w:eastAsia="Calibri" w:hAnsi="Arial Narrow" w:cs="Arial"/>
                <w:b/>
                <w:color w:val="auto"/>
                <w:sz w:val="18"/>
                <w:szCs w:val="18"/>
              </w:rPr>
              <w:t>Prescriber type:</w:t>
            </w:r>
          </w:p>
        </w:tc>
        <w:tc>
          <w:tcPr>
            <w:tcW w:w="4122" w:type="pct"/>
            <w:gridSpan w:val="7"/>
            <w:tcBorders>
              <w:top w:val="single" w:sz="4" w:space="0" w:color="auto"/>
              <w:left w:val="single" w:sz="4" w:space="0" w:color="auto"/>
              <w:bottom w:val="single" w:sz="4" w:space="0" w:color="auto"/>
              <w:right w:val="single" w:sz="4" w:space="0" w:color="auto"/>
            </w:tcBorders>
          </w:tcPr>
          <w:p w:rsidR="001C2CD4" w:rsidRPr="00EA5C8F" w:rsidRDefault="001C2CD4" w:rsidP="00C10118">
            <w:pPr>
              <w:spacing w:before="0" w:after="0"/>
              <w:rPr>
                <w:rFonts w:ascii="Arial Narrow" w:eastAsia="Calibri" w:hAnsi="Arial Narrow" w:cs="Arial"/>
                <w:color w:val="auto"/>
                <w:sz w:val="18"/>
                <w:szCs w:val="18"/>
              </w:rPr>
            </w:pPr>
            <w:r w:rsidRPr="00EA5C8F">
              <w:rPr>
                <w:rFonts w:ascii="Arial Narrow" w:eastAsia="Calibri" w:hAnsi="Arial Narrow" w:cs="Arial"/>
                <w:color w:val="auto"/>
                <w:sz w:val="18"/>
                <w:szCs w:val="18"/>
              </w:rPr>
              <w:fldChar w:fldCharType="begin">
                <w:ffData>
                  <w:name w:val="Check1"/>
                  <w:enabled/>
                  <w:calcOnExit w:val="0"/>
                  <w:checkBox>
                    <w:sizeAuto/>
                    <w:default w:val="0"/>
                  </w:checkBox>
                </w:ffData>
              </w:fldChar>
            </w:r>
            <w:r w:rsidRPr="00EA5C8F">
              <w:rPr>
                <w:rFonts w:ascii="Arial Narrow" w:eastAsia="Calibri" w:hAnsi="Arial Narrow" w:cs="Arial"/>
                <w:color w:val="auto"/>
                <w:sz w:val="18"/>
                <w:szCs w:val="18"/>
              </w:rPr>
              <w:instrText xml:space="preserve"> FORMCHECKBOX </w:instrText>
            </w:r>
            <w:r w:rsidR="00E965A4">
              <w:rPr>
                <w:rFonts w:ascii="Arial Narrow" w:eastAsia="Calibri" w:hAnsi="Arial Narrow" w:cs="Arial"/>
                <w:color w:val="auto"/>
                <w:sz w:val="18"/>
                <w:szCs w:val="18"/>
              </w:rPr>
            </w:r>
            <w:r w:rsidR="00E965A4">
              <w:rPr>
                <w:rFonts w:ascii="Arial Narrow" w:eastAsia="Calibri" w:hAnsi="Arial Narrow" w:cs="Arial"/>
                <w:color w:val="auto"/>
                <w:sz w:val="18"/>
                <w:szCs w:val="18"/>
              </w:rPr>
              <w:fldChar w:fldCharType="separate"/>
            </w:r>
            <w:r w:rsidRPr="00EA5C8F">
              <w:rPr>
                <w:rFonts w:ascii="Arial Narrow" w:eastAsia="Calibri" w:hAnsi="Arial Narrow" w:cs="Arial"/>
                <w:color w:val="auto"/>
                <w:sz w:val="18"/>
                <w:szCs w:val="18"/>
              </w:rPr>
              <w:fldChar w:fldCharType="end"/>
            </w:r>
            <w:r w:rsidRPr="00EA5C8F">
              <w:rPr>
                <w:rFonts w:ascii="Arial Narrow" w:eastAsia="Calibri" w:hAnsi="Arial Narrow" w:cs="Arial"/>
                <w:color w:val="auto"/>
                <w:sz w:val="18"/>
                <w:szCs w:val="18"/>
              </w:rPr>
              <w:t xml:space="preserve">Dental  </w:t>
            </w:r>
            <w:r w:rsidRPr="00EA5C8F">
              <w:rPr>
                <w:rFonts w:ascii="Arial Narrow" w:eastAsia="Calibri" w:hAnsi="Arial Narrow" w:cs="Arial"/>
                <w:color w:val="auto"/>
                <w:sz w:val="18"/>
                <w:szCs w:val="18"/>
              </w:rPr>
              <w:fldChar w:fldCharType="begin">
                <w:ffData>
                  <w:name w:val=""/>
                  <w:enabled/>
                  <w:calcOnExit w:val="0"/>
                  <w:checkBox>
                    <w:sizeAuto/>
                    <w:default w:val="1"/>
                  </w:checkBox>
                </w:ffData>
              </w:fldChar>
            </w:r>
            <w:r w:rsidRPr="00EA5C8F">
              <w:rPr>
                <w:rFonts w:ascii="Arial Narrow" w:eastAsia="Calibri" w:hAnsi="Arial Narrow" w:cs="Arial"/>
                <w:color w:val="auto"/>
                <w:sz w:val="18"/>
                <w:szCs w:val="18"/>
              </w:rPr>
              <w:instrText xml:space="preserve"> FORMCHECKBOX </w:instrText>
            </w:r>
            <w:r w:rsidR="00E965A4">
              <w:rPr>
                <w:rFonts w:ascii="Arial Narrow" w:eastAsia="Calibri" w:hAnsi="Arial Narrow" w:cs="Arial"/>
                <w:color w:val="auto"/>
                <w:sz w:val="18"/>
                <w:szCs w:val="18"/>
              </w:rPr>
            </w:r>
            <w:r w:rsidR="00E965A4">
              <w:rPr>
                <w:rFonts w:ascii="Arial Narrow" w:eastAsia="Calibri" w:hAnsi="Arial Narrow" w:cs="Arial"/>
                <w:color w:val="auto"/>
                <w:sz w:val="18"/>
                <w:szCs w:val="18"/>
              </w:rPr>
              <w:fldChar w:fldCharType="separate"/>
            </w:r>
            <w:r w:rsidRPr="00EA5C8F">
              <w:rPr>
                <w:rFonts w:ascii="Arial Narrow" w:eastAsia="Calibri" w:hAnsi="Arial Narrow" w:cs="Arial"/>
                <w:color w:val="auto"/>
                <w:sz w:val="18"/>
                <w:szCs w:val="18"/>
              </w:rPr>
              <w:fldChar w:fldCharType="end"/>
            </w:r>
            <w:r w:rsidRPr="00EA5C8F">
              <w:rPr>
                <w:rFonts w:ascii="Arial Narrow" w:eastAsia="Calibri" w:hAnsi="Arial Narrow" w:cs="Arial"/>
                <w:color w:val="auto"/>
                <w:sz w:val="18"/>
                <w:szCs w:val="18"/>
              </w:rPr>
              <w:t xml:space="preserve">Medical Practitioners  </w:t>
            </w:r>
            <w:r w:rsidRPr="00EA5C8F">
              <w:rPr>
                <w:rFonts w:ascii="Arial Narrow" w:eastAsia="Calibri" w:hAnsi="Arial Narrow" w:cs="Arial"/>
                <w:color w:val="auto"/>
                <w:sz w:val="18"/>
                <w:szCs w:val="18"/>
              </w:rPr>
              <w:fldChar w:fldCharType="begin">
                <w:ffData>
                  <w:name w:val="Check3"/>
                  <w:enabled/>
                  <w:calcOnExit w:val="0"/>
                  <w:checkBox>
                    <w:sizeAuto/>
                    <w:default w:val="0"/>
                  </w:checkBox>
                </w:ffData>
              </w:fldChar>
            </w:r>
            <w:r w:rsidRPr="00EA5C8F">
              <w:rPr>
                <w:rFonts w:ascii="Arial Narrow" w:eastAsia="Calibri" w:hAnsi="Arial Narrow" w:cs="Arial"/>
                <w:color w:val="auto"/>
                <w:sz w:val="18"/>
                <w:szCs w:val="18"/>
              </w:rPr>
              <w:instrText xml:space="preserve"> FORMCHECKBOX </w:instrText>
            </w:r>
            <w:r w:rsidR="00E965A4">
              <w:rPr>
                <w:rFonts w:ascii="Arial Narrow" w:eastAsia="Calibri" w:hAnsi="Arial Narrow" w:cs="Arial"/>
                <w:color w:val="auto"/>
                <w:sz w:val="18"/>
                <w:szCs w:val="18"/>
              </w:rPr>
            </w:r>
            <w:r w:rsidR="00E965A4">
              <w:rPr>
                <w:rFonts w:ascii="Arial Narrow" w:eastAsia="Calibri" w:hAnsi="Arial Narrow" w:cs="Arial"/>
                <w:color w:val="auto"/>
                <w:sz w:val="18"/>
                <w:szCs w:val="18"/>
              </w:rPr>
              <w:fldChar w:fldCharType="separate"/>
            </w:r>
            <w:r w:rsidRPr="00EA5C8F">
              <w:rPr>
                <w:rFonts w:ascii="Arial Narrow" w:eastAsia="Calibri" w:hAnsi="Arial Narrow" w:cs="Arial"/>
                <w:color w:val="auto"/>
                <w:sz w:val="18"/>
                <w:szCs w:val="18"/>
              </w:rPr>
              <w:fldChar w:fldCharType="end"/>
            </w:r>
            <w:r w:rsidRPr="00EA5C8F">
              <w:rPr>
                <w:rFonts w:ascii="Arial Narrow" w:eastAsia="Calibri" w:hAnsi="Arial Narrow" w:cs="Arial"/>
                <w:color w:val="auto"/>
                <w:sz w:val="18"/>
                <w:szCs w:val="18"/>
              </w:rPr>
              <w:t xml:space="preserve">Nurse practitioners  </w:t>
            </w:r>
            <w:r w:rsidRPr="00EA5C8F">
              <w:rPr>
                <w:rFonts w:ascii="Arial Narrow" w:eastAsia="Calibri" w:hAnsi="Arial Narrow" w:cs="Arial"/>
                <w:color w:val="auto"/>
                <w:sz w:val="18"/>
                <w:szCs w:val="18"/>
              </w:rPr>
              <w:fldChar w:fldCharType="begin">
                <w:ffData>
                  <w:name w:val=""/>
                  <w:enabled/>
                  <w:calcOnExit w:val="0"/>
                  <w:checkBox>
                    <w:sizeAuto/>
                    <w:default w:val="0"/>
                  </w:checkBox>
                </w:ffData>
              </w:fldChar>
            </w:r>
            <w:r w:rsidRPr="00EA5C8F">
              <w:rPr>
                <w:rFonts w:ascii="Arial Narrow" w:eastAsia="Calibri" w:hAnsi="Arial Narrow" w:cs="Arial"/>
                <w:color w:val="auto"/>
                <w:sz w:val="18"/>
                <w:szCs w:val="18"/>
              </w:rPr>
              <w:instrText xml:space="preserve"> FORMCHECKBOX </w:instrText>
            </w:r>
            <w:r w:rsidR="00E965A4">
              <w:rPr>
                <w:rFonts w:ascii="Arial Narrow" w:eastAsia="Calibri" w:hAnsi="Arial Narrow" w:cs="Arial"/>
                <w:color w:val="auto"/>
                <w:sz w:val="18"/>
                <w:szCs w:val="18"/>
              </w:rPr>
            </w:r>
            <w:r w:rsidR="00E965A4">
              <w:rPr>
                <w:rFonts w:ascii="Arial Narrow" w:eastAsia="Calibri" w:hAnsi="Arial Narrow" w:cs="Arial"/>
                <w:color w:val="auto"/>
                <w:sz w:val="18"/>
                <w:szCs w:val="18"/>
              </w:rPr>
              <w:fldChar w:fldCharType="separate"/>
            </w:r>
            <w:r w:rsidRPr="00EA5C8F">
              <w:rPr>
                <w:rFonts w:ascii="Arial Narrow" w:eastAsia="Calibri" w:hAnsi="Arial Narrow" w:cs="Arial"/>
                <w:color w:val="auto"/>
                <w:sz w:val="18"/>
                <w:szCs w:val="18"/>
              </w:rPr>
              <w:fldChar w:fldCharType="end"/>
            </w:r>
            <w:r w:rsidRPr="00EA5C8F">
              <w:rPr>
                <w:rFonts w:ascii="Arial Narrow" w:eastAsia="Calibri" w:hAnsi="Arial Narrow" w:cs="Arial"/>
                <w:color w:val="auto"/>
                <w:sz w:val="18"/>
                <w:szCs w:val="18"/>
              </w:rPr>
              <w:t xml:space="preserve">Optometrists  </w:t>
            </w:r>
            <w:r w:rsidRPr="00EA5C8F">
              <w:rPr>
                <w:rFonts w:ascii="Arial Narrow" w:eastAsia="Calibri" w:hAnsi="Arial Narrow" w:cs="Arial"/>
                <w:color w:val="auto"/>
                <w:sz w:val="18"/>
                <w:szCs w:val="18"/>
              </w:rPr>
              <w:fldChar w:fldCharType="begin">
                <w:ffData>
                  <w:name w:val="Check5"/>
                  <w:enabled/>
                  <w:calcOnExit w:val="0"/>
                  <w:checkBox>
                    <w:sizeAuto/>
                    <w:default w:val="0"/>
                  </w:checkBox>
                </w:ffData>
              </w:fldChar>
            </w:r>
            <w:r w:rsidRPr="00EA5C8F">
              <w:rPr>
                <w:rFonts w:ascii="Arial Narrow" w:eastAsia="Calibri" w:hAnsi="Arial Narrow" w:cs="Arial"/>
                <w:color w:val="auto"/>
                <w:sz w:val="18"/>
                <w:szCs w:val="18"/>
              </w:rPr>
              <w:instrText xml:space="preserve"> FORMCHECKBOX </w:instrText>
            </w:r>
            <w:r w:rsidR="00E965A4">
              <w:rPr>
                <w:rFonts w:ascii="Arial Narrow" w:eastAsia="Calibri" w:hAnsi="Arial Narrow" w:cs="Arial"/>
                <w:color w:val="auto"/>
                <w:sz w:val="18"/>
                <w:szCs w:val="18"/>
              </w:rPr>
            </w:r>
            <w:r w:rsidR="00E965A4">
              <w:rPr>
                <w:rFonts w:ascii="Arial Narrow" w:eastAsia="Calibri" w:hAnsi="Arial Narrow" w:cs="Arial"/>
                <w:color w:val="auto"/>
                <w:sz w:val="18"/>
                <w:szCs w:val="18"/>
              </w:rPr>
              <w:fldChar w:fldCharType="separate"/>
            </w:r>
            <w:r w:rsidRPr="00EA5C8F">
              <w:rPr>
                <w:rFonts w:ascii="Arial Narrow" w:eastAsia="Calibri" w:hAnsi="Arial Narrow" w:cs="Arial"/>
                <w:color w:val="auto"/>
                <w:sz w:val="18"/>
                <w:szCs w:val="18"/>
              </w:rPr>
              <w:fldChar w:fldCharType="end"/>
            </w:r>
            <w:r w:rsidRPr="00EA5C8F">
              <w:rPr>
                <w:rFonts w:ascii="Arial Narrow" w:eastAsia="Calibri" w:hAnsi="Arial Narrow" w:cs="Arial"/>
                <w:color w:val="auto"/>
                <w:sz w:val="18"/>
                <w:szCs w:val="18"/>
              </w:rPr>
              <w:t>Midwives</w:t>
            </w:r>
          </w:p>
        </w:tc>
      </w:tr>
      <w:tr w:rsidR="001C2CD4" w:rsidRPr="00EA5C8F" w:rsidTr="00C101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rPr>
          <w:gridAfter w:val="1"/>
          <w:wAfter w:w="23" w:type="pct"/>
        </w:trPr>
        <w:tc>
          <w:tcPr>
            <w:tcW w:w="855" w:type="pct"/>
            <w:gridSpan w:val="2"/>
            <w:tcBorders>
              <w:top w:val="single" w:sz="4" w:space="0" w:color="auto"/>
              <w:left w:val="single" w:sz="4" w:space="0" w:color="auto"/>
              <w:bottom w:val="single" w:sz="4" w:space="0" w:color="auto"/>
              <w:right w:val="single" w:sz="4" w:space="0" w:color="auto"/>
            </w:tcBorders>
          </w:tcPr>
          <w:p w:rsidR="001C2CD4" w:rsidRPr="00EA5C8F" w:rsidRDefault="001C2CD4" w:rsidP="00C10118">
            <w:pPr>
              <w:spacing w:before="0" w:after="0"/>
              <w:jc w:val="left"/>
              <w:rPr>
                <w:rFonts w:ascii="Arial Narrow" w:eastAsia="Calibri" w:hAnsi="Arial Narrow" w:cs="Arial"/>
                <w:color w:val="auto"/>
                <w:sz w:val="18"/>
                <w:szCs w:val="18"/>
              </w:rPr>
            </w:pPr>
            <w:r w:rsidRPr="00EA5C8F">
              <w:rPr>
                <w:rFonts w:ascii="Arial Narrow" w:eastAsia="Calibri" w:hAnsi="Arial Narrow" w:cs="Arial"/>
                <w:b/>
                <w:color w:val="auto"/>
                <w:sz w:val="18"/>
                <w:szCs w:val="18"/>
              </w:rPr>
              <w:t>Restriction Level / Method:</w:t>
            </w:r>
          </w:p>
        </w:tc>
        <w:tc>
          <w:tcPr>
            <w:tcW w:w="4122" w:type="pct"/>
            <w:gridSpan w:val="7"/>
            <w:tcBorders>
              <w:top w:val="single" w:sz="4" w:space="0" w:color="auto"/>
              <w:left w:val="single" w:sz="4" w:space="0" w:color="auto"/>
              <w:bottom w:val="single" w:sz="4" w:space="0" w:color="auto"/>
              <w:right w:val="single" w:sz="4" w:space="0" w:color="auto"/>
            </w:tcBorders>
          </w:tcPr>
          <w:p w:rsidR="001C2CD4" w:rsidRPr="00EA5C8F" w:rsidRDefault="001C2CD4" w:rsidP="001C2CD4">
            <w:pPr>
              <w:spacing w:before="0" w:after="0"/>
              <w:rPr>
                <w:rFonts w:ascii="Arial Narrow" w:eastAsia="Calibri" w:hAnsi="Arial Narrow" w:cs="Arial"/>
                <w:color w:val="auto"/>
                <w:sz w:val="18"/>
                <w:szCs w:val="18"/>
              </w:rPr>
            </w:pPr>
            <w:r w:rsidRPr="00EA5C8F">
              <w:rPr>
                <w:rFonts w:ascii="Arial Narrow" w:eastAsia="Calibri" w:hAnsi="Arial Narrow" w:cs="Arial"/>
                <w:color w:val="auto"/>
                <w:sz w:val="18"/>
                <w:szCs w:val="18"/>
              </w:rPr>
              <w:fldChar w:fldCharType="begin">
                <w:ffData>
                  <w:name w:val="Check1"/>
                  <w:enabled/>
                  <w:calcOnExit w:val="0"/>
                  <w:checkBox>
                    <w:sizeAuto/>
                    <w:default w:val="0"/>
                  </w:checkBox>
                </w:ffData>
              </w:fldChar>
            </w:r>
            <w:r w:rsidRPr="00EA5C8F">
              <w:rPr>
                <w:rFonts w:ascii="Arial Narrow" w:eastAsia="Calibri" w:hAnsi="Arial Narrow" w:cs="Arial"/>
                <w:color w:val="auto"/>
                <w:sz w:val="18"/>
                <w:szCs w:val="18"/>
              </w:rPr>
              <w:instrText xml:space="preserve"> FORMCHECKBOX </w:instrText>
            </w:r>
            <w:r w:rsidR="00E965A4">
              <w:rPr>
                <w:rFonts w:ascii="Arial Narrow" w:eastAsia="Calibri" w:hAnsi="Arial Narrow" w:cs="Arial"/>
                <w:color w:val="auto"/>
                <w:sz w:val="18"/>
                <w:szCs w:val="18"/>
              </w:rPr>
            </w:r>
            <w:r w:rsidR="00E965A4">
              <w:rPr>
                <w:rFonts w:ascii="Arial Narrow" w:eastAsia="Calibri" w:hAnsi="Arial Narrow" w:cs="Arial"/>
                <w:color w:val="auto"/>
                <w:sz w:val="18"/>
                <w:szCs w:val="18"/>
              </w:rPr>
              <w:fldChar w:fldCharType="separate"/>
            </w:r>
            <w:r w:rsidRPr="00EA5C8F">
              <w:rPr>
                <w:rFonts w:ascii="Arial Narrow" w:eastAsia="Calibri" w:hAnsi="Arial Narrow" w:cs="Arial"/>
                <w:color w:val="auto"/>
                <w:sz w:val="18"/>
                <w:szCs w:val="18"/>
              </w:rPr>
              <w:fldChar w:fldCharType="end"/>
            </w:r>
            <w:r w:rsidRPr="00EA5C8F">
              <w:rPr>
                <w:rFonts w:ascii="Arial Narrow" w:eastAsia="Calibri" w:hAnsi="Arial Narrow" w:cs="Arial"/>
                <w:color w:val="auto"/>
                <w:sz w:val="18"/>
                <w:szCs w:val="18"/>
              </w:rPr>
              <w:t>Unrestricted benefit</w:t>
            </w:r>
          </w:p>
          <w:p w:rsidR="001C2CD4" w:rsidRPr="00EA5C8F" w:rsidRDefault="001C2CD4" w:rsidP="001C2CD4">
            <w:pPr>
              <w:spacing w:before="0" w:after="0"/>
              <w:rPr>
                <w:rFonts w:ascii="Arial Narrow" w:eastAsia="Calibri" w:hAnsi="Arial Narrow" w:cs="Arial"/>
                <w:color w:val="auto"/>
                <w:sz w:val="18"/>
                <w:szCs w:val="18"/>
              </w:rPr>
            </w:pPr>
            <w:r w:rsidRPr="00EA5C8F">
              <w:rPr>
                <w:rFonts w:ascii="Arial Narrow" w:eastAsia="Calibri" w:hAnsi="Arial Narrow" w:cs="Arial"/>
                <w:color w:val="auto"/>
                <w:sz w:val="18"/>
                <w:szCs w:val="18"/>
              </w:rPr>
              <w:fldChar w:fldCharType="begin">
                <w:ffData>
                  <w:name w:val="Check1"/>
                  <w:enabled/>
                  <w:calcOnExit w:val="0"/>
                  <w:checkBox>
                    <w:sizeAuto/>
                    <w:default w:val="0"/>
                  </w:checkBox>
                </w:ffData>
              </w:fldChar>
            </w:r>
            <w:r w:rsidRPr="00EA5C8F">
              <w:rPr>
                <w:rFonts w:ascii="Arial Narrow" w:eastAsia="Calibri" w:hAnsi="Arial Narrow" w:cs="Arial"/>
                <w:color w:val="auto"/>
                <w:sz w:val="18"/>
                <w:szCs w:val="18"/>
              </w:rPr>
              <w:instrText xml:space="preserve"> FORMCHECKBOX </w:instrText>
            </w:r>
            <w:r w:rsidR="00E965A4">
              <w:rPr>
                <w:rFonts w:ascii="Arial Narrow" w:eastAsia="Calibri" w:hAnsi="Arial Narrow" w:cs="Arial"/>
                <w:color w:val="auto"/>
                <w:sz w:val="18"/>
                <w:szCs w:val="18"/>
              </w:rPr>
            </w:r>
            <w:r w:rsidR="00E965A4">
              <w:rPr>
                <w:rFonts w:ascii="Arial Narrow" w:eastAsia="Calibri" w:hAnsi="Arial Narrow" w:cs="Arial"/>
                <w:color w:val="auto"/>
                <w:sz w:val="18"/>
                <w:szCs w:val="18"/>
              </w:rPr>
              <w:fldChar w:fldCharType="separate"/>
            </w:r>
            <w:r w:rsidRPr="00EA5C8F">
              <w:rPr>
                <w:rFonts w:ascii="Arial Narrow" w:eastAsia="Calibri" w:hAnsi="Arial Narrow" w:cs="Arial"/>
                <w:color w:val="auto"/>
                <w:sz w:val="18"/>
                <w:szCs w:val="18"/>
              </w:rPr>
              <w:fldChar w:fldCharType="end"/>
            </w:r>
            <w:r w:rsidRPr="00EA5C8F">
              <w:rPr>
                <w:rFonts w:ascii="Arial Narrow" w:eastAsia="Calibri" w:hAnsi="Arial Narrow" w:cs="Arial"/>
                <w:color w:val="auto"/>
                <w:sz w:val="18"/>
                <w:szCs w:val="18"/>
              </w:rPr>
              <w:t>Restricted benefit</w:t>
            </w:r>
          </w:p>
          <w:p w:rsidR="001C2CD4" w:rsidRPr="00EA5C8F" w:rsidRDefault="001C2CD4" w:rsidP="001C2CD4">
            <w:pPr>
              <w:spacing w:before="0" w:after="0"/>
              <w:rPr>
                <w:rFonts w:ascii="Arial Narrow" w:eastAsia="Calibri" w:hAnsi="Arial Narrow" w:cs="Arial"/>
                <w:color w:val="auto"/>
                <w:sz w:val="18"/>
                <w:szCs w:val="18"/>
              </w:rPr>
            </w:pPr>
            <w:r w:rsidRPr="00EA5C8F">
              <w:rPr>
                <w:rFonts w:ascii="Arial Narrow" w:eastAsia="Calibri" w:hAnsi="Arial Narrow" w:cs="Arial"/>
                <w:color w:val="auto"/>
                <w:sz w:val="18"/>
                <w:szCs w:val="18"/>
              </w:rPr>
              <w:fldChar w:fldCharType="begin">
                <w:ffData>
                  <w:name w:val=""/>
                  <w:enabled/>
                  <w:calcOnExit w:val="0"/>
                  <w:checkBox>
                    <w:sizeAuto/>
                    <w:default w:val="0"/>
                  </w:checkBox>
                </w:ffData>
              </w:fldChar>
            </w:r>
            <w:r w:rsidRPr="00EA5C8F">
              <w:rPr>
                <w:rFonts w:ascii="Arial Narrow" w:eastAsia="Calibri" w:hAnsi="Arial Narrow" w:cs="Arial"/>
                <w:color w:val="auto"/>
                <w:sz w:val="18"/>
                <w:szCs w:val="18"/>
              </w:rPr>
              <w:instrText xml:space="preserve"> FORMCHECKBOX </w:instrText>
            </w:r>
            <w:r w:rsidR="00E965A4">
              <w:rPr>
                <w:rFonts w:ascii="Arial Narrow" w:eastAsia="Calibri" w:hAnsi="Arial Narrow" w:cs="Arial"/>
                <w:color w:val="auto"/>
                <w:sz w:val="18"/>
                <w:szCs w:val="18"/>
              </w:rPr>
            </w:r>
            <w:r w:rsidR="00E965A4">
              <w:rPr>
                <w:rFonts w:ascii="Arial Narrow" w:eastAsia="Calibri" w:hAnsi="Arial Narrow" w:cs="Arial"/>
                <w:color w:val="auto"/>
                <w:sz w:val="18"/>
                <w:szCs w:val="18"/>
              </w:rPr>
              <w:fldChar w:fldCharType="separate"/>
            </w:r>
            <w:r w:rsidRPr="00EA5C8F">
              <w:rPr>
                <w:rFonts w:ascii="Arial Narrow" w:eastAsia="Calibri" w:hAnsi="Arial Narrow" w:cs="Arial"/>
                <w:color w:val="auto"/>
                <w:sz w:val="18"/>
                <w:szCs w:val="18"/>
              </w:rPr>
              <w:fldChar w:fldCharType="end"/>
            </w:r>
            <w:r w:rsidRPr="00EA5C8F">
              <w:rPr>
                <w:rFonts w:ascii="Arial Narrow" w:eastAsia="Calibri" w:hAnsi="Arial Narrow" w:cs="Arial"/>
                <w:color w:val="auto"/>
                <w:sz w:val="18"/>
                <w:szCs w:val="18"/>
              </w:rPr>
              <w:t>Authority Required – In Writing</w:t>
            </w:r>
          </w:p>
          <w:p w:rsidR="001C2CD4" w:rsidRPr="00EA5C8F" w:rsidRDefault="001C2CD4" w:rsidP="001C2CD4">
            <w:pPr>
              <w:spacing w:before="0" w:after="0"/>
              <w:rPr>
                <w:rFonts w:ascii="Arial Narrow" w:eastAsia="Calibri" w:hAnsi="Arial Narrow" w:cs="Arial"/>
                <w:color w:val="auto"/>
                <w:sz w:val="18"/>
                <w:szCs w:val="18"/>
              </w:rPr>
            </w:pPr>
            <w:r w:rsidRPr="00EA5C8F">
              <w:rPr>
                <w:rFonts w:ascii="Arial Narrow" w:eastAsia="Calibri" w:hAnsi="Arial Narrow" w:cs="Arial"/>
                <w:color w:val="auto"/>
                <w:sz w:val="18"/>
                <w:szCs w:val="18"/>
              </w:rPr>
              <w:lastRenderedPageBreak/>
              <w:fldChar w:fldCharType="begin">
                <w:ffData>
                  <w:name w:val=""/>
                  <w:enabled/>
                  <w:calcOnExit w:val="0"/>
                  <w:checkBox>
                    <w:sizeAuto/>
                    <w:default w:val="0"/>
                  </w:checkBox>
                </w:ffData>
              </w:fldChar>
            </w:r>
            <w:r w:rsidRPr="00EA5C8F">
              <w:rPr>
                <w:rFonts w:ascii="Arial Narrow" w:eastAsia="Calibri" w:hAnsi="Arial Narrow" w:cs="Arial"/>
                <w:color w:val="auto"/>
                <w:sz w:val="18"/>
                <w:szCs w:val="18"/>
              </w:rPr>
              <w:instrText xml:space="preserve"> FORMCHECKBOX </w:instrText>
            </w:r>
            <w:r w:rsidR="00E965A4">
              <w:rPr>
                <w:rFonts w:ascii="Arial Narrow" w:eastAsia="Calibri" w:hAnsi="Arial Narrow" w:cs="Arial"/>
                <w:color w:val="auto"/>
                <w:sz w:val="18"/>
                <w:szCs w:val="18"/>
              </w:rPr>
            </w:r>
            <w:r w:rsidR="00E965A4">
              <w:rPr>
                <w:rFonts w:ascii="Arial Narrow" w:eastAsia="Calibri" w:hAnsi="Arial Narrow" w:cs="Arial"/>
                <w:color w:val="auto"/>
                <w:sz w:val="18"/>
                <w:szCs w:val="18"/>
              </w:rPr>
              <w:fldChar w:fldCharType="separate"/>
            </w:r>
            <w:r w:rsidRPr="00EA5C8F">
              <w:rPr>
                <w:rFonts w:ascii="Arial Narrow" w:eastAsia="Calibri" w:hAnsi="Arial Narrow" w:cs="Arial"/>
                <w:color w:val="auto"/>
                <w:sz w:val="18"/>
                <w:szCs w:val="18"/>
              </w:rPr>
              <w:fldChar w:fldCharType="end"/>
            </w:r>
            <w:r w:rsidRPr="00EA5C8F">
              <w:rPr>
                <w:rFonts w:ascii="Arial Narrow" w:eastAsia="Calibri" w:hAnsi="Arial Narrow" w:cs="Arial"/>
                <w:color w:val="auto"/>
                <w:sz w:val="18"/>
                <w:szCs w:val="18"/>
              </w:rPr>
              <w:t>Authority Required – Telephone/Electronic/Emergency</w:t>
            </w:r>
          </w:p>
          <w:p w:rsidR="001C2CD4" w:rsidRPr="00EA5C8F" w:rsidRDefault="001C2CD4" w:rsidP="001C2CD4">
            <w:pPr>
              <w:spacing w:before="0" w:after="0"/>
              <w:rPr>
                <w:rFonts w:ascii="Arial Narrow" w:eastAsia="Calibri" w:hAnsi="Arial Narrow" w:cs="Arial"/>
                <w:color w:val="auto"/>
                <w:sz w:val="18"/>
                <w:szCs w:val="18"/>
              </w:rPr>
            </w:pPr>
            <w:r w:rsidRPr="00EA5C8F">
              <w:rPr>
                <w:rFonts w:ascii="Arial Narrow" w:eastAsia="Calibri" w:hAnsi="Arial Narrow" w:cs="Arial"/>
                <w:color w:val="auto"/>
                <w:sz w:val="18"/>
                <w:szCs w:val="18"/>
              </w:rPr>
              <w:fldChar w:fldCharType="begin">
                <w:ffData>
                  <w:name w:val=""/>
                  <w:enabled/>
                  <w:calcOnExit w:val="0"/>
                  <w:checkBox>
                    <w:sizeAuto/>
                    <w:default w:val="1"/>
                  </w:checkBox>
                </w:ffData>
              </w:fldChar>
            </w:r>
            <w:r w:rsidRPr="00EA5C8F">
              <w:rPr>
                <w:rFonts w:ascii="Arial Narrow" w:eastAsia="Calibri" w:hAnsi="Arial Narrow" w:cs="Arial"/>
                <w:color w:val="auto"/>
                <w:sz w:val="18"/>
                <w:szCs w:val="18"/>
              </w:rPr>
              <w:instrText xml:space="preserve"> FORMCHECKBOX </w:instrText>
            </w:r>
            <w:r w:rsidR="00E965A4">
              <w:rPr>
                <w:rFonts w:ascii="Arial Narrow" w:eastAsia="Calibri" w:hAnsi="Arial Narrow" w:cs="Arial"/>
                <w:color w:val="auto"/>
                <w:sz w:val="18"/>
                <w:szCs w:val="18"/>
              </w:rPr>
            </w:r>
            <w:r w:rsidR="00E965A4">
              <w:rPr>
                <w:rFonts w:ascii="Arial Narrow" w:eastAsia="Calibri" w:hAnsi="Arial Narrow" w:cs="Arial"/>
                <w:color w:val="auto"/>
                <w:sz w:val="18"/>
                <w:szCs w:val="18"/>
              </w:rPr>
              <w:fldChar w:fldCharType="separate"/>
            </w:r>
            <w:r w:rsidRPr="00EA5C8F">
              <w:rPr>
                <w:rFonts w:ascii="Arial Narrow" w:eastAsia="Calibri" w:hAnsi="Arial Narrow" w:cs="Arial"/>
                <w:color w:val="auto"/>
                <w:sz w:val="18"/>
                <w:szCs w:val="18"/>
              </w:rPr>
              <w:fldChar w:fldCharType="end"/>
            </w:r>
            <w:r w:rsidRPr="00EA5C8F">
              <w:rPr>
                <w:rFonts w:ascii="Arial Narrow" w:eastAsia="Calibri" w:hAnsi="Arial Narrow" w:cs="Arial"/>
                <w:color w:val="auto"/>
                <w:sz w:val="18"/>
                <w:szCs w:val="18"/>
              </w:rPr>
              <w:t>Authority Required - Streamlined</w:t>
            </w:r>
          </w:p>
        </w:tc>
      </w:tr>
      <w:tr w:rsidR="001C2CD4" w:rsidRPr="00EA5C8F" w:rsidTr="00C101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rPr>
          <w:gridAfter w:val="1"/>
          <w:wAfter w:w="23" w:type="pct"/>
        </w:trPr>
        <w:tc>
          <w:tcPr>
            <w:tcW w:w="855" w:type="pct"/>
            <w:gridSpan w:val="2"/>
            <w:tcBorders>
              <w:top w:val="single" w:sz="4" w:space="0" w:color="auto"/>
              <w:left w:val="single" w:sz="4" w:space="0" w:color="auto"/>
              <w:bottom w:val="single" w:sz="4" w:space="0" w:color="auto"/>
              <w:right w:val="single" w:sz="4" w:space="0" w:color="auto"/>
            </w:tcBorders>
          </w:tcPr>
          <w:p w:rsidR="001C2CD4" w:rsidRPr="00EA5C8F" w:rsidRDefault="001C2CD4" w:rsidP="00A57A47">
            <w:pPr>
              <w:spacing w:before="0" w:after="0"/>
              <w:jc w:val="left"/>
              <w:rPr>
                <w:rFonts w:ascii="Arial Narrow" w:eastAsia="Times New Roman" w:hAnsi="Arial Narrow" w:cs="Times New Roman"/>
                <w:color w:val="auto"/>
                <w:sz w:val="18"/>
                <w:szCs w:val="18"/>
                <w:lang w:eastAsia="en-AU"/>
              </w:rPr>
            </w:pPr>
            <w:r w:rsidRPr="00EA5C8F">
              <w:rPr>
                <w:rFonts w:ascii="Arial Narrow" w:eastAsia="Calibri" w:hAnsi="Arial Narrow" w:cs="Arial"/>
                <w:b/>
                <w:color w:val="auto"/>
                <w:sz w:val="18"/>
                <w:szCs w:val="18"/>
              </w:rPr>
              <w:lastRenderedPageBreak/>
              <w:t>Severity:</w:t>
            </w:r>
          </w:p>
        </w:tc>
        <w:tc>
          <w:tcPr>
            <w:tcW w:w="4122" w:type="pct"/>
            <w:gridSpan w:val="7"/>
            <w:tcBorders>
              <w:top w:val="single" w:sz="4" w:space="0" w:color="auto"/>
              <w:left w:val="single" w:sz="4" w:space="0" w:color="auto"/>
              <w:bottom w:val="single" w:sz="4" w:space="0" w:color="auto"/>
              <w:right w:val="single" w:sz="4" w:space="0" w:color="auto"/>
            </w:tcBorders>
          </w:tcPr>
          <w:p w:rsidR="001C2CD4" w:rsidRPr="00EA5C8F" w:rsidRDefault="001C2CD4" w:rsidP="001C2CD4">
            <w:pPr>
              <w:spacing w:before="0" w:after="0"/>
              <w:rPr>
                <w:rFonts w:ascii="Arial Narrow" w:eastAsia="Calibri" w:hAnsi="Arial Narrow" w:cs="Arial"/>
                <w:b/>
                <w:color w:val="auto"/>
                <w:sz w:val="18"/>
                <w:szCs w:val="18"/>
              </w:rPr>
            </w:pPr>
            <w:r w:rsidRPr="00EA5C8F">
              <w:rPr>
                <w:rFonts w:ascii="Arial Narrow" w:eastAsia="Calibri" w:hAnsi="Arial Narrow" w:cs="Calibri"/>
                <w:color w:val="auto"/>
                <w:sz w:val="18"/>
                <w:szCs w:val="18"/>
              </w:rPr>
              <w:t>Unresectable locally advanced or metastatic</w:t>
            </w:r>
          </w:p>
        </w:tc>
      </w:tr>
      <w:tr w:rsidR="001C2CD4" w:rsidRPr="00EA5C8F" w:rsidTr="00C101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rPr>
          <w:gridAfter w:val="1"/>
          <w:wAfter w:w="23" w:type="pct"/>
        </w:trPr>
        <w:tc>
          <w:tcPr>
            <w:tcW w:w="855" w:type="pct"/>
            <w:gridSpan w:val="2"/>
            <w:tcBorders>
              <w:top w:val="single" w:sz="4" w:space="0" w:color="auto"/>
              <w:left w:val="single" w:sz="4" w:space="0" w:color="auto"/>
              <w:bottom w:val="single" w:sz="4" w:space="0" w:color="auto"/>
              <w:right w:val="single" w:sz="4" w:space="0" w:color="auto"/>
            </w:tcBorders>
          </w:tcPr>
          <w:p w:rsidR="001C2CD4" w:rsidRPr="00EA5C8F" w:rsidRDefault="001C2CD4" w:rsidP="002D2320">
            <w:pPr>
              <w:spacing w:before="0" w:after="0"/>
              <w:jc w:val="left"/>
              <w:rPr>
                <w:rFonts w:ascii="Arial Narrow" w:eastAsia="Times New Roman" w:hAnsi="Arial Narrow" w:cs="Times New Roman"/>
                <w:color w:val="auto"/>
                <w:sz w:val="18"/>
                <w:szCs w:val="18"/>
                <w:lang w:eastAsia="en-AU"/>
              </w:rPr>
            </w:pPr>
            <w:r w:rsidRPr="00EA5C8F">
              <w:rPr>
                <w:rFonts w:ascii="Arial Narrow" w:eastAsia="Calibri" w:hAnsi="Arial Narrow" w:cs="Arial"/>
                <w:b/>
                <w:color w:val="auto"/>
                <w:sz w:val="18"/>
                <w:szCs w:val="18"/>
              </w:rPr>
              <w:t>Condition:</w:t>
            </w:r>
          </w:p>
        </w:tc>
        <w:tc>
          <w:tcPr>
            <w:tcW w:w="4122" w:type="pct"/>
            <w:gridSpan w:val="7"/>
            <w:tcBorders>
              <w:top w:val="single" w:sz="4" w:space="0" w:color="auto"/>
              <w:left w:val="single" w:sz="4" w:space="0" w:color="auto"/>
              <w:bottom w:val="single" w:sz="4" w:space="0" w:color="auto"/>
              <w:right w:val="single" w:sz="4" w:space="0" w:color="auto"/>
            </w:tcBorders>
          </w:tcPr>
          <w:p w:rsidR="001C2CD4" w:rsidRPr="00EA5C8F" w:rsidRDefault="001C2CD4" w:rsidP="001C2CD4">
            <w:pPr>
              <w:spacing w:before="0" w:after="0"/>
              <w:rPr>
                <w:rFonts w:ascii="Arial Narrow" w:eastAsia="Calibri" w:hAnsi="Arial Narrow" w:cs="Arial"/>
                <w:b/>
                <w:color w:val="auto"/>
                <w:sz w:val="18"/>
                <w:szCs w:val="18"/>
              </w:rPr>
            </w:pPr>
            <w:r w:rsidRPr="00EA5C8F">
              <w:rPr>
                <w:rFonts w:ascii="Arial Narrow" w:eastAsia="Calibri" w:hAnsi="Arial Narrow" w:cs="Arial"/>
                <w:color w:val="auto"/>
                <w:sz w:val="18"/>
                <w:szCs w:val="18"/>
              </w:rPr>
              <w:t>triple</w:t>
            </w:r>
            <w:r w:rsidRPr="00EA5C8F">
              <w:rPr>
                <w:rFonts w:ascii="Arial Narrow" w:eastAsia="Calibri" w:hAnsi="Arial Narrow" w:cs="Arial"/>
                <w:strike/>
                <w:color w:val="auto"/>
                <w:sz w:val="18"/>
                <w:szCs w:val="18"/>
              </w:rPr>
              <w:t>-</w:t>
            </w:r>
            <w:r w:rsidRPr="00EA5C8F">
              <w:rPr>
                <w:rFonts w:ascii="Arial Narrow" w:eastAsia="Calibri" w:hAnsi="Arial Narrow" w:cs="Arial"/>
                <w:color w:val="auto"/>
                <w:sz w:val="18"/>
                <w:szCs w:val="18"/>
              </w:rPr>
              <w:t>negative</w:t>
            </w:r>
            <w:r w:rsidRPr="00EA5C8F">
              <w:rPr>
                <w:rFonts w:ascii="Arial Narrow" w:eastAsia="Calibri" w:hAnsi="Arial Narrow" w:cs="Calibri"/>
                <w:color w:val="auto"/>
                <w:sz w:val="18"/>
                <w:szCs w:val="18"/>
              </w:rPr>
              <w:t xml:space="preserve"> breast cancer </w:t>
            </w:r>
            <w:r w:rsidRPr="00EA5C8F">
              <w:rPr>
                <w:rFonts w:ascii="Arial Narrow" w:eastAsia="Calibri" w:hAnsi="Arial Narrow" w:cs="Calibri"/>
                <w:i/>
                <w:color w:val="auto"/>
                <w:sz w:val="18"/>
                <w:szCs w:val="18"/>
              </w:rPr>
              <w:t>(delete hyphen)</w:t>
            </w:r>
          </w:p>
        </w:tc>
      </w:tr>
      <w:tr w:rsidR="002D2320" w:rsidRPr="002D2320" w:rsidTr="00C101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rPr>
          <w:gridAfter w:val="1"/>
          <w:wAfter w:w="23" w:type="pct"/>
        </w:trPr>
        <w:tc>
          <w:tcPr>
            <w:tcW w:w="855" w:type="pct"/>
            <w:gridSpan w:val="2"/>
            <w:tcBorders>
              <w:top w:val="single" w:sz="4" w:space="0" w:color="auto"/>
              <w:left w:val="single" w:sz="4" w:space="0" w:color="auto"/>
              <w:bottom w:val="single" w:sz="4" w:space="0" w:color="auto"/>
              <w:right w:val="single" w:sz="4" w:space="0" w:color="auto"/>
            </w:tcBorders>
            <w:vAlign w:val="center"/>
          </w:tcPr>
          <w:p w:rsidR="001C2CD4" w:rsidRPr="002D2320" w:rsidRDefault="001C2CD4" w:rsidP="002D2320">
            <w:pPr>
              <w:spacing w:before="0" w:after="0"/>
              <w:jc w:val="left"/>
              <w:rPr>
                <w:rFonts w:ascii="Arial Narrow" w:eastAsia="Times New Roman" w:hAnsi="Arial Narrow" w:cs="Times New Roman"/>
                <w:sz w:val="18"/>
                <w:szCs w:val="18"/>
                <w:lang w:eastAsia="en-AU"/>
              </w:rPr>
            </w:pPr>
            <w:r w:rsidRPr="002D2320">
              <w:rPr>
                <w:rFonts w:ascii="Arial Narrow" w:eastAsia="Times New Roman" w:hAnsi="Arial Narrow" w:cs="Times New Roman"/>
                <w:b/>
                <w:bCs/>
                <w:sz w:val="18"/>
                <w:szCs w:val="18"/>
                <w:lang w:eastAsia="en-AU"/>
              </w:rPr>
              <w:t>Indication:</w:t>
            </w:r>
          </w:p>
        </w:tc>
        <w:tc>
          <w:tcPr>
            <w:tcW w:w="4122" w:type="pct"/>
            <w:gridSpan w:val="7"/>
            <w:tcBorders>
              <w:top w:val="single" w:sz="4" w:space="0" w:color="auto"/>
              <w:left w:val="single" w:sz="4" w:space="0" w:color="auto"/>
              <w:bottom w:val="single" w:sz="4" w:space="0" w:color="auto"/>
              <w:right w:val="single" w:sz="4" w:space="0" w:color="auto"/>
            </w:tcBorders>
            <w:vAlign w:val="center"/>
          </w:tcPr>
          <w:p w:rsidR="001C2CD4" w:rsidRPr="002D2320" w:rsidRDefault="001C2CD4" w:rsidP="004B7914">
            <w:pPr>
              <w:spacing w:before="0" w:after="0"/>
              <w:jc w:val="left"/>
              <w:rPr>
                <w:rFonts w:ascii="Arial Narrow" w:eastAsia="Times New Roman" w:hAnsi="Arial Narrow" w:cs="Times New Roman"/>
                <w:b/>
                <w:bCs/>
                <w:sz w:val="18"/>
                <w:szCs w:val="18"/>
                <w:lang w:eastAsia="en-AU"/>
              </w:rPr>
            </w:pPr>
            <w:r w:rsidRPr="002D2320">
              <w:rPr>
                <w:rFonts w:ascii="Arial Narrow" w:eastAsia="Times New Roman" w:hAnsi="Arial Narrow" w:cs="Times New Roman"/>
                <w:bCs/>
                <w:sz w:val="18"/>
                <w:szCs w:val="18"/>
                <w:lang w:eastAsia="en-AU"/>
              </w:rPr>
              <w:t>Unresectable locally advanced or metastatic</w:t>
            </w:r>
            <w:r w:rsidRPr="002D2320">
              <w:rPr>
                <w:rFonts w:ascii="Arial Narrow" w:eastAsia="Times New Roman" w:hAnsi="Arial Narrow" w:cs="Times New Roman"/>
                <w:b/>
                <w:bCs/>
                <w:sz w:val="18"/>
                <w:szCs w:val="18"/>
                <w:lang w:eastAsia="en-AU"/>
              </w:rPr>
              <w:t xml:space="preserve"> </w:t>
            </w:r>
            <w:r w:rsidRPr="002D2320">
              <w:rPr>
                <w:rFonts w:ascii="Arial Narrow" w:eastAsia="Times New Roman" w:hAnsi="Arial Narrow" w:cs="Times New Roman"/>
                <w:bCs/>
                <w:sz w:val="18"/>
                <w:szCs w:val="18"/>
                <w:lang w:eastAsia="en-AU"/>
              </w:rPr>
              <w:t>triple</w:t>
            </w:r>
            <w:r w:rsidR="004B7914">
              <w:rPr>
                <w:rFonts w:ascii="Arial Narrow" w:eastAsia="Times New Roman" w:hAnsi="Arial Narrow" w:cs="Times New Roman"/>
                <w:bCs/>
                <w:sz w:val="18"/>
                <w:szCs w:val="18"/>
                <w:lang w:eastAsia="en-AU"/>
              </w:rPr>
              <w:t>-</w:t>
            </w:r>
            <w:r w:rsidRPr="002D2320">
              <w:rPr>
                <w:rFonts w:ascii="Arial Narrow" w:eastAsia="Times New Roman" w:hAnsi="Arial Narrow" w:cs="Times New Roman"/>
                <w:bCs/>
                <w:sz w:val="18"/>
                <w:szCs w:val="18"/>
                <w:lang w:eastAsia="en-AU"/>
              </w:rPr>
              <w:t>negative breast cancer</w:t>
            </w:r>
          </w:p>
        </w:tc>
      </w:tr>
      <w:tr w:rsidR="001C2CD4" w:rsidRPr="00EA5C8F" w:rsidTr="00C101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rPr>
          <w:gridAfter w:val="1"/>
          <w:wAfter w:w="23" w:type="pct"/>
        </w:trPr>
        <w:tc>
          <w:tcPr>
            <w:tcW w:w="855" w:type="pct"/>
            <w:gridSpan w:val="2"/>
            <w:tcBorders>
              <w:top w:val="single" w:sz="4" w:space="0" w:color="auto"/>
              <w:left w:val="single" w:sz="4" w:space="0" w:color="auto"/>
              <w:bottom w:val="single" w:sz="4" w:space="0" w:color="auto"/>
              <w:right w:val="single" w:sz="4" w:space="0" w:color="auto"/>
            </w:tcBorders>
            <w:vAlign w:val="center"/>
          </w:tcPr>
          <w:p w:rsidR="001C2CD4" w:rsidRPr="00EA5C8F" w:rsidRDefault="001C2CD4" w:rsidP="002D2320">
            <w:pPr>
              <w:spacing w:before="0" w:after="0"/>
              <w:jc w:val="left"/>
              <w:rPr>
                <w:rFonts w:ascii="Arial Narrow" w:eastAsia="Times New Roman" w:hAnsi="Arial Narrow" w:cs="Times New Roman"/>
                <w:color w:val="auto"/>
                <w:sz w:val="18"/>
                <w:szCs w:val="18"/>
                <w:lang w:eastAsia="en-AU"/>
              </w:rPr>
            </w:pPr>
            <w:r w:rsidRPr="00EA5C8F">
              <w:rPr>
                <w:rFonts w:ascii="Arial Narrow" w:eastAsia="Times New Roman" w:hAnsi="Arial Narrow" w:cs="Times New Roman"/>
                <w:b/>
                <w:bCs/>
                <w:color w:val="auto"/>
                <w:sz w:val="18"/>
                <w:szCs w:val="18"/>
                <w:lang w:eastAsia="en-AU"/>
              </w:rPr>
              <w:t>Treatment Phase:</w:t>
            </w:r>
          </w:p>
        </w:tc>
        <w:tc>
          <w:tcPr>
            <w:tcW w:w="4122" w:type="pct"/>
            <w:gridSpan w:val="7"/>
            <w:tcBorders>
              <w:top w:val="single" w:sz="4" w:space="0" w:color="auto"/>
              <w:left w:val="single" w:sz="4" w:space="0" w:color="auto"/>
              <w:bottom w:val="single" w:sz="4" w:space="0" w:color="auto"/>
              <w:right w:val="single" w:sz="4" w:space="0" w:color="auto"/>
            </w:tcBorders>
            <w:vAlign w:val="center"/>
          </w:tcPr>
          <w:p w:rsidR="001C2CD4" w:rsidRPr="00EA5C8F" w:rsidRDefault="001C2CD4" w:rsidP="001C2CD4">
            <w:pPr>
              <w:spacing w:before="0" w:after="0"/>
              <w:jc w:val="left"/>
              <w:rPr>
                <w:rFonts w:ascii="Arial Narrow" w:eastAsia="Times New Roman" w:hAnsi="Arial Narrow" w:cs="Times New Roman"/>
                <w:b/>
                <w:bCs/>
                <w:color w:val="auto"/>
                <w:sz w:val="18"/>
                <w:szCs w:val="18"/>
                <w:lang w:eastAsia="en-AU"/>
              </w:rPr>
            </w:pPr>
            <w:r w:rsidRPr="00EA5C8F">
              <w:rPr>
                <w:rFonts w:ascii="Arial Narrow" w:eastAsia="Times New Roman" w:hAnsi="Arial Narrow" w:cs="Times New Roman"/>
                <w:bCs/>
                <w:color w:val="auto"/>
                <w:sz w:val="18"/>
                <w:szCs w:val="18"/>
                <w:lang w:eastAsia="en-AU"/>
              </w:rPr>
              <w:t>Continuing treatment</w:t>
            </w:r>
          </w:p>
        </w:tc>
      </w:tr>
      <w:tr w:rsidR="001C2CD4" w:rsidRPr="00EA5C8F" w:rsidTr="00C101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rPr>
          <w:gridAfter w:val="1"/>
          <w:wAfter w:w="23" w:type="pct"/>
        </w:trPr>
        <w:tc>
          <w:tcPr>
            <w:tcW w:w="855" w:type="pct"/>
            <w:gridSpan w:val="2"/>
            <w:tcBorders>
              <w:top w:val="single" w:sz="4" w:space="0" w:color="auto"/>
              <w:left w:val="single" w:sz="4" w:space="0" w:color="auto"/>
              <w:bottom w:val="single" w:sz="4" w:space="0" w:color="auto"/>
              <w:right w:val="single" w:sz="4" w:space="0" w:color="auto"/>
            </w:tcBorders>
            <w:vAlign w:val="center"/>
          </w:tcPr>
          <w:p w:rsidR="001C2CD4" w:rsidRPr="00EA5C8F" w:rsidRDefault="001C2CD4" w:rsidP="002D2320">
            <w:pPr>
              <w:spacing w:before="0" w:after="0"/>
              <w:jc w:val="left"/>
              <w:rPr>
                <w:rFonts w:ascii="Arial Narrow" w:eastAsia="Times New Roman" w:hAnsi="Arial Narrow" w:cs="Times New Roman"/>
                <w:color w:val="auto"/>
                <w:sz w:val="18"/>
                <w:szCs w:val="18"/>
                <w:lang w:eastAsia="en-AU"/>
              </w:rPr>
            </w:pPr>
            <w:r w:rsidRPr="00EA5C8F">
              <w:rPr>
                <w:rFonts w:ascii="Arial Narrow" w:eastAsia="Times New Roman" w:hAnsi="Arial Narrow" w:cs="Times New Roman"/>
                <w:b/>
                <w:bCs/>
                <w:color w:val="auto"/>
                <w:sz w:val="18"/>
                <w:szCs w:val="18"/>
                <w:lang w:eastAsia="en-AU"/>
              </w:rPr>
              <w:t>Clinical criteria:</w:t>
            </w:r>
          </w:p>
        </w:tc>
        <w:tc>
          <w:tcPr>
            <w:tcW w:w="4122" w:type="pct"/>
            <w:gridSpan w:val="7"/>
            <w:tcBorders>
              <w:top w:val="single" w:sz="4" w:space="0" w:color="auto"/>
              <w:left w:val="single" w:sz="4" w:space="0" w:color="auto"/>
              <w:bottom w:val="single" w:sz="4" w:space="0" w:color="auto"/>
              <w:right w:val="single" w:sz="4" w:space="0" w:color="auto"/>
            </w:tcBorders>
            <w:vAlign w:val="center"/>
          </w:tcPr>
          <w:p w:rsidR="001C2CD4" w:rsidRPr="00EA5C8F" w:rsidRDefault="001C2CD4" w:rsidP="001C2CD4">
            <w:pPr>
              <w:spacing w:before="0" w:after="0"/>
              <w:rPr>
                <w:rFonts w:ascii="Arial Narrow" w:eastAsia="Times New Roman" w:hAnsi="Arial Narrow" w:cs="Arial"/>
                <w:strike/>
                <w:color w:val="auto"/>
                <w:sz w:val="18"/>
                <w:szCs w:val="18"/>
              </w:rPr>
            </w:pPr>
            <w:r w:rsidRPr="00EA5C8F">
              <w:rPr>
                <w:rFonts w:ascii="Arial Narrow" w:eastAsia="Times New Roman" w:hAnsi="Arial Narrow" w:cs="Arial"/>
                <w:strike/>
                <w:color w:val="auto"/>
                <w:sz w:val="18"/>
                <w:szCs w:val="18"/>
              </w:rPr>
              <w:t>Patient must have previously been issued with an authority prescription for this drug for this condition,</w:t>
            </w:r>
          </w:p>
          <w:p w:rsidR="001C2CD4" w:rsidRDefault="001C2CD4" w:rsidP="001C2CD4">
            <w:pPr>
              <w:spacing w:before="0" w:after="0"/>
              <w:jc w:val="left"/>
              <w:rPr>
                <w:rFonts w:ascii="Arial Narrow" w:eastAsia="Times New Roman" w:hAnsi="Arial Narrow" w:cs="Arial"/>
                <w:i/>
                <w:color w:val="auto"/>
                <w:sz w:val="18"/>
                <w:szCs w:val="18"/>
              </w:rPr>
            </w:pPr>
            <w:r w:rsidRPr="00EA5C8F">
              <w:rPr>
                <w:rFonts w:ascii="Arial Narrow" w:eastAsia="Times New Roman" w:hAnsi="Arial Narrow" w:cs="Arial"/>
                <w:i/>
                <w:color w:val="auto"/>
                <w:sz w:val="18"/>
                <w:szCs w:val="18"/>
              </w:rPr>
              <w:t>Patient must have previously received PBS-subsidised treatment with this drug for this condition.</w:t>
            </w:r>
          </w:p>
          <w:p w:rsidR="001C2CD4" w:rsidRPr="002D2320" w:rsidRDefault="001C2CD4" w:rsidP="001C2CD4">
            <w:pPr>
              <w:spacing w:before="0" w:after="0"/>
              <w:jc w:val="left"/>
              <w:rPr>
                <w:rFonts w:ascii="Arial Narrow" w:eastAsia="Calibri" w:hAnsi="Arial Narrow" w:cs="Arial"/>
                <w:color w:val="auto"/>
                <w:sz w:val="18"/>
                <w:szCs w:val="18"/>
              </w:rPr>
            </w:pPr>
            <w:r w:rsidRPr="002D2320">
              <w:rPr>
                <w:rFonts w:ascii="Arial Narrow" w:eastAsia="Times New Roman" w:hAnsi="Arial Narrow" w:cs="Arial"/>
                <w:color w:val="auto"/>
                <w:sz w:val="18"/>
                <w:szCs w:val="18"/>
              </w:rPr>
              <w:t>AND</w:t>
            </w:r>
            <w:r w:rsidRPr="002D2320">
              <w:rPr>
                <w:rFonts w:ascii="Arial Narrow" w:eastAsia="Calibri" w:hAnsi="Arial Narrow" w:cs="Arial"/>
                <w:color w:val="auto"/>
                <w:sz w:val="18"/>
                <w:szCs w:val="18"/>
              </w:rPr>
              <w:t xml:space="preserve"> </w:t>
            </w:r>
          </w:p>
          <w:p w:rsidR="001C2CD4" w:rsidRPr="00EA5C8F" w:rsidRDefault="001C2CD4" w:rsidP="001C2CD4">
            <w:pPr>
              <w:spacing w:before="0" w:after="0"/>
              <w:jc w:val="left"/>
              <w:rPr>
                <w:rFonts w:ascii="Arial Narrow" w:eastAsia="Times New Roman" w:hAnsi="Arial Narrow" w:cs="Times New Roman"/>
                <w:b/>
                <w:bCs/>
                <w:color w:val="auto"/>
                <w:sz w:val="18"/>
                <w:szCs w:val="18"/>
                <w:lang w:eastAsia="en-AU"/>
              </w:rPr>
            </w:pPr>
            <w:r w:rsidRPr="00EA5C8F">
              <w:rPr>
                <w:rFonts w:ascii="Arial Narrow" w:eastAsia="Calibri" w:hAnsi="Arial Narrow" w:cs="Arial"/>
                <w:color w:val="auto"/>
                <w:sz w:val="18"/>
                <w:szCs w:val="18"/>
              </w:rPr>
              <w:t>Patient must not have developed disease progression while being treated with this drug for this condition</w:t>
            </w:r>
          </w:p>
        </w:tc>
      </w:tr>
      <w:tr w:rsidR="001C2CD4" w:rsidRPr="00EA5C8F" w:rsidTr="00C101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rPr>
          <w:gridAfter w:val="1"/>
          <w:wAfter w:w="23" w:type="pct"/>
        </w:trPr>
        <w:tc>
          <w:tcPr>
            <w:tcW w:w="855" w:type="pct"/>
            <w:gridSpan w:val="2"/>
            <w:tcBorders>
              <w:top w:val="single" w:sz="4" w:space="0" w:color="auto"/>
              <w:left w:val="single" w:sz="4" w:space="0" w:color="auto"/>
              <w:bottom w:val="single" w:sz="4" w:space="0" w:color="auto"/>
              <w:right w:val="single" w:sz="4" w:space="0" w:color="auto"/>
            </w:tcBorders>
            <w:vAlign w:val="center"/>
          </w:tcPr>
          <w:p w:rsidR="001C2CD4" w:rsidRPr="00EA5C8F" w:rsidRDefault="001C2CD4" w:rsidP="002D2320">
            <w:pPr>
              <w:spacing w:before="0" w:after="0"/>
              <w:jc w:val="left"/>
              <w:rPr>
                <w:rFonts w:ascii="Arial Narrow" w:eastAsia="Times New Roman" w:hAnsi="Arial Narrow" w:cs="Times New Roman"/>
                <w:color w:val="auto"/>
                <w:sz w:val="18"/>
                <w:szCs w:val="18"/>
                <w:lang w:eastAsia="en-AU"/>
              </w:rPr>
            </w:pPr>
            <w:r w:rsidRPr="00EA5C8F">
              <w:rPr>
                <w:rFonts w:ascii="Arial Narrow" w:eastAsia="Times New Roman" w:hAnsi="Arial Narrow" w:cs="Times New Roman"/>
                <w:b/>
                <w:bCs/>
                <w:color w:val="auto"/>
                <w:sz w:val="18"/>
                <w:szCs w:val="18"/>
                <w:lang w:eastAsia="en-AU"/>
              </w:rPr>
              <w:t>Administrative Advice:</w:t>
            </w:r>
          </w:p>
        </w:tc>
        <w:tc>
          <w:tcPr>
            <w:tcW w:w="4122" w:type="pct"/>
            <w:gridSpan w:val="7"/>
            <w:tcBorders>
              <w:top w:val="single" w:sz="4" w:space="0" w:color="auto"/>
              <w:left w:val="single" w:sz="4" w:space="0" w:color="auto"/>
              <w:bottom w:val="single" w:sz="4" w:space="0" w:color="auto"/>
              <w:right w:val="single" w:sz="4" w:space="0" w:color="auto"/>
            </w:tcBorders>
            <w:vAlign w:val="center"/>
          </w:tcPr>
          <w:p w:rsidR="001C2CD4" w:rsidRPr="00EA5C8F" w:rsidRDefault="001C2CD4" w:rsidP="001C2CD4">
            <w:pPr>
              <w:spacing w:before="0" w:after="0"/>
              <w:jc w:val="left"/>
              <w:rPr>
                <w:rFonts w:ascii="Arial Narrow" w:eastAsia="Times New Roman" w:hAnsi="Arial Narrow" w:cs="Times New Roman"/>
                <w:b/>
                <w:bCs/>
                <w:color w:val="auto"/>
                <w:sz w:val="18"/>
                <w:szCs w:val="18"/>
                <w:lang w:eastAsia="en-AU"/>
              </w:rPr>
            </w:pPr>
            <w:r w:rsidRPr="00EA5C8F">
              <w:rPr>
                <w:rFonts w:ascii="Arial Narrow" w:eastAsia="Times New Roman" w:hAnsi="Arial Narrow" w:cs="Times New Roman"/>
                <w:bCs/>
                <w:color w:val="auto"/>
                <w:sz w:val="18"/>
                <w:szCs w:val="18"/>
                <w:lang w:eastAsia="en-AU"/>
              </w:rPr>
              <w:t>Special Pricing Arrangements apply.</w:t>
            </w:r>
          </w:p>
        </w:tc>
      </w:tr>
      <w:tr w:rsidR="00A57A47" w:rsidRPr="00EA5C8F" w:rsidTr="00C101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rPr>
          <w:gridAfter w:val="2"/>
          <w:wAfter w:w="28" w:type="pct"/>
        </w:trPr>
        <w:tc>
          <w:tcPr>
            <w:tcW w:w="855" w:type="pct"/>
            <w:gridSpan w:val="2"/>
            <w:tcBorders>
              <w:top w:val="single" w:sz="4" w:space="0" w:color="auto"/>
              <w:left w:val="nil"/>
              <w:bottom w:val="single" w:sz="4" w:space="0" w:color="auto"/>
              <w:right w:val="nil"/>
            </w:tcBorders>
          </w:tcPr>
          <w:p w:rsidR="00A57A47" w:rsidRPr="00EA5C8F" w:rsidRDefault="00A57A47" w:rsidP="001E358B">
            <w:pPr>
              <w:spacing w:before="0" w:after="0"/>
              <w:jc w:val="center"/>
              <w:rPr>
                <w:rFonts w:ascii="Arial Narrow" w:eastAsia="Calibri" w:hAnsi="Arial Narrow" w:cs="Arial"/>
                <w:b/>
                <w:color w:val="auto"/>
                <w:sz w:val="18"/>
                <w:szCs w:val="18"/>
              </w:rPr>
            </w:pPr>
          </w:p>
        </w:tc>
        <w:tc>
          <w:tcPr>
            <w:tcW w:w="4117" w:type="pct"/>
            <w:gridSpan w:val="6"/>
            <w:tcBorders>
              <w:top w:val="single" w:sz="4" w:space="0" w:color="auto"/>
              <w:left w:val="nil"/>
              <w:bottom w:val="single" w:sz="4" w:space="0" w:color="auto"/>
              <w:right w:val="nil"/>
            </w:tcBorders>
          </w:tcPr>
          <w:p w:rsidR="00A57A47" w:rsidRPr="00EA5C8F" w:rsidRDefault="00A57A47" w:rsidP="001E358B">
            <w:pPr>
              <w:spacing w:before="0" w:after="0"/>
              <w:rPr>
                <w:rFonts w:ascii="Arial Narrow" w:eastAsia="Calibri" w:hAnsi="Arial Narrow" w:cs="Arial"/>
                <w:color w:val="auto"/>
                <w:sz w:val="18"/>
                <w:szCs w:val="18"/>
              </w:rPr>
            </w:pPr>
          </w:p>
        </w:tc>
      </w:tr>
      <w:tr w:rsidR="00A57A47" w:rsidRPr="00EA5C8F" w:rsidTr="00C101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rPr>
          <w:gridAfter w:val="2"/>
          <w:wAfter w:w="28" w:type="pct"/>
        </w:trPr>
        <w:tc>
          <w:tcPr>
            <w:tcW w:w="855" w:type="pct"/>
            <w:gridSpan w:val="2"/>
            <w:tcBorders>
              <w:top w:val="single" w:sz="4" w:space="0" w:color="auto"/>
              <w:left w:val="single" w:sz="4" w:space="0" w:color="auto"/>
              <w:bottom w:val="single" w:sz="4" w:space="0" w:color="auto"/>
              <w:right w:val="single" w:sz="4" w:space="0" w:color="auto"/>
            </w:tcBorders>
          </w:tcPr>
          <w:p w:rsidR="00A57A47" w:rsidRPr="00EA5C8F" w:rsidRDefault="00C10118" w:rsidP="00C10118">
            <w:pPr>
              <w:spacing w:before="0" w:after="0"/>
              <w:jc w:val="left"/>
              <w:rPr>
                <w:rFonts w:ascii="Arial Narrow" w:eastAsia="Calibri" w:hAnsi="Arial Narrow" w:cs="Arial"/>
                <w:b/>
                <w:color w:val="auto"/>
                <w:sz w:val="18"/>
                <w:szCs w:val="18"/>
              </w:rPr>
            </w:pPr>
            <w:r>
              <w:rPr>
                <w:rFonts w:ascii="Arial Narrow" w:eastAsia="Calibri" w:hAnsi="Arial Narrow" w:cs="Arial"/>
                <w:b/>
                <w:color w:val="auto"/>
                <w:sz w:val="18"/>
                <w:szCs w:val="18"/>
              </w:rPr>
              <w:t>Category / Program:</w:t>
            </w:r>
          </w:p>
        </w:tc>
        <w:tc>
          <w:tcPr>
            <w:tcW w:w="4117" w:type="pct"/>
            <w:gridSpan w:val="6"/>
            <w:tcBorders>
              <w:top w:val="single" w:sz="4" w:space="0" w:color="auto"/>
              <w:left w:val="single" w:sz="4" w:space="0" w:color="auto"/>
              <w:bottom w:val="single" w:sz="4" w:space="0" w:color="auto"/>
              <w:right w:val="single" w:sz="4" w:space="0" w:color="auto"/>
            </w:tcBorders>
          </w:tcPr>
          <w:p w:rsidR="00A57A47" w:rsidRPr="00EA5C8F" w:rsidRDefault="00A57A47" w:rsidP="001E358B">
            <w:pPr>
              <w:spacing w:before="0" w:after="0"/>
              <w:rPr>
                <w:rFonts w:ascii="Arial Narrow" w:eastAsia="Calibri" w:hAnsi="Arial Narrow" w:cs="Arial"/>
                <w:b/>
                <w:color w:val="auto"/>
                <w:sz w:val="18"/>
                <w:szCs w:val="18"/>
              </w:rPr>
            </w:pPr>
            <w:r w:rsidRPr="00EA5C8F">
              <w:rPr>
                <w:rFonts w:ascii="Arial Narrow" w:eastAsia="Calibri" w:hAnsi="Arial Narrow" w:cs="Arial"/>
                <w:color w:val="auto"/>
                <w:sz w:val="18"/>
                <w:szCs w:val="18"/>
              </w:rPr>
              <w:t>Section 100 – Efficient Funding of Chemotherapy (Private/Public hospital codes)</w:t>
            </w:r>
          </w:p>
        </w:tc>
      </w:tr>
      <w:tr w:rsidR="00A57A47" w:rsidRPr="00EA5C8F" w:rsidTr="00C101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rPr>
          <w:gridAfter w:val="2"/>
          <w:wAfter w:w="28" w:type="pct"/>
          <w:trHeight w:val="237"/>
        </w:trPr>
        <w:tc>
          <w:tcPr>
            <w:tcW w:w="855" w:type="pct"/>
            <w:gridSpan w:val="2"/>
            <w:tcBorders>
              <w:top w:val="single" w:sz="4" w:space="0" w:color="auto"/>
              <w:left w:val="single" w:sz="4" w:space="0" w:color="auto"/>
              <w:bottom w:val="single" w:sz="4" w:space="0" w:color="auto"/>
              <w:right w:val="single" w:sz="4" w:space="0" w:color="auto"/>
            </w:tcBorders>
          </w:tcPr>
          <w:p w:rsidR="00A57A47" w:rsidRPr="00EA5C8F" w:rsidRDefault="00C10118" w:rsidP="00A57A47">
            <w:pPr>
              <w:spacing w:before="0" w:after="0"/>
              <w:jc w:val="left"/>
              <w:rPr>
                <w:rFonts w:ascii="Arial Narrow" w:eastAsia="Calibri" w:hAnsi="Arial Narrow" w:cs="Arial"/>
                <w:color w:val="auto"/>
                <w:sz w:val="18"/>
                <w:szCs w:val="18"/>
              </w:rPr>
            </w:pPr>
            <w:r>
              <w:rPr>
                <w:rFonts w:ascii="Arial Narrow" w:eastAsia="Calibri" w:hAnsi="Arial Narrow" w:cs="Arial"/>
                <w:b/>
                <w:color w:val="auto"/>
                <w:sz w:val="18"/>
                <w:szCs w:val="18"/>
              </w:rPr>
              <w:t>Prescriber type:</w:t>
            </w:r>
          </w:p>
        </w:tc>
        <w:tc>
          <w:tcPr>
            <w:tcW w:w="4117" w:type="pct"/>
            <w:gridSpan w:val="6"/>
            <w:tcBorders>
              <w:top w:val="single" w:sz="4" w:space="0" w:color="auto"/>
              <w:left w:val="single" w:sz="4" w:space="0" w:color="auto"/>
              <w:bottom w:val="single" w:sz="4" w:space="0" w:color="auto"/>
              <w:right w:val="single" w:sz="4" w:space="0" w:color="auto"/>
            </w:tcBorders>
          </w:tcPr>
          <w:p w:rsidR="00A57A47" w:rsidRPr="00EA5C8F" w:rsidRDefault="00A57A47" w:rsidP="00C10118">
            <w:pPr>
              <w:spacing w:before="0" w:after="0"/>
              <w:rPr>
                <w:rFonts w:ascii="Arial Narrow" w:eastAsia="Calibri" w:hAnsi="Arial Narrow" w:cs="Arial"/>
                <w:color w:val="auto"/>
                <w:sz w:val="18"/>
                <w:szCs w:val="18"/>
              </w:rPr>
            </w:pPr>
            <w:r w:rsidRPr="00EA5C8F">
              <w:rPr>
                <w:rFonts w:ascii="Arial Narrow" w:eastAsia="Calibri" w:hAnsi="Arial Narrow" w:cs="Arial"/>
                <w:color w:val="auto"/>
                <w:sz w:val="18"/>
                <w:szCs w:val="18"/>
              </w:rPr>
              <w:fldChar w:fldCharType="begin">
                <w:ffData>
                  <w:name w:val="Check1"/>
                  <w:enabled/>
                  <w:calcOnExit w:val="0"/>
                  <w:checkBox>
                    <w:sizeAuto/>
                    <w:default w:val="0"/>
                  </w:checkBox>
                </w:ffData>
              </w:fldChar>
            </w:r>
            <w:r w:rsidRPr="00EA5C8F">
              <w:rPr>
                <w:rFonts w:ascii="Arial Narrow" w:eastAsia="Calibri" w:hAnsi="Arial Narrow" w:cs="Arial"/>
                <w:color w:val="auto"/>
                <w:sz w:val="18"/>
                <w:szCs w:val="18"/>
              </w:rPr>
              <w:instrText xml:space="preserve"> FORMCHECKBOX </w:instrText>
            </w:r>
            <w:r w:rsidR="00E965A4">
              <w:rPr>
                <w:rFonts w:ascii="Arial Narrow" w:eastAsia="Calibri" w:hAnsi="Arial Narrow" w:cs="Arial"/>
                <w:color w:val="auto"/>
                <w:sz w:val="18"/>
                <w:szCs w:val="18"/>
              </w:rPr>
            </w:r>
            <w:r w:rsidR="00E965A4">
              <w:rPr>
                <w:rFonts w:ascii="Arial Narrow" w:eastAsia="Calibri" w:hAnsi="Arial Narrow" w:cs="Arial"/>
                <w:color w:val="auto"/>
                <w:sz w:val="18"/>
                <w:szCs w:val="18"/>
              </w:rPr>
              <w:fldChar w:fldCharType="separate"/>
            </w:r>
            <w:r w:rsidRPr="00EA5C8F">
              <w:rPr>
                <w:rFonts w:ascii="Arial Narrow" w:eastAsia="Calibri" w:hAnsi="Arial Narrow" w:cs="Arial"/>
                <w:color w:val="auto"/>
                <w:sz w:val="18"/>
                <w:szCs w:val="18"/>
              </w:rPr>
              <w:fldChar w:fldCharType="end"/>
            </w:r>
            <w:r w:rsidRPr="00EA5C8F">
              <w:rPr>
                <w:rFonts w:ascii="Arial Narrow" w:eastAsia="Calibri" w:hAnsi="Arial Narrow" w:cs="Arial"/>
                <w:color w:val="auto"/>
                <w:sz w:val="18"/>
                <w:szCs w:val="18"/>
              </w:rPr>
              <w:t xml:space="preserve">Dental  </w:t>
            </w:r>
            <w:r w:rsidRPr="00EA5C8F">
              <w:rPr>
                <w:rFonts w:ascii="Arial Narrow" w:eastAsia="Calibri" w:hAnsi="Arial Narrow" w:cs="Arial"/>
                <w:color w:val="auto"/>
                <w:sz w:val="18"/>
                <w:szCs w:val="18"/>
              </w:rPr>
              <w:fldChar w:fldCharType="begin">
                <w:ffData>
                  <w:name w:val=""/>
                  <w:enabled/>
                  <w:calcOnExit w:val="0"/>
                  <w:checkBox>
                    <w:sizeAuto/>
                    <w:default w:val="1"/>
                  </w:checkBox>
                </w:ffData>
              </w:fldChar>
            </w:r>
            <w:r w:rsidRPr="00EA5C8F">
              <w:rPr>
                <w:rFonts w:ascii="Arial Narrow" w:eastAsia="Calibri" w:hAnsi="Arial Narrow" w:cs="Arial"/>
                <w:color w:val="auto"/>
                <w:sz w:val="18"/>
                <w:szCs w:val="18"/>
              </w:rPr>
              <w:instrText xml:space="preserve"> FORMCHECKBOX </w:instrText>
            </w:r>
            <w:r w:rsidR="00E965A4">
              <w:rPr>
                <w:rFonts w:ascii="Arial Narrow" w:eastAsia="Calibri" w:hAnsi="Arial Narrow" w:cs="Arial"/>
                <w:color w:val="auto"/>
                <w:sz w:val="18"/>
                <w:szCs w:val="18"/>
              </w:rPr>
            </w:r>
            <w:r w:rsidR="00E965A4">
              <w:rPr>
                <w:rFonts w:ascii="Arial Narrow" w:eastAsia="Calibri" w:hAnsi="Arial Narrow" w:cs="Arial"/>
                <w:color w:val="auto"/>
                <w:sz w:val="18"/>
                <w:szCs w:val="18"/>
              </w:rPr>
              <w:fldChar w:fldCharType="separate"/>
            </w:r>
            <w:r w:rsidRPr="00EA5C8F">
              <w:rPr>
                <w:rFonts w:ascii="Arial Narrow" w:eastAsia="Calibri" w:hAnsi="Arial Narrow" w:cs="Arial"/>
                <w:color w:val="auto"/>
                <w:sz w:val="18"/>
                <w:szCs w:val="18"/>
              </w:rPr>
              <w:fldChar w:fldCharType="end"/>
            </w:r>
            <w:r w:rsidRPr="00EA5C8F">
              <w:rPr>
                <w:rFonts w:ascii="Arial Narrow" w:eastAsia="Calibri" w:hAnsi="Arial Narrow" w:cs="Arial"/>
                <w:color w:val="auto"/>
                <w:sz w:val="18"/>
                <w:szCs w:val="18"/>
              </w:rPr>
              <w:t xml:space="preserve">Medical Practitioners  </w:t>
            </w:r>
            <w:r w:rsidRPr="00EA5C8F">
              <w:rPr>
                <w:rFonts w:ascii="Arial Narrow" w:eastAsia="Calibri" w:hAnsi="Arial Narrow" w:cs="Arial"/>
                <w:color w:val="auto"/>
                <w:sz w:val="18"/>
                <w:szCs w:val="18"/>
              </w:rPr>
              <w:fldChar w:fldCharType="begin">
                <w:ffData>
                  <w:name w:val="Check3"/>
                  <w:enabled/>
                  <w:calcOnExit w:val="0"/>
                  <w:checkBox>
                    <w:sizeAuto/>
                    <w:default w:val="0"/>
                  </w:checkBox>
                </w:ffData>
              </w:fldChar>
            </w:r>
            <w:r w:rsidRPr="00EA5C8F">
              <w:rPr>
                <w:rFonts w:ascii="Arial Narrow" w:eastAsia="Calibri" w:hAnsi="Arial Narrow" w:cs="Arial"/>
                <w:color w:val="auto"/>
                <w:sz w:val="18"/>
                <w:szCs w:val="18"/>
              </w:rPr>
              <w:instrText xml:space="preserve"> FORMCHECKBOX </w:instrText>
            </w:r>
            <w:r w:rsidR="00E965A4">
              <w:rPr>
                <w:rFonts w:ascii="Arial Narrow" w:eastAsia="Calibri" w:hAnsi="Arial Narrow" w:cs="Arial"/>
                <w:color w:val="auto"/>
                <w:sz w:val="18"/>
                <w:szCs w:val="18"/>
              </w:rPr>
            </w:r>
            <w:r w:rsidR="00E965A4">
              <w:rPr>
                <w:rFonts w:ascii="Arial Narrow" w:eastAsia="Calibri" w:hAnsi="Arial Narrow" w:cs="Arial"/>
                <w:color w:val="auto"/>
                <w:sz w:val="18"/>
                <w:szCs w:val="18"/>
              </w:rPr>
              <w:fldChar w:fldCharType="separate"/>
            </w:r>
            <w:r w:rsidRPr="00EA5C8F">
              <w:rPr>
                <w:rFonts w:ascii="Arial Narrow" w:eastAsia="Calibri" w:hAnsi="Arial Narrow" w:cs="Arial"/>
                <w:color w:val="auto"/>
                <w:sz w:val="18"/>
                <w:szCs w:val="18"/>
              </w:rPr>
              <w:fldChar w:fldCharType="end"/>
            </w:r>
            <w:r w:rsidRPr="00EA5C8F">
              <w:rPr>
                <w:rFonts w:ascii="Arial Narrow" w:eastAsia="Calibri" w:hAnsi="Arial Narrow" w:cs="Arial"/>
                <w:color w:val="auto"/>
                <w:sz w:val="18"/>
                <w:szCs w:val="18"/>
              </w:rPr>
              <w:t xml:space="preserve">Nurse practitioners  </w:t>
            </w:r>
            <w:r w:rsidRPr="00EA5C8F">
              <w:rPr>
                <w:rFonts w:ascii="Arial Narrow" w:eastAsia="Calibri" w:hAnsi="Arial Narrow" w:cs="Arial"/>
                <w:color w:val="auto"/>
                <w:sz w:val="18"/>
                <w:szCs w:val="18"/>
              </w:rPr>
              <w:fldChar w:fldCharType="begin">
                <w:ffData>
                  <w:name w:val=""/>
                  <w:enabled/>
                  <w:calcOnExit w:val="0"/>
                  <w:checkBox>
                    <w:sizeAuto/>
                    <w:default w:val="0"/>
                  </w:checkBox>
                </w:ffData>
              </w:fldChar>
            </w:r>
            <w:r w:rsidRPr="00EA5C8F">
              <w:rPr>
                <w:rFonts w:ascii="Arial Narrow" w:eastAsia="Calibri" w:hAnsi="Arial Narrow" w:cs="Arial"/>
                <w:color w:val="auto"/>
                <w:sz w:val="18"/>
                <w:szCs w:val="18"/>
              </w:rPr>
              <w:instrText xml:space="preserve"> FORMCHECKBOX </w:instrText>
            </w:r>
            <w:r w:rsidR="00E965A4">
              <w:rPr>
                <w:rFonts w:ascii="Arial Narrow" w:eastAsia="Calibri" w:hAnsi="Arial Narrow" w:cs="Arial"/>
                <w:color w:val="auto"/>
                <w:sz w:val="18"/>
                <w:szCs w:val="18"/>
              </w:rPr>
            </w:r>
            <w:r w:rsidR="00E965A4">
              <w:rPr>
                <w:rFonts w:ascii="Arial Narrow" w:eastAsia="Calibri" w:hAnsi="Arial Narrow" w:cs="Arial"/>
                <w:color w:val="auto"/>
                <w:sz w:val="18"/>
                <w:szCs w:val="18"/>
              </w:rPr>
              <w:fldChar w:fldCharType="separate"/>
            </w:r>
            <w:r w:rsidRPr="00EA5C8F">
              <w:rPr>
                <w:rFonts w:ascii="Arial Narrow" w:eastAsia="Calibri" w:hAnsi="Arial Narrow" w:cs="Arial"/>
                <w:color w:val="auto"/>
                <w:sz w:val="18"/>
                <w:szCs w:val="18"/>
              </w:rPr>
              <w:fldChar w:fldCharType="end"/>
            </w:r>
            <w:r w:rsidRPr="00EA5C8F">
              <w:rPr>
                <w:rFonts w:ascii="Arial Narrow" w:eastAsia="Calibri" w:hAnsi="Arial Narrow" w:cs="Arial"/>
                <w:color w:val="auto"/>
                <w:sz w:val="18"/>
                <w:szCs w:val="18"/>
              </w:rPr>
              <w:t xml:space="preserve">Optometrists  </w:t>
            </w:r>
            <w:r w:rsidRPr="00EA5C8F">
              <w:rPr>
                <w:rFonts w:ascii="Arial Narrow" w:eastAsia="Calibri" w:hAnsi="Arial Narrow" w:cs="Arial"/>
                <w:color w:val="auto"/>
                <w:sz w:val="18"/>
                <w:szCs w:val="18"/>
              </w:rPr>
              <w:fldChar w:fldCharType="begin">
                <w:ffData>
                  <w:name w:val="Check5"/>
                  <w:enabled/>
                  <w:calcOnExit w:val="0"/>
                  <w:checkBox>
                    <w:sizeAuto/>
                    <w:default w:val="0"/>
                  </w:checkBox>
                </w:ffData>
              </w:fldChar>
            </w:r>
            <w:r w:rsidRPr="00EA5C8F">
              <w:rPr>
                <w:rFonts w:ascii="Arial Narrow" w:eastAsia="Calibri" w:hAnsi="Arial Narrow" w:cs="Arial"/>
                <w:color w:val="auto"/>
                <w:sz w:val="18"/>
                <w:szCs w:val="18"/>
              </w:rPr>
              <w:instrText xml:space="preserve"> FORMCHECKBOX </w:instrText>
            </w:r>
            <w:r w:rsidR="00E965A4">
              <w:rPr>
                <w:rFonts w:ascii="Arial Narrow" w:eastAsia="Calibri" w:hAnsi="Arial Narrow" w:cs="Arial"/>
                <w:color w:val="auto"/>
                <w:sz w:val="18"/>
                <w:szCs w:val="18"/>
              </w:rPr>
            </w:r>
            <w:r w:rsidR="00E965A4">
              <w:rPr>
                <w:rFonts w:ascii="Arial Narrow" w:eastAsia="Calibri" w:hAnsi="Arial Narrow" w:cs="Arial"/>
                <w:color w:val="auto"/>
                <w:sz w:val="18"/>
                <w:szCs w:val="18"/>
              </w:rPr>
              <w:fldChar w:fldCharType="separate"/>
            </w:r>
            <w:r w:rsidRPr="00EA5C8F">
              <w:rPr>
                <w:rFonts w:ascii="Arial Narrow" w:eastAsia="Calibri" w:hAnsi="Arial Narrow" w:cs="Arial"/>
                <w:color w:val="auto"/>
                <w:sz w:val="18"/>
                <w:szCs w:val="18"/>
              </w:rPr>
              <w:fldChar w:fldCharType="end"/>
            </w:r>
            <w:r w:rsidRPr="00EA5C8F">
              <w:rPr>
                <w:rFonts w:ascii="Arial Narrow" w:eastAsia="Calibri" w:hAnsi="Arial Narrow" w:cs="Arial"/>
                <w:color w:val="auto"/>
                <w:sz w:val="18"/>
                <w:szCs w:val="18"/>
              </w:rPr>
              <w:t>Midwives</w:t>
            </w:r>
          </w:p>
        </w:tc>
      </w:tr>
      <w:tr w:rsidR="00A57A47" w:rsidRPr="00EA5C8F" w:rsidTr="00C101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rPr>
          <w:gridAfter w:val="2"/>
          <w:wAfter w:w="28" w:type="pct"/>
        </w:trPr>
        <w:tc>
          <w:tcPr>
            <w:tcW w:w="855" w:type="pct"/>
            <w:gridSpan w:val="2"/>
            <w:tcBorders>
              <w:top w:val="single" w:sz="4" w:space="0" w:color="auto"/>
              <w:left w:val="single" w:sz="4" w:space="0" w:color="auto"/>
              <w:bottom w:val="single" w:sz="4" w:space="0" w:color="auto"/>
              <w:right w:val="single" w:sz="4" w:space="0" w:color="auto"/>
            </w:tcBorders>
          </w:tcPr>
          <w:p w:rsidR="00A57A47" w:rsidRPr="00EA5C8F" w:rsidRDefault="00A57A47" w:rsidP="00C10118">
            <w:pPr>
              <w:spacing w:before="0" w:after="0"/>
              <w:jc w:val="left"/>
              <w:rPr>
                <w:rFonts w:ascii="Arial Narrow" w:eastAsia="Calibri" w:hAnsi="Arial Narrow" w:cs="Arial"/>
                <w:color w:val="auto"/>
                <w:sz w:val="18"/>
                <w:szCs w:val="18"/>
              </w:rPr>
            </w:pPr>
            <w:r w:rsidRPr="00EA5C8F">
              <w:rPr>
                <w:rFonts w:ascii="Arial Narrow" w:eastAsia="Calibri" w:hAnsi="Arial Narrow" w:cs="Arial"/>
                <w:b/>
                <w:color w:val="auto"/>
                <w:sz w:val="18"/>
                <w:szCs w:val="18"/>
              </w:rPr>
              <w:t>Restriction Level / Method:</w:t>
            </w:r>
          </w:p>
        </w:tc>
        <w:tc>
          <w:tcPr>
            <w:tcW w:w="4117" w:type="pct"/>
            <w:gridSpan w:val="6"/>
            <w:tcBorders>
              <w:top w:val="single" w:sz="4" w:space="0" w:color="auto"/>
              <w:left w:val="single" w:sz="4" w:space="0" w:color="auto"/>
              <w:bottom w:val="single" w:sz="4" w:space="0" w:color="auto"/>
              <w:right w:val="single" w:sz="4" w:space="0" w:color="auto"/>
            </w:tcBorders>
          </w:tcPr>
          <w:p w:rsidR="00A57A47" w:rsidRPr="00EA5C8F" w:rsidRDefault="00A57A47" w:rsidP="001E358B">
            <w:pPr>
              <w:spacing w:before="0" w:after="0"/>
              <w:rPr>
                <w:rFonts w:ascii="Arial Narrow" w:eastAsia="Calibri" w:hAnsi="Arial Narrow" w:cs="Arial"/>
                <w:color w:val="auto"/>
                <w:sz w:val="18"/>
                <w:szCs w:val="18"/>
              </w:rPr>
            </w:pPr>
            <w:r w:rsidRPr="00EA5C8F">
              <w:rPr>
                <w:rFonts w:ascii="Arial Narrow" w:eastAsia="Calibri" w:hAnsi="Arial Narrow" w:cs="Arial"/>
                <w:color w:val="auto"/>
                <w:sz w:val="18"/>
                <w:szCs w:val="18"/>
              </w:rPr>
              <w:fldChar w:fldCharType="begin">
                <w:ffData>
                  <w:name w:val="Check1"/>
                  <w:enabled/>
                  <w:calcOnExit w:val="0"/>
                  <w:checkBox>
                    <w:sizeAuto/>
                    <w:default w:val="0"/>
                  </w:checkBox>
                </w:ffData>
              </w:fldChar>
            </w:r>
            <w:r w:rsidRPr="00EA5C8F">
              <w:rPr>
                <w:rFonts w:ascii="Arial Narrow" w:eastAsia="Calibri" w:hAnsi="Arial Narrow" w:cs="Arial"/>
                <w:color w:val="auto"/>
                <w:sz w:val="18"/>
                <w:szCs w:val="18"/>
              </w:rPr>
              <w:instrText xml:space="preserve"> FORMCHECKBOX </w:instrText>
            </w:r>
            <w:r w:rsidR="00E965A4">
              <w:rPr>
                <w:rFonts w:ascii="Arial Narrow" w:eastAsia="Calibri" w:hAnsi="Arial Narrow" w:cs="Arial"/>
                <w:color w:val="auto"/>
                <w:sz w:val="18"/>
                <w:szCs w:val="18"/>
              </w:rPr>
            </w:r>
            <w:r w:rsidR="00E965A4">
              <w:rPr>
                <w:rFonts w:ascii="Arial Narrow" w:eastAsia="Calibri" w:hAnsi="Arial Narrow" w:cs="Arial"/>
                <w:color w:val="auto"/>
                <w:sz w:val="18"/>
                <w:szCs w:val="18"/>
              </w:rPr>
              <w:fldChar w:fldCharType="separate"/>
            </w:r>
            <w:r w:rsidRPr="00EA5C8F">
              <w:rPr>
                <w:rFonts w:ascii="Arial Narrow" w:eastAsia="Calibri" w:hAnsi="Arial Narrow" w:cs="Arial"/>
                <w:color w:val="auto"/>
                <w:sz w:val="18"/>
                <w:szCs w:val="18"/>
              </w:rPr>
              <w:fldChar w:fldCharType="end"/>
            </w:r>
            <w:r w:rsidRPr="00EA5C8F">
              <w:rPr>
                <w:rFonts w:ascii="Arial Narrow" w:eastAsia="Calibri" w:hAnsi="Arial Narrow" w:cs="Arial"/>
                <w:color w:val="auto"/>
                <w:sz w:val="18"/>
                <w:szCs w:val="18"/>
              </w:rPr>
              <w:t>Unrestricted benefit</w:t>
            </w:r>
          </w:p>
          <w:p w:rsidR="00A57A47" w:rsidRPr="00EA5C8F" w:rsidRDefault="00A57A47" w:rsidP="001E358B">
            <w:pPr>
              <w:spacing w:before="0" w:after="0"/>
              <w:rPr>
                <w:rFonts w:ascii="Arial Narrow" w:eastAsia="Calibri" w:hAnsi="Arial Narrow" w:cs="Arial"/>
                <w:color w:val="auto"/>
                <w:sz w:val="18"/>
                <w:szCs w:val="18"/>
              </w:rPr>
            </w:pPr>
            <w:r w:rsidRPr="00EA5C8F">
              <w:rPr>
                <w:rFonts w:ascii="Arial Narrow" w:eastAsia="Calibri" w:hAnsi="Arial Narrow" w:cs="Arial"/>
                <w:color w:val="auto"/>
                <w:sz w:val="18"/>
                <w:szCs w:val="18"/>
              </w:rPr>
              <w:fldChar w:fldCharType="begin">
                <w:ffData>
                  <w:name w:val="Check1"/>
                  <w:enabled/>
                  <w:calcOnExit w:val="0"/>
                  <w:checkBox>
                    <w:sizeAuto/>
                    <w:default w:val="0"/>
                  </w:checkBox>
                </w:ffData>
              </w:fldChar>
            </w:r>
            <w:r w:rsidRPr="00EA5C8F">
              <w:rPr>
                <w:rFonts w:ascii="Arial Narrow" w:eastAsia="Calibri" w:hAnsi="Arial Narrow" w:cs="Arial"/>
                <w:color w:val="auto"/>
                <w:sz w:val="18"/>
                <w:szCs w:val="18"/>
              </w:rPr>
              <w:instrText xml:space="preserve"> FORMCHECKBOX </w:instrText>
            </w:r>
            <w:r w:rsidR="00E965A4">
              <w:rPr>
                <w:rFonts w:ascii="Arial Narrow" w:eastAsia="Calibri" w:hAnsi="Arial Narrow" w:cs="Arial"/>
                <w:color w:val="auto"/>
                <w:sz w:val="18"/>
                <w:szCs w:val="18"/>
              </w:rPr>
            </w:r>
            <w:r w:rsidR="00E965A4">
              <w:rPr>
                <w:rFonts w:ascii="Arial Narrow" w:eastAsia="Calibri" w:hAnsi="Arial Narrow" w:cs="Arial"/>
                <w:color w:val="auto"/>
                <w:sz w:val="18"/>
                <w:szCs w:val="18"/>
              </w:rPr>
              <w:fldChar w:fldCharType="separate"/>
            </w:r>
            <w:r w:rsidRPr="00EA5C8F">
              <w:rPr>
                <w:rFonts w:ascii="Arial Narrow" w:eastAsia="Calibri" w:hAnsi="Arial Narrow" w:cs="Arial"/>
                <w:color w:val="auto"/>
                <w:sz w:val="18"/>
                <w:szCs w:val="18"/>
              </w:rPr>
              <w:fldChar w:fldCharType="end"/>
            </w:r>
            <w:r w:rsidRPr="00EA5C8F">
              <w:rPr>
                <w:rFonts w:ascii="Arial Narrow" w:eastAsia="Calibri" w:hAnsi="Arial Narrow" w:cs="Arial"/>
                <w:color w:val="auto"/>
                <w:sz w:val="18"/>
                <w:szCs w:val="18"/>
              </w:rPr>
              <w:t>Restricted benefit</w:t>
            </w:r>
          </w:p>
          <w:p w:rsidR="00A57A47" w:rsidRPr="00EA5C8F" w:rsidRDefault="00A57A47" w:rsidP="001E358B">
            <w:pPr>
              <w:spacing w:before="0" w:after="0"/>
              <w:rPr>
                <w:rFonts w:ascii="Arial Narrow" w:eastAsia="Calibri" w:hAnsi="Arial Narrow" w:cs="Arial"/>
                <w:color w:val="auto"/>
                <w:sz w:val="18"/>
                <w:szCs w:val="18"/>
              </w:rPr>
            </w:pPr>
            <w:r w:rsidRPr="00EA5C8F">
              <w:rPr>
                <w:rFonts w:ascii="Arial Narrow" w:eastAsia="Calibri" w:hAnsi="Arial Narrow" w:cs="Arial"/>
                <w:color w:val="auto"/>
                <w:sz w:val="18"/>
                <w:szCs w:val="18"/>
              </w:rPr>
              <w:fldChar w:fldCharType="begin">
                <w:ffData>
                  <w:name w:val=""/>
                  <w:enabled/>
                  <w:calcOnExit w:val="0"/>
                  <w:checkBox>
                    <w:sizeAuto/>
                    <w:default w:val="0"/>
                  </w:checkBox>
                </w:ffData>
              </w:fldChar>
            </w:r>
            <w:r w:rsidRPr="00EA5C8F">
              <w:rPr>
                <w:rFonts w:ascii="Arial Narrow" w:eastAsia="Calibri" w:hAnsi="Arial Narrow" w:cs="Arial"/>
                <w:color w:val="auto"/>
                <w:sz w:val="18"/>
                <w:szCs w:val="18"/>
              </w:rPr>
              <w:instrText xml:space="preserve"> FORMCHECKBOX </w:instrText>
            </w:r>
            <w:r w:rsidR="00E965A4">
              <w:rPr>
                <w:rFonts w:ascii="Arial Narrow" w:eastAsia="Calibri" w:hAnsi="Arial Narrow" w:cs="Arial"/>
                <w:color w:val="auto"/>
                <w:sz w:val="18"/>
                <w:szCs w:val="18"/>
              </w:rPr>
            </w:r>
            <w:r w:rsidR="00E965A4">
              <w:rPr>
                <w:rFonts w:ascii="Arial Narrow" w:eastAsia="Calibri" w:hAnsi="Arial Narrow" w:cs="Arial"/>
                <w:color w:val="auto"/>
                <w:sz w:val="18"/>
                <w:szCs w:val="18"/>
              </w:rPr>
              <w:fldChar w:fldCharType="separate"/>
            </w:r>
            <w:r w:rsidRPr="00EA5C8F">
              <w:rPr>
                <w:rFonts w:ascii="Arial Narrow" w:eastAsia="Calibri" w:hAnsi="Arial Narrow" w:cs="Arial"/>
                <w:color w:val="auto"/>
                <w:sz w:val="18"/>
                <w:szCs w:val="18"/>
              </w:rPr>
              <w:fldChar w:fldCharType="end"/>
            </w:r>
            <w:r w:rsidRPr="00EA5C8F">
              <w:rPr>
                <w:rFonts w:ascii="Arial Narrow" w:eastAsia="Calibri" w:hAnsi="Arial Narrow" w:cs="Arial"/>
                <w:color w:val="auto"/>
                <w:sz w:val="18"/>
                <w:szCs w:val="18"/>
              </w:rPr>
              <w:t>Authority Required – In Writing</w:t>
            </w:r>
          </w:p>
          <w:p w:rsidR="00A57A47" w:rsidRPr="00EA5C8F" w:rsidRDefault="00A57A47" w:rsidP="001E358B">
            <w:pPr>
              <w:spacing w:before="0" w:after="0"/>
              <w:rPr>
                <w:rFonts w:ascii="Arial Narrow" w:eastAsia="Calibri" w:hAnsi="Arial Narrow" w:cs="Arial"/>
                <w:color w:val="auto"/>
                <w:sz w:val="18"/>
                <w:szCs w:val="18"/>
              </w:rPr>
            </w:pPr>
            <w:r w:rsidRPr="00EA5C8F">
              <w:rPr>
                <w:rFonts w:ascii="Arial Narrow" w:eastAsia="Calibri" w:hAnsi="Arial Narrow" w:cs="Arial"/>
                <w:color w:val="auto"/>
                <w:sz w:val="18"/>
                <w:szCs w:val="18"/>
              </w:rPr>
              <w:fldChar w:fldCharType="begin">
                <w:ffData>
                  <w:name w:val=""/>
                  <w:enabled/>
                  <w:calcOnExit w:val="0"/>
                  <w:checkBox>
                    <w:sizeAuto/>
                    <w:default w:val="0"/>
                  </w:checkBox>
                </w:ffData>
              </w:fldChar>
            </w:r>
            <w:r w:rsidRPr="00EA5C8F">
              <w:rPr>
                <w:rFonts w:ascii="Arial Narrow" w:eastAsia="Calibri" w:hAnsi="Arial Narrow" w:cs="Arial"/>
                <w:color w:val="auto"/>
                <w:sz w:val="18"/>
                <w:szCs w:val="18"/>
              </w:rPr>
              <w:instrText xml:space="preserve"> FORMCHECKBOX </w:instrText>
            </w:r>
            <w:r w:rsidR="00E965A4">
              <w:rPr>
                <w:rFonts w:ascii="Arial Narrow" w:eastAsia="Calibri" w:hAnsi="Arial Narrow" w:cs="Arial"/>
                <w:color w:val="auto"/>
                <w:sz w:val="18"/>
                <w:szCs w:val="18"/>
              </w:rPr>
            </w:r>
            <w:r w:rsidR="00E965A4">
              <w:rPr>
                <w:rFonts w:ascii="Arial Narrow" w:eastAsia="Calibri" w:hAnsi="Arial Narrow" w:cs="Arial"/>
                <w:color w:val="auto"/>
                <w:sz w:val="18"/>
                <w:szCs w:val="18"/>
              </w:rPr>
              <w:fldChar w:fldCharType="separate"/>
            </w:r>
            <w:r w:rsidRPr="00EA5C8F">
              <w:rPr>
                <w:rFonts w:ascii="Arial Narrow" w:eastAsia="Calibri" w:hAnsi="Arial Narrow" w:cs="Arial"/>
                <w:color w:val="auto"/>
                <w:sz w:val="18"/>
                <w:szCs w:val="18"/>
              </w:rPr>
              <w:fldChar w:fldCharType="end"/>
            </w:r>
            <w:r w:rsidRPr="00EA5C8F">
              <w:rPr>
                <w:rFonts w:ascii="Arial Narrow" w:eastAsia="Calibri" w:hAnsi="Arial Narrow" w:cs="Arial"/>
                <w:color w:val="auto"/>
                <w:sz w:val="18"/>
                <w:szCs w:val="18"/>
              </w:rPr>
              <w:t>Authority Required – Telephone/Electronic/Emergency</w:t>
            </w:r>
          </w:p>
          <w:p w:rsidR="00A57A47" w:rsidRPr="00EA5C8F" w:rsidRDefault="00A57A47" w:rsidP="001E358B">
            <w:pPr>
              <w:spacing w:before="0" w:after="0"/>
              <w:rPr>
                <w:rFonts w:ascii="Arial Narrow" w:eastAsia="Calibri" w:hAnsi="Arial Narrow" w:cs="Arial"/>
                <w:color w:val="auto"/>
                <w:sz w:val="18"/>
                <w:szCs w:val="18"/>
              </w:rPr>
            </w:pPr>
            <w:r w:rsidRPr="00EA5C8F">
              <w:rPr>
                <w:rFonts w:ascii="Arial Narrow" w:eastAsia="Calibri" w:hAnsi="Arial Narrow" w:cs="Arial"/>
                <w:color w:val="auto"/>
                <w:sz w:val="18"/>
                <w:szCs w:val="18"/>
              </w:rPr>
              <w:fldChar w:fldCharType="begin">
                <w:ffData>
                  <w:name w:val=""/>
                  <w:enabled/>
                  <w:calcOnExit w:val="0"/>
                  <w:checkBox>
                    <w:sizeAuto/>
                    <w:default w:val="1"/>
                  </w:checkBox>
                </w:ffData>
              </w:fldChar>
            </w:r>
            <w:r w:rsidRPr="00EA5C8F">
              <w:rPr>
                <w:rFonts w:ascii="Arial Narrow" w:eastAsia="Calibri" w:hAnsi="Arial Narrow" w:cs="Arial"/>
                <w:color w:val="auto"/>
                <w:sz w:val="18"/>
                <w:szCs w:val="18"/>
              </w:rPr>
              <w:instrText xml:space="preserve"> FORMCHECKBOX </w:instrText>
            </w:r>
            <w:r w:rsidR="00E965A4">
              <w:rPr>
                <w:rFonts w:ascii="Arial Narrow" w:eastAsia="Calibri" w:hAnsi="Arial Narrow" w:cs="Arial"/>
                <w:color w:val="auto"/>
                <w:sz w:val="18"/>
                <w:szCs w:val="18"/>
              </w:rPr>
            </w:r>
            <w:r w:rsidR="00E965A4">
              <w:rPr>
                <w:rFonts w:ascii="Arial Narrow" w:eastAsia="Calibri" w:hAnsi="Arial Narrow" w:cs="Arial"/>
                <w:color w:val="auto"/>
                <w:sz w:val="18"/>
                <w:szCs w:val="18"/>
              </w:rPr>
              <w:fldChar w:fldCharType="separate"/>
            </w:r>
            <w:r w:rsidRPr="00EA5C8F">
              <w:rPr>
                <w:rFonts w:ascii="Arial Narrow" w:eastAsia="Calibri" w:hAnsi="Arial Narrow" w:cs="Arial"/>
                <w:color w:val="auto"/>
                <w:sz w:val="18"/>
                <w:szCs w:val="18"/>
              </w:rPr>
              <w:fldChar w:fldCharType="end"/>
            </w:r>
            <w:r w:rsidRPr="00EA5C8F">
              <w:rPr>
                <w:rFonts w:ascii="Arial Narrow" w:eastAsia="Calibri" w:hAnsi="Arial Narrow" w:cs="Arial"/>
                <w:color w:val="auto"/>
                <w:sz w:val="18"/>
                <w:szCs w:val="18"/>
              </w:rPr>
              <w:t>Authority Required - Streamlined</w:t>
            </w:r>
          </w:p>
        </w:tc>
      </w:tr>
      <w:tr w:rsidR="00A57A47" w:rsidRPr="00EA5C8F" w:rsidTr="00C101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rPr>
          <w:gridAfter w:val="2"/>
          <w:wAfter w:w="28" w:type="pct"/>
        </w:trPr>
        <w:tc>
          <w:tcPr>
            <w:tcW w:w="855" w:type="pct"/>
            <w:gridSpan w:val="2"/>
            <w:tcBorders>
              <w:top w:val="single" w:sz="4" w:space="0" w:color="auto"/>
              <w:left w:val="single" w:sz="4" w:space="0" w:color="auto"/>
              <w:bottom w:val="single" w:sz="4" w:space="0" w:color="auto"/>
              <w:right w:val="single" w:sz="4" w:space="0" w:color="auto"/>
            </w:tcBorders>
          </w:tcPr>
          <w:p w:rsidR="00A57A47" w:rsidRPr="00EA5C8F" w:rsidRDefault="00A57A47" w:rsidP="00A57A47">
            <w:pPr>
              <w:spacing w:before="0" w:after="0"/>
              <w:jc w:val="left"/>
              <w:rPr>
                <w:rFonts w:ascii="Arial Narrow" w:eastAsia="Times New Roman" w:hAnsi="Arial Narrow" w:cs="Times New Roman"/>
                <w:color w:val="333333"/>
                <w:sz w:val="18"/>
                <w:szCs w:val="18"/>
                <w:lang w:eastAsia="en-AU"/>
              </w:rPr>
            </w:pPr>
            <w:r w:rsidRPr="00EA5C8F">
              <w:rPr>
                <w:rFonts w:ascii="Arial Narrow" w:eastAsia="Calibri" w:hAnsi="Arial Narrow" w:cs="Arial"/>
                <w:b/>
                <w:color w:val="auto"/>
                <w:sz w:val="18"/>
                <w:szCs w:val="18"/>
              </w:rPr>
              <w:t>Severity:</w:t>
            </w:r>
          </w:p>
        </w:tc>
        <w:tc>
          <w:tcPr>
            <w:tcW w:w="4117" w:type="pct"/>
            <w:gridSpan w:val="6"/>
            <w:tcBorders>
              <w:top w:val="single" w:sz="4" w:space="0" w:color="auto"/>
              <w:left w:val="single" w:sz="4" w:space="0" w:color="auto"/>
              <w:bottom w:val="single" w:sz="4" w:space="0" w:color="auto"/>
              <w:right w:val="single" w:sz="4" w:space="0" w:color="auto"/>
            </w:tcBorders>
          </w:tcPr>
          <w:p w:rsidR="00A57A47" w:rsidRPr="00EA5C8F" w:rsidRDefault="00A57A47" w:rsidP="001E358B">
            <w:pPr>
              <w:spacing w:before="0" w:after="0"/>
              <w:rPr>
                <w:rFonts w:ascii="Arial Narrow" w:eastAsia="Calibri" w:hAnsi="Arial Narrow" w:cs="Arial"/>
                <w:b/>
                <w:color w:val="auto"/>
                <w:sz w:val="18"/>
                <w:szCs w:val="18"/>
              </w:rPr>
            </w:pPr>
            <w:r w:rsidRPr="00EA5C8F">
              <w:rPr>
                <w:rFonts w:ascii="Arial Narrow" w:eastAsia="Calibri" w:hAnsi="Arial Narrow" w:cs="Calibri"/>
                <w:color w:val="auto"/>
                <w:sz w:val="18"/>
                <w:szCs w:val="18"/>
              </w:rPr>
              <w:t>Unresectable locally advanced or metastatic</w:t>
            </w:r>
          </w:p>
        </w:tc>
      </w:tr>
      <w:tr w:rsidR="00A57A47" w:rsidRPr="00EA5C8F" w:rsidTr="00C101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rPr>
          <w:gridAfter w:val="2"/>
          <w:wAfter w:w="28" w:type="pct"/>
        </w:trPr>
        <w:tc>
          <w:tcPr>
            <w:tcW w:w="855" w:type="pct"/>
            <w:gridSpan w:val="2"/>
            <w:tcBorders>
              <w:top w:val="single" w:sz="4" w:space="0" w:color="auto"/>
              <w:left w:val="single" w:sz="4" w:space="0" w:color="auto"/>
              <w:bottom w:val="single" w:sz="4" w:space="0" w:color="auto"/>
              <w:right w:val="single" w:sz="4" w:space="0" w:color="auto"/>
            </w:tcBorders>
          </w:tcPr>
          <w:p w:rsidR="00A57A47" w:rsidRPr="00EA5C8F" w:rsidRDefault="00A57A47" w:rsidP="00A57A47">
            <w:pPr>
              <w:spacing w:before="0" w:after="0"/>
              <w:jc w:val="left"/>
              <w:rPr>
                <w:rFonts w:ascii="Arial Narrow" w:eastAsia="Times New Roman" w:hAnsi="Arial Narrow" w:cs="Times New Roman"/>
                <w:color w:val="333333"/>
                <w:sz w:val="18"/>
                <w:szCs w:val="18"/>
                <w:lang w:eastAsia="en-AU"/>
              </w:rPr>
            </w:pPr>
            <w:r w:rsidRPr="00EA5C8F">
              <w:rPr>
                <w:rFonts w:ascii="Arial Narrow" w:eastAsia="Calibri" w:hAnsi="Arial Narrow" w:cs="Arial"/>
                <w:b/>
                <w:color w:val="auto"/>
                <w:sz w:val="18"/>
                <w:szCs w:val="18"/>
              </w:rPr>
              <w:t>Condition:</w:t>
            </w:r>
          </w:p>
        </w:tc>
        <w:tc>
          <w:tcPr>
            <w:tcW w:w="4117" w:type="pct"/>
            <w:gridSpan w:val="6"/>
            <w:tcBorders>
              <w:top w:val="single" w:sz="4" w:space="0" w:color="auto"/>
              <w:left w:val="single" w:sz="4" w:space="0" w:color="auto"/>
              <w:bottom w:val="single" w:sz="4" w:space="0" w:color="auto"/>
              <w:right w:val="single" w:sz="4" w:space="0" w:color="auto"/>
            </w:tcBorders>
          </w:tcPr>
          <w:p w:rsidR="00A57A47" w:rsidRPr="00EA5C8F" w:rsidRDefault="00A57A47" w:rsidP="001E358B">
            <w:pPr>
              <w:spacing w:before="0" w:after="0"/>
              <w:rPr>
                <w:rFonts w:ascii="Arial Narrow" w:eastAsia="Calibri" w:hAnsi="Arial Narrow" w:cs="Arial"/>
                <w:b/>
                <w:color w:val="auto"/>
                <w:sz w:val="18"/>
                <w:szCs w:val="18"/>
              </w:rPr>
            </w:pPr>
            <w:r w:rsidRPr="00EA5C8F">
              <w:rPr>
                <w:rFonts w:ascii="Arial Narrow" w:eastAsia="Calibri" w:hAnsi="Arial Narrow" w:cs="Arial"/>
                <w:color w:val="auto"/>
                <w:sz w:val="18"/>
                <w:szCs w:val="18"/>
              </w:rPr>
              <w:t>triple</w:t>
            </w:r>
            <w:r w:rsidRPr="00EA5C8F">
              <w:rPr>
                <w:rFonts w:ascii="Arial Narrow" w:eastAsia="Calibri" w:hAnsi="Arial Narrow" w:cs="Arial"/>
                <w:strike/>
                <w:color w:val="auto"/>
                <w:sz w:val="18"/>
                <w:szCs w:val="18"/>
              </w:rPr>
              <w:t>-</w:t>
            </w:r>
            <w:r w:rsidRPr="00EA5C8F">
              <w:rPr>
                <w:rFonts w:ascii="Arial Narrow" w:eastAsia="Calibri" w:hAnsi="Arial Narrow" w:cs="Arial"/>
                <w:color w:val="auto"/>
                <w:sz w:val="18"/>
                <w:szCs w:val="18"/>
              </w:rPr>
              <w:t>negative</w:t>
            </w:r>
            <w:r w:rsidRPr="00EA5C8F">
              <w:rPr>
                <w:rFonts w:ascii="Arial Narrow" w:eastAsia="Calibri" w:hAnsi="Arial Narrow" w:cs="Calibri"/>
                <w:color w:val="auto"/>
                <w:sz w:val="18"/>
                <w:szCs w:val="18"/>
              </w:rPr>
              <w:t xml:space="preserve"> breast cancer </w:t>
            </w:r>
            <w:r w:rsidRPr="00EA5C8F">
              <w:rPr>
                <w:rFonts w:ascii="Arial Narrow" w:eastAsia="Calibri" w:hAnsi="Arial Narrow" w:cs="Calibri"/>
                <w:i/>
                <w:color w:val="auto"/>
                <w:sz w:val="18"/>
                <w:szCs w:val="18"/>
              </w:rPr>
              <w:t>(delete hyphen)</w:t>
            </w:r>
          </w:p>
        </w:tc>
      </w:tr>
      <w:tr w:rsidR="00A57A47" w:rsidRPr="00A57A47" w:rsidTr="00C101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rPr>
          <w:gridAfter w:val="2"/>
          <w:wAfter w:w="28" w:type="pct"/>
        </w:trPr>
        <w:tc>
          <w:tcPr>
            <w:tcW w:w="855" w:type="pct"/>
            <w:gridSpan w:val="2"/>
            <w:tcBorders>
              <w:top w:val="single" w:sz="4" w:space="0" w:color="auto"/>
              <w:left w:val="single" w:sz="4" w:space="0" w:color="auto"/>
              <w:bottom w:val="single" w:sz="4" w:space="0" w:color="auto"/>
              <w:right w:val="single" w:sz="4" w:space="0" w:color="auto"/>
            </w:tcBorders>
            <w:vAlign w:val="center"/>
          </w:tcPr>
          <w:p w:rsidR="00A57A47" w:rsidRPr="00A57A47" w:rsidRDefault="00A57A47" w:rsidP="00A57A47">
            <w:pPr>
              <w:spacing w:before="0" w:after="0"/>
              <w:jc w:val="left"/>
              <w:rPr>
                <w:rFonts w:ascii="Arial Narrow" w:eastAsia="Times New Roman" w:hAnsi="Arial Narrow" w:cs="Times New Roman"/>
                <w:sz w:val="18"/>
                <w:szCs w:val="18"/>
                <w:lang w:eastAsia="en-AU"/>
              </w:rPr>
            </w:pPr>
            <w:r w:rsidRPr="00A57A47">
              <w:rPr>
                <w:rFonts w:ascii="Arial Narrow" w:eastAsia="Times New Roman" w:hAnsi="Arial Narrow" w:cs="Times New Roman"/>
                <w:b/>
                <w:bCs/>
                <w:sz w:val="18"/>
                <w:szCs w:val="18"/>
                <w:lang w:eastAsia="en-AU"/>
              </w:rPr>
              <w:t>Indication:</w:t>
            </w:r>
          </w:p>
        </w:tc>
        <w:tc>
          <w:tcPr>
            <w:tcW w:w="4117" w:type="pct"/>
            <w:gridSpan w:val="6"/>
            <w:tcBorders>
              <w:top w:val="single" w:sz="4" w:space="0" w:color="auto"/>
              <w:left w:val="single" w:sz="4" w:space="0" w:color="auto"/>
              <w:bottom w:val="single" w:sz="4" w:space="0" w:color="auto"/>
              <w:right w:val="single" w:sz="4" w:space="0" w:color="auto"/>
            </w:tcBorders>
            <w:vAlign w:val="center"/>
          </w:tcPr>
          <w:p w:rsidR="00A57A47" w:rsidRPr="00A57A47" w:rsidRDefault="00A57A47" w:rsidP="004B7914">
            <w:pPr>
              <w:spacing w:before="0" w:after="0"/>
              <w:jc w:val="left"/>
              <w:rPr>
                <w:rFonts w:ascii="Arial Narrow" w:eastAsia="Times New Roman" w:hAnsi="Arial Narrow" w:cs="Times New Roman"/>
                <w:b/>
                <w:bCs/>
                <w:sz w:val="18"/>
                <w:szCs w:val="18"/>
                <w:lang w:eastAsia="en-AU"/>
              </w:rPr>
            </w:pPr>
            <w:r w:rsidRPr="00A57A47">
              <w:rPr>
                <w:rFonts w:ascii="Arial Narrow" w:eastAsia="Times New Roman" w:hAnsi="Arial Narrow" w:cs="Times New Roman"/>
                <w:bCs/>
                <w:sz w:val="18"/>
                <w:szCs w:val="18"/>
                <w:lang w:eastAsia="en-AU"/>
              </w:rPr>
              <w:t>Unresectable locally advanced or metastatic</w:t>
            </w:r>
            <w:r w:rsidRPr="00A57A47">
              <w:rPr>
                <w:rFonts w:ascii="Arial Narrow" w:eastAsia="Times New Roman" w:hAnsi="Arial Narrow" w:cs="Times New Roman"/>
                <w:b/>
                <w:bCs/>
                <w:sz w:val="18"/>
                <w:szCs w:val="18"/>
                <w:lang w:eastAsia="en-AU"/>
              </w:rPr>
              <w:t xml:space="preserve"> </w:t>
            </w:r>
            <w:r w:rsidRPr="00A57A47">
              <w:rPr>
                <w:rFonts w:ascii="Arial Narrow" w:eastAsia="Times New Roman" w:hAnsi="Arial Narrow" w:cs="Times New Roman"/>
                <w:bCs/>
                <w:sz w:val="18"/>
                <w:szCs w:val="18"/>
                <w:lang w:eastAsia="en-AU"/>
              </w:rPr>
              <w:t>triple</w:t>
            </w:r>
            <w:r w:rsidR="004B7914">
              <w:rPr>
                <w:rFonts w:ascii="Arial Narrow" w:eastAsia="Times New Roman" w:hAnsi="Arial Narrow" w:cs="Times New Roman"/>
                <w:bCs/>
                <w:sz w:val="18"/>
                <w:szCs w:val="18"/>
                <w:lang w:eastAsia="en-AU"/>
              </w:rPr>
              <w:t>-</w:t>
            </w:r>
            <w:r w:rsidRPr="00A57A47">
              <w:rPr>
                <w:rFonts w:ascii="Arial Narrow" w:eastAsia="Times New Roman" w:hAnsi="Arial Narrow" w:cs="Times New Roman"/>
                <w:bCs/>
                <w:sz w:val="18"/>
                <w:szCs w:val="18"/>
                <w:lang w:eastAsia="en-AU"/>
              </w:rPr>
              <w:t>negative breast cancer</w:t>
            </w:r>
          </w:p>
        </w:tc>
      </w:tr>
      <w:tr w:rsidR="00A57A47" w:rsidRPr="00EA5C8F" w:rsidTr="00C101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rPr>
          <w:gridAfter w:val="2"/>
          <w:wAfter w:w="28" w:type="pct"/>
        </w:trPr>
        <w:tc>
          <w:tcPr>
            <w:tcW w:w="855" w:type="pct"/>
            <w:gridSpan w:val="2"/>
            <w:tcBorders>
              <w:top w:val="single" w:sz="4" w:space="0" w:color="auto"/>
              <w:left w:val="single" w:sz="4" w:space="0" w:color="auto"/>
              <w:bottom w:val="single" w:sz="4" w:space="0" w:color="auto"/>
              <w:right w:val="single" w:sz="4" w:space="0" w:color="auto"/>
            </w:tcBorders>
            <w:vAlign w:val="center"/>
          </w:tcPr>
          <w:p w:rsidR="00A57A47" w:rsidRPr="00EA5C8F" w:rsidRDefault="00A57A47" w:rsidP="00A57A47">
            <w:pPr>
              <w:spacing w:before="0" w:after="0"/>
              <w:jc w:val="left"/>
              <w:rPr>
                <w:rFonts w:ascii="Arial Narrow" w:eastAsia="Times New Roman" w:hAnsi="Arial Narrow" w:cs="Times New Roman"/>
                <w:color w:val="auto"/>
                <w:sz w:val="18"/>
                <w:szCs w:val="18"/>
                <w:lang w:eastAsia="en-AU"/>
              </w:rPr>
            </w:pPr>
            <w:r w:rsidRPr="00EA5C8F">
              <w:rPr>
                <w:rFonts w:ascii="Arial Narrow" w:eastAsia="Times New Roman" w:hAnsi="Arial Narrow" w:cs="Times New Roman"/>
                <w:b/>
                <w:bCs/>
                <w:color w:val="auto"/>
                <w:sz w:val="18"/>
                <w:szCs w:val="18"/>
                <w:lang w:eastAsia="en-AU"/>
              </w:rPr>
              <w:t>Treatment Phase:</w:t>
            </w:r>
          </w:p>
        </w:tc>
        <w:tc>
          <w:tcPr>
            <w:tcW w:w="4117" w:type="pct"/>
            <w:gridSpan w:val="6"/>
            <w:tcBorders>
              <w:top w:val="single" w:sz="4" w:space="0" w:color="auto"/>
              <w:left w:val="single" w:sz="4" w:space="0" w:color="auto"/>
              <w:bottom w:val="single" w:sz="4" w:space="0" w:color="auto"/>
              <w:right w:val="single" w:sz="4" w:space="0" w:color="auto"/>
            </w:tcBorders>
            <w:vAlign w:val="center"/>
          </w:tcPr>
          <w:p w:rsidR="00A57A47" w:rsidRPr="00EA5C8F" w:rsidRDefault="00A57A47" w:rsidP="001E358B">
            <w:pPr>
              <w:spacing w:before="0" w:after="0"/>
              <w:jc w:val="left"/>
              <w:rPr>
                <w:rFonts w:ascii="Arial Narrow" w:eastAsia="Times New Roman" w:hAnsi="Arial Narrow" w:cs="Times New Roman"/>
                <w:b/>
                <w:bCs/>
                <w:color w:val="auto"/>
                <w:sz w:val="18"/>
                <w:szCs w:val="18"/>
                <w:lang w:eastAsia="en-AU"/>
              </w:rPr>
            </w:pPr>
            <w:r w:rsidRPr="00EA5C8F">
              <w:rPr>
                <w:rFonts w:ascii="Arial Narrow" w:eastAsia="Times New Roman" w:hAnsi="Arial Narrow" w:cs="Times New Roman"/>
                <w:bCs/>
                <w:color w:val="auto"/>
                <w:sz w:val="18"/>
                <w:szCs w:val="18"/>
                <w:lang w:eastAsia="en-AU"/>
              </w:rPr>
              <w:t>Grandfather</w:t>
            </w:r>
            <w:r w:rsidRPr="00EA5C8F">
              <w:rPr>
                <w:rFonts w:ascii="Arial Narrow" w:eastAsia="Times New Roman" w:hAnsi="Arial Narrow" w:cs="Times New Roman"/>
                <w:bCs/>
                <w:strike/>
                <w:color w:val="auto"/>
                <w:sz w:val="18"/>
                <w:szCs w:val="18"/>
                <w:lang w:eastAsia="en-AU"/>
              </w:rPr>
              <w:t>ing</w:t>
            </w:r>
            <w:r w:rsidRPr="00EA5C8F">
              <w:rPr>
                <w:rFonts w:ascii="Arial Narrow" w:eastAsia="Times New Roman" w:hAnsi="Arial Narrow" w:cs="Times New Roman"/>
                <w:bCs/>
                <w:color w:val="auto"/>
                <w:sz w:val="18"/>
                <w:szCs w:val="18"/>
                <w:lang w:eastAsia="en-AU"/>
              </w:rPr>
              <w:t xml:space="preserve"> treatment </w:t>
            </w:r>
            <w:r w:rsidRPr="00EA5C8F">
              <w:rPr>
                <w:rFonts w:ascii="Arial Narrow" w:eastAsia="Times New Roman" w:hAnsi="Arial Narrow" w:cs="Times New Roman"/>
                <w:bCs/>
                <w:i/>
                <w:color w:val="auto"/>
                <w:sz w:val="18"/>
                <w:szCs w:val="18"/>
                <w:lang w:eastAsia="en-AU"/>
              </w:rPr>
              <w:t>(initial treatment of a patient commenced on non-PBS-subsidised treatment)</w:t>
            </w:r>
          </w:p>
        </w:tc>
      </w:tr>
      <w:tr w:rsidR="00A57A47" w:rsidRPr="00EA5C8F" w:rsidTr="00C101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rPr>
          <w:gridAfter w:val="2"/>
          <w:wAfter w:w="28" w:type="pct"/>
        </w:trPr>
        <w:tc>
          <w:tcPr>
            <w:tcW w:w="855" w:type="pct"/>
            <w:gridSpan w:val="2"/>
          </w:tcPr>
          <w:p w:rsidR="00A57A47" w:rsidRPr="00EA5C8F" w:rsidRDefault="00A57A47" w:rsidP="00A57A47">
            <w:pPr>
              <w:spacing w:before="0" w:after="0"/>
              <w:jc w:val="left"/>
              <w:rPr>
                <w:rFonts w:ascii="Arial Narrow" w:eastAsia="Times New Roman" w:hAnsi="Arial Narrow" w:cs="Times New Roman"/>
                <w:color w:val="333333"/>
                <w:sz w:val="18"/>
                <w:szCs w:val="18"/>
                <w:lang w:eastAsia="en-AU"/>
              </w:rPr>
            </w:pPr>
            <w:r w:rsidRPr="00EA5C8F">
              <w:rPr>
                <w:rFonts w:ascii="Arial Narrow" w:eastAsia="Times New Roman" w:hAnsi="Arial Narrow" w:cs="Times New Roman"/>
                <w:b/>
                <w:bCs/>
                <w:color w:val="auto"/>
                <w:sz w:val="18"/>
                <w:szCs w:val="18"/>
                <w:lang w:eastAsia="en-AU"/>
              </w:rPr>
              <w:t>Clinical criteria:</w:t>
            </w:r>
          </w:p>
        </w:tc>
        <w:tc>
          <w:tcPr>
            <w:tcW w:w="4117" w:type="pct"/>
            <w:gridSpan w:val="6"/>
            <w:vAlign w:val="center"/>
          </w:tcPr>
          <w:p w:rsidR="00A57A47" w:rsidRPr="00EA5C8F" w:rsidRDefault="00A57A47" w:rsidP="00A57A47">
            <w:pPr>
              <w:spacing w:before="0" w:after="0"/>
              <w:rPr>
                <w:rFonts w:ascii="Arial Narrow" w:eastAsia="Times New Roman" w:hAnsi="Arial Narrow" w:cs="Arial"/>
                <w:strike/>
                <w:color w:val="auto"/>
                <w:sz w:val="18"/>
                <w:szCs w:val="18"/>
              </w:rPr>
            </w:pPr>
            <w:r w:rsidRPr="00EA5C8F">
              <w:rPr>
                <w:rFonts w:ascii="Arial Narrow" w:eastAsia="Times New Roman" w:hAnsi="Arial Narrow" w:cs="Arial"/>
                <w:strike/>
                <w:color w:val="auto"/>
                <w:sz w:val="18"/>
                <w:szCs w:val="18"/>
              </w:rPr>
              <w:t>The condition must be triple-negative breast cancer,</w:t>
            </w:r>
          </w:p>
          <w:p w:rsidR="00A57A47" w:rsidRDefault="00A57A47" w:rsidP="00A57A47">
            <w:pPr>
              <w:spacing w:before="0" w:after="0"/>
              <w:rPr>
                <w:rFonts w:ascii="Arial Narrow" w:eastAsia="Times New Roman" w:hAnsi="Arial Narrow" w:cs="Arial"/>
                <w:i/>
                <w:color w:val="auto"/>
                <w:sz w:val="18"/>
                <w:szCs w:val="18"/>
              </w:rPr>
            </w:pPr>
            <w:r w:rsidRPr="00EA5C8F">
              <w:rPr>
                <w:rFonts w:ascii="Arial Narrow" w:eastAsia="Times New Roman" w:hAnsi="Arial Narrow" w:cs="Arial"/>
                <w:i/>
                <w:color w:val="auto"/>
                <w:sz w:val="18"/>
                <w:szCs w:val="18"/>
              </w:rPr>
              <w:t>The condition must be hormone receptor (estrogen and progesterone receptor) negative</w:t>
            </w:r>
          </w:p>
          <w:p w:rsidR="00A57A47" w:rsidRPr="00A57A47" w:rsidRDefault="00A57A47" w:rsidP="00A57A47">
            <w:pPr>
              <w:spacing w:before="0" w:after="0"/>
              <w:rPr>
                <w:rFonts w:ascii="Arial Narrow" w:eastAsia="Times New Roman" w:hAnsi="Arial Narrow" w:cs="Arial"/>
                <w:color w:val="auto"/>
                <w:sz w:val="18"/>
                <w:szCs w:val="18"/>
              </w:rPr>
            </w:pPr>
            <w:r w:rsidRPr="00A57A47">
              <w:rPr>
                <w:rFonts w:ascii="Arial Narrow" w:eastAsia="Times New Roman" w:hAnsi="Arial Narrow" w:cs="Arial"/>
                <w:color w:val="auto"/>
                <w:sz w:val="18"/>
                <w:szCs w:val="18"/>
              </w:rPr>
              <w:t>AND</w:t>
            </w:r>
          </w:p>
          <w:p w:rsidR="00A57A47" w:rsidRDefault="00A57A47" w:rsidP="001E358B">
            <w:pPr>
              <w:spacing w:before="0" w:after="0"/>
              <w:rPr>
                <w:rFonts w:ascii="Arial Narrow" w:eastAsia="Times New Roman" w:hAnsi="Arial Narrow" w:cs="Arial"/>
                <w:i/>
                <w:color w:val="auto"/>
                <w:sz w:val="18"/>
                <w:szCs w:val="18"/>
              </w:rPr>
            </w:pPr>
            <w:r w:rsidRPr="00EA5C8F">
              <w:rPr>
                <w:rFonts w:ascii="Arial Narrow" w:eastAsia="Times New Roman" w:hAnsi="Arial Narrow" w:cs="Arial"/>
                <w:i/>
                <w:color w:val="auto"/>
                <w:sz w:val="18"/>
                <w:szCs w:val="18"/>
              </w:rPr>
              <w:t>The condition must be human epidermal growth factor receptor 2 (HER2) negative</w:t>
            </w:r>
          </w:p>
          <w:p w:rsidR="00A57A47" w:rsidRPr="00A57A47" w:rsidRDefault="00A57A47" w:rsidP="001E358B">
            <w:pPr>
              <w:spacing w:before="0" w:after="0"/>
              <w:rPr>
                <w:rFonts w:ascii="Arial Narrow" w:eastAsia="Times New Roman" w:hAnsi="Arial Narrow" w:cs="Arial"/>
                <w:color w:val="auto"/>
                <w:sz w:val="18"/>
                <w:szCs w:val="18"/>
              </w:rPr>
            </w:pPr>
            <w:r w:rsidRPr="00A57A47">
              <w:rPr>
                <w:rFonts w:ascii="Arial Narrow" w:eastAsia="Times New Roman" w:hAnsi="Arial Narrow" w:cs="Arial"/>
                <w:color w:val="auto"/>
                <w:sz w:val="18"/>
                <w:szCs w:val="18"/>
              </w:rPr>
              <w:t>AND</w:t>
            </w:r>
          </w:p>
          <w:p w:rsidR="00A57A47" w:rsidRDefault="00A57A47" w:rsidP="001E358B">
            <w:pPr>
              <w:spacing w:before="0" w:after="0"/>
              <w:rPr>
                <w:rFonts w:ascii="Arial Narrow" w:eastAsia="Times New Roman" w:hAnsi="Arial Narrow" w:cs="Arial"/>
                <w:color w:val="auto"/>
                <w:sz w:val="18"/>
                <w:szCs w:val="18"/>
              </w:rPr>
            </w:pPr>
            <w:r w:rsidRPr="00EA5C8F">
              <w:rPr>
                <w:rFonts w:ascii="Arial Narrow" w:eastAsia="Times New Roman" w:hAnsi="Arial Narrow" w:cs="Arial"/>
                <w:color w:val="auto"/>
                <w:sz w:val="18"/>
                <w:szCs w:val="18"/>
              </w:rPr>
              <w:t xml:space="preserve">Patient must have received treatment with this drug for this condition prior to </w:t>
            </w:r>
            <w:r w:rsidRPr="00EA5C8F">
              <w:rPr>
                <w:rFonts w:ascii="Arial Narrow" w:eastAsia="Times New Roman" w:hAnsi="Arial Narrow" w:cs="Arial"/>
                <w:strike/>
                <w:color w:val="auto"/>
                <w:sz w:val="18"/>
                <w:szCs w:val="18"/>
              </w:rPr>
              <w:t>the</w:t>
            </w:r>
            <w:r w:rsidR="00C10118">
              <w:rPr>
                <w:rFonts w:ascii="Arial Narrow" w:eastAsia="Times New Roman" w:hAnsi="Arial Narrow" w:cs="Arial"/>
                <w:color w:val="auto"/>
                <w:sz w:val="18"/>
                <w:szCs w:val="18"/>
              </w:rPr>
              <w:t xml:space="preserve"> [PBS listing date]</w:t>
            </w:r>
          </w:p>
          <w:p w:rsidR="00A57A47" w:rsidRDefault="00A57A47" w:rsidP="001E358B">
            <w:pPr>
              <w:spacing w:before="0" w:after="0"/>
              <w:rPr>
                <w:rFonts w:ascii="Arial Narrow" w:eastAsia="Times New Roman" w:hAnsi="Arial Narrow" w:cs="Arial"/>
                <w:color w:val="auto"/>
                <w:sz w:val="18"/>
                <w:szCs w:val="18"/>
              </w:rPr>
            </w:pPr>
            <w:r>
              <w:rPr>
                <w:rFonts w:ascii="Arial Narrow" w:eastAsia="Times New Roman" w:hAnsi="Arial Narrow" w:cs="Arial"/>
                <w:color w:val="auto"/>
                <w:sz w:val="18"/>
                <w:szCs w:val="18"/>
              </w:rPr>
              <w:t>AND</w:t>
            </w:r>
          </w:p>
          <w:p w:rsidR="00A57A47" w:rsidRDefault="00A57A47" w:rsidP="001E358B">
            <w:pPr>
              <w:spacing w:before="0" w:after="0"/>
              <w:rPr>
                <w:rFonts w:ascii="Arial Narrow" w:eastAsia="Times New Roman" w:hAnsi="Arial Narrow" w:cs="Arial"/>
                <w:i/>
                <w:color w:val="auto"/>
                <w:sz w:val="18"/>
                <w:szCs w:val="18"/>
              </w:rPr>
            </w:pPr>
            <w:r w:rsidRPr="00EA5C8F">
              <w:rPr>
                <w:rFonts w:ascii="Arial Narrow" w:eastAsia="Times New Roman" w:hAnsi="Arial Narrow" w:cs="Arial"/>
                <w:i/>
                <w:color w:val="auto"/>
                <w:sz w:val="18"/>
                <w:szCs w:val="18"/>
              </w:rPr>
              <w:t>Patient must not receive more than 24 weeks of treatment under this restriction</w:t>
            </w:r>
          </w:p>
          <w:p w:rsidR="00A57A47" w:rsidRPr="00A57A47" w:rsidRDefault="00A57A47" w:rsidP="001E358B">
            <w:pPr>
              <w:spacing w:before="0" w:after="0"/>
              <w:rPr>
                <w:rFonts w:ascii="Arial Narrow" w:eastAsia="Times New Roman" w:hAnsi="Arial Narrow" w:cs="Arial"/>
                <w:color w:val="auto"/>
                <w:sz w:val="18"/>
                <w:szCs w:val="18"/>
              </w:rPr>
            </w:pPr>
            <w:r w:rsidRPr="00A57A47">
              <w:rPr>
                <w:rFonts w:ascii="Arial Narrow" w:eastAsia="Times New Roman" w:hAnsi="Arial Narrow" w:cs="Arial"/>
                <w:color w:val="auto"/>
                <w:sz w:val="18"/>
                <w:szCs w:val="18"/>
              </w:rPr>
              <w:t>AND</w:t>
            </w:r>
          </w:p>
          <w:p w:rsidR="00A57A47" w:rsidRDefault="00A57A47" w:rsidP="001E358B">
            <w:pPr>
              <w:spacing w:before="0" w:after="0"/>
              <w:rPr>
                <w:rFonts w:ascii="Arial Narrow" w:eastAsia="Times New Roman" w:hAnsi="Arial Narrow" w:cs="Arial"/>
                <w:i/>
                <w:color w:val="auto"/>
                <w:sz w:val="18"/>
                <w:szCs w:val="18"/>
              </w:rPr>
            </w:pPr>
            <w:r w:rsidRPr="00EA5C8F">
              <w:rPr>
                <w:rFonts w:ascii="Arial Narrow" w:eastAsia="Times New Roman" w:hAnsi="Arial Narrow" w:cs="Arial"/>
                <w:i/>
                <w:color w:val="auto"/>
                <w:sz w:val="18"/>
                <w:szCs w:val="18"/>
              </w:rPr>
              <w:t>Patient must have had a WHO performance status of 0 or 1 prior to initiation of non-PBS subsidised treatment with this drug for this condition.</w:t>
            </w:r>
          </w:p>
          <w:p w:rsidR="00A57A47" w:rsidRPr="00A57A47" w:rsidRDefault="00A57A47" w:rsidP="001E358B">
            <w:pPr>
              <w:spacing w:before="0" w:after="0"/>
              <w:rPr>
                <w:rFonts w:ascii="Arial Narrow" w:eastAsia="Times New Roman" w:hAnsi="Arial Narrow" w:cs="Arial"/>
                <w:color w:val="auto"/>
                <w:sz w:val="18"/>
                <w:szCs w:val="18"/>
              </w:rPr>
            </w:pPr>
            <w:r w:rsidRPr="00A57A47">
              <w:rPr>
                <w:rFonts w:ascii="Arial Narrow" w:eastAsia="Times New Roman" w:hAnsi="Arial Narrow" w:cs="Arial"/>
                <w:color w:val="auto"/>
                <w:sz w:val="18"/>
                <w:szCs w:val="18"/>
              </w:rPr>
              <w:t>AND</w:t>
            </w:r>
          </w:p>
          <w:p w:rsidR="00A57A47" w:rsidRDefault="00A57A47" w:rsidP="001E358B">
            <w:pPr>
              <w:spacing w:before="0" w:after="0"/>
              <w:rPr>
                <w:rFonts w:ascii="Arial Narrow" w:eastAsia="Times New Roman" w:hAnsi="Arial Narrow" w:cs="Arial"/>
                <w:i/>
                <w:color w:val="auto"/>
                <w:sz w:val="18"/>
                <w:szCs w:val="18"/>
              </w:rPr>
            </w:pPr>
            <w:r w:rsidRPr="00EA5C8F">
              <w:rPr>
                <w:rFonts w:ascii="Arial Narrow" w:eastAsia="Times New Roman" w:hAnsi="Arial Narrow" w:cs="Arial"/>
                <w:i/>
                <w:color w:val="auto"/>
                <w:sz w:val="18"/>
                <w:szCs w:val="18"/>
              </w:rPr>
              <w:t xml:space="preserve">The treatment must </w:t>
            </w:r>
            <w:r w:rsidR="006C243B">
              <w:rPr>
                <w:rFonts w:ascii="Arial Narrow" w:eastAsia="Times New Roman" w:hAnsi="Arial Narrow" w:cs="Arial"/>
                <w:i/>
                <w:color w:val="auto"/>
                <w:sz w:val="18"/>
                <w:szCs w:val="18"/>
              </w:rPr>
              <w:t xml:space="preserve">have </w:t>
            </w:r>
            <w:r w:rsidR="006C243B" w:rsidRPr="006C243B">
              <w:rPr>
                <w:rFonts w:ascii="Arial Narrow" w:eastAsia="Times New Roman" w:hAnsi="Arial Narrow" w:cs="Arial"/>
                <w:i/>
                <w:color w:val="auto"/>
                <w:sz w:val="18"/>
                <w:szCs w:val="18"/>
              </w:rPr>
              <w:t>be</w:t>
            </w:r>
            <w:r w:rsidR="006C243B">
              <w:rPr>
                <w:rFonts w:ascii="Arial Narrow" w:eastAsia="Times New Roman" w:hAnsi="Arial Narrow" w:cs="Arial"/>
                <w:i/>
                <w:color w:val="auto"/>
                <w:sz w:val="18"/>
                <w:szCs w:val="18"/>
              </w:rPr>
              <w:t>en</w:t>
            </w:r>
            <w:r w:rsidR="006C243B" w:rsidRPr="006C243B">
              <w:rPr>
                <w:rFonts w:ascii="Arial Narrow" w:eastAsia="Times New Roman" w:hAnsi="Arial Narrow" w:cs="Arial"/>
                <w:i/>
                <w:color w:val="auto"/>
                <w:sz w:val="18"/>
                <w:szCs w:val="18"/>
              </w:rPr>
              <w:t xml:space="preserve"> initiated in combination with nanoparticle albumin-bound paclitaxel (nab-paclitaxel)</w:t>
            </w:r>
          </w:p>
          <w:p w:rsidR="00416A2D" w:rsidRDefault="00416A2D" w:rsidP="001E358B">
            <w:pPr>
              <w:spacing w:before="0" w:after="0"/>
              <w:rPr>
                <w:rFonts w:ascii="Arial Narrow" w:eastAsia="Times New Roman" w:hAnsi="Arial Narrow" w:cs="Arial"/>
                <w:i/>
                <w:color w:val="auto"/>
                <w:sz w:val="18"/>
                <w:szCs w:val="18"/>
              </w:rPr>
            </w:pPr>
            <w:r>
              <w:rPr>
                <w:rFonts w:ascii="Arial Narrow" w:eastAsia="Times New Roman" w:hAnsi="Arial Narrow" w:cs="Arial"/>
                <w:i/>
                <w:color w:val="auto"/>
                <w:sz w:val="18"/>
                <w:szCs w:val="18"/>
              </w:rPr>
              <w:t>AND</w:t>
            </w:r>
          </w:p>
          <w:p w:rsidR="00416A2D" w:rsidRDefault="00416A2D" w:rsidP="00416A2D">
            <w:pPr>
              <w:spacing w:before="0" w:after="0"/>
              <w:rPr>
                <w:rFonts w:ascii="Arial Narrow" w:eastAsia="Times New Roman" w:hAnsi="Arial Narrow" w:cs="Arial"/>
                <w:i/>
                <w:color w:val="auto"/>
                <w:sz w:val="18"/>
                <w:szCs w:val="18"/>
              </w:rPr>
            </w:pPr>
            <w:r w:rsidRPr="00AD0E76">
              <w:rPr>
                <w:rFonts w:ascii="Arial Narrow" w:eastAsia="Times New Roman" w:hAnsi="Arial Narrow" w:cs="Arial"/>
                <w:i/>
                <w:color w:val="auto"/>
                <w:sz w:val="18"/>
                <w:szCs w:val="18"/>
              </w:rPr>
              <w:t>Patient must not have received taxane therapy in the 12 months</w:t>
            </w:r>
            <w:r>
              <w:rPr>
                <w:rFonts w:ascii="Arial Narrow" w:eastAsia="Times New Roman" w:hAnsi="Arial Narrow" w:cs="Arial"/>
                <w:i/>
                <w:color w:val="auto"/>
                <w:sz w:val="18"/>
                <w:szCs w:val="18"/>
              </w:rPr>
              <w:t xml:space="preserve"> prior to commencing </w:t>
            </w:r>
            <w:r w:rsidRPr="00EA5C8F">
              <w:rPr>
                <w:rFonts w:ascii="Arial Narrow" w:eastAsia="Times New Roman" w:hAnsi="Arial Narrow" w:cs="Arial"/>
                <w:i/>
                <w:color w:val="auto"/>
                <w:sz w:val="18"/>
                <w:szCs w:val="18"/>
              </w:rPr>
              <w:t>non-PBS subsidised treatment wi</w:t>
            </w:r>
            <w:r w:rsidR="00C10118">
              <w:rPr>
                <w:rFonts w:ascii="Arial Narrow" w:eastAsia="Times New Roman" w:hAnsi="Arial Narrow" w:cs="Arial"/>
                <w:i/>
                <w:color w:val="auto"/>
                <w:sz w:val="18"/>
                <w:szCs w:val="18"/>
              </w:rPr>
              <w:t>th this drug for this condition</w:t>
            </w:r>
          </w:p>
          <w:p w:rsidR="00A57A47" w:rsidRPr="00A57A47" w:rsidRDefault="00A57A47" w:rsidP="001E358B">
            <w:pPr>
              <w:spacing w:before="0" w:after="0"/>
              <w:rPr>
                <w:rFonts w:ascii="Arial Narrow" w:eastAsia="Times New Roman" w:hAnsi="Arial Narrow" w:cs="Arial"/>
                <w:color w:val="auto"/>
                <w:sz w:val="18"/>
                <w:szCs w:val="18"/>
              </w:rPr>
            </w:pPr>
            <w:r w:rsidRPr="00A57A47">
              <w:rPr>
                <w:rFonts w:ascii="Arial Narrow" w:eastAsia="Times New Roman" w:hAnsi="Arial Narrow" w:cs="Arial"/>
                <w:color w:val="auto"/>
                <w:sz w:val="18"/>
                <w:szCs w:val="18"/>
              </w:rPr>
              <w:t>AND</w:t>
            </w:r>
          </w:p>
          <w:p w:rsidR="00A57A47" w:rsidRDefault="00A57A47" w:rsidP="001E358B">
            <w:pPr>
              <w:spacing w:before="0" w:after="0"/>
              <w:rPr>
                <w:rFonts w:ascii="Arial Narrow" w:eastAsia="Times New Roman" w:hAnsi="Arial Narrow" w:cs="Arial"/>
                <w:i/>
                <w:color w:val="auto"/>
                <w:sz w:val="18"/>
                <w:szCs w:val="18"/>
              </w:rPr>
            </w:pPr>
            <w:r w:rsidRPr="00EA5C8F">
              <w:rPr>
                <w:rFonts w:ascii="Arial Narrow" w:eastAsia="Times New Roman" w:hAnsi="Arial Narrow" w:cs="Arial"/>
                <w:i/>
                <w:color w:val="auto"/>
                <w:sz w:val="18"/>
                <w:szCs w:val="18"/>
              </w:rPr>
              <w:t xml:space="preserve">The condition must express programmed cell death ligand 1 (PD-L1) </w:t>
            </w:r>
            <w:r w:rsidR="00FA6C7F" w:rsidRPr="00FA6C7F">
              <w:rPr>
                <w:rFonts w:ascii="Arial Narrow" w:eastAsia="Times New Roman" w:hAnsi="Arial Narrow" w:cs="Arial"/>
                <w:i/>
                <w:color w:val="auto"/>
                <w:sz w:val="18"/>
                <w:szCs w:val="18"/>
              </w:rPr>
              <w:t xml:space="preserve">of any intensity in tumour-infiltrating immune cells </w:t>
            </w:r>
            <w:r w:rsidR="00C10118">
              <w:rPr>
                <w:rFonts w:ascii="Arial Narrow" w:eastAsia="Times New Roman" w:hAnsi="Arial Narrow" w:cs="Arial"/>
                <w:i/>
                <w:color w:val="auto"/>
                <w:sz w:val="18"/>
                <w:szCs w:val="18"/>
              </w:rPr>
              <w:t>covering ≥1% of the tumour area</w:t>
            </w:r>
          </w:p>
          <w:p w:rsidR="00A57A47" w:rsidRDefault="00A57A47" w:rsidP="001E358B">
            <w:pPr>
              <w:spacing w:before="0" w:after="0"/>
              <w:rPr>
                <w:rFonts w:ascii="Arial Narrow" w:eastAsia="Times New Roman" w:hAnsi="Arial Narrow" w:cs="Arial"/>
                <w:i/>
                <w:color w:val="auto"/>
                <w:sz w:val="18"/>
                <w:szCs w:val="18"/>
              </w:rPr>
            </w:pPr>
            <w:r>
              <w:rPr>
                <w:rFonts w:ascii="Arial Narrow" w:eastAsia="Times New Roman" w:hAnsi="Arial Narrow" w:cs="Arial"/>
                <w:i/>
                <w:color w:val="auto"/>
                <w:sz w:val="18"/>
                <w:szCs w:val="18"/>
              </w:rPr>
              <w:t>AND</w:t>
            </w:r>
          </w:p>
          <w:p w:rsidR="00A57A47" w:rsidRPr="00EA5C8F" w:rsidRDefault="00A57A47" w:rsidP="001E358B">
            <w:pPr>
              <w:spacing w:before="0" w:after="0"/>
              <w:rPr>
                <w:rFonts w:ascii="Arial Narrow" w:eastAsia="Times New Roman" w:hAnsi="Arial Narrow" w:cs="Arial"/>
                <w:i/>
                <w:color w:val="auto"/>
                <w:sz w:val="18"/>
                <w:szCs w:val="18"/>
              </w:rPr>
            </w:pPr>
            <w:r w:rsidRPr="00EA5C8F">
              <w:rPr>
                <w:rFonts w:ascii="Arial Narrow" w:eastAsia="Calibri" w:hAnsi="Arial Narrow" w:cs="Arial"/>
                <w:color w:val="auto"/>
                <w:sz w:val="18"/>
                <w:szCs w:val="18"/>
              </w:rPr>
              <w:t>Patient must not have developed disease progression while being treated with this drug for this condition.</w:t>
            </w:r>
          </w:p>
        </w:tc>
      </w:tr>
      <w:tr w:rsidR="00A57A47" w:rsidRPr="00EA5C8F" w:rsidTr="00C101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rPr>
          <w:gridAfter w:val="2"/>
          <w:wAfter w:w="28" w:type="pct"/>
        </w:trPr>
        <w:tc>
          <w:tcPr>
            <w:tcW w:w="855" w:type="pct"/>
            <w:gridSpan w:val="2"/>
            <w:tcBorders>
              <w:left w:val="single" w:sz="4" w:space="0" w:color="auto"/>
              <w:bottom w:val="single" w:sz="4" w:space="0" w:color="auto"/>
              <w:right w:val="single" w:sz="4" w:space="0" w:color="auto"/>
            </w:tcBorders>
            <w:vAlign w:val="center"/>
          </w:tcPr>
          <w:p w:rsidR="00A57A47" w:rsidRPr="00EA5C8F" w:rsidRDefault="00A57A47" w:rsidP="00A57A47">
            <w:pPr>
              <w:spacing w:before="0" w:after="0"/>
              <w:jc w:val="left"/>
              <w:rPr>
                <w:rFonts w:ascii="Arial Narrow" w:eastAsia="Times New Roman" w:hAnsi="Arial Narrow" w:cs="Times New Roman"/>
                <w:color w:val="auto"/>
                <w:sz w:val="18"/>
                <w:szCs w:val="18"/>
                <w:lang w:eastAsia="en-AU"/>
              </w:rPr>
            </w:pPr>
            <w:r w:rsidRPr="00EA5C8F">
              <w:rPr>
                <w:rFonts w:ascii="Arial Narrow" w:eastAsia="Times New Roman" w:hAnsi="Arial Narrow" w:cs="Times New Roman"/>
                <w:b/>
                <w:bCs/>
                <w:color w:val="auto"/>
                <w:sz w:val="18"/>
                <w:szCs w:val="18"/>
                <w:lang w:eastAsia="en-AU"/>
              </w:rPr>
              <w:t>Administrative Advice:</w:t>
            </w:r>
          </w:p>
        </w:tc>
        <w:tc>
          <w:tcPr>
            <w:tcW w:w="4117" w:type="pct"/>
            <w:gridSpan w:val="6"/>
            <w:tcBorders>
              <w:top w:val="single" w:sz="4" w:space="0" w:color="auto"/>
              <w:left w:val="single" w:sz="4" w:space="0" w:color="auto"/>
              <w:bottom w:val="single" w:sz="4" w:space="0" w:color="auto"/>
              <w:right w:val="single" w:sz="4" w:space="0" w:color="auto"/>
            </w:tcBorders>
            <w:vAlign w:val="center"/>
          </w:tcPr>
          <w:p w:rsidR="00A57A47" w:rsidRDefault="00A57A47" w:rsidP="001E358B">
            <w:pPr>
              <w:spacing w:before="0" w:after="0"/>
              <w:rPr>
                <w:rFonts w:ascii="Arial Narrow" w:eastAsia="Calibri" w:hAnsi="Arial Narrow" w:cs="Arial"/>
                <w:i/>
                <w:color w:val="auto"/>
                <w:sz w:val="18"/>
                <w:szCs w:val="18"/>
              </w:rPr>
            </w:pPr>
            <w:r w:rsidRPr="00EA5C8F">
              <w:rPr>
                <w:rFonts w:ascii="Arial Narrow" w:eastAsia="Calibri" w:hAnsi="Arial Narrow" w:cs="Arial"/>
                <w:i/>
                <w:color w:val="auto"/>
                <w:sz w:val="18"/>
                <w:szCs w:val="18"/>
              </w:rPr>
              <w:t>Patients may qualify for PBS-subsidised treatment under this restriction once only. For continuing PBS-subsidised treatment, a 'Grandfathered' patient must qualify under the 'Continuing treatment' criteria.</w:t>
            </w:r>
          </w:p>
          <w:p w:rsidR="00A57A47" w:rsidRDefault="00A57A47" w:rsidP="001E358B">
            <w:pPr>
              <w:spacing w:before="0" w:after="0"/>
              <w:rPr>
                <w:rFonts w:ascii="Arial Narrow" w:eastAsia="Times New Roman" w:hAnsi="Arial Narrow" w:cs="Times New Roman"/>
                <w:bCs/>
                <w:color w:val="auto"/>
                <w:sz w:val="18"/>
                <w:szCs w:val="18"/>
                <w:lang w:eastAsia="en-AU"/>
              </w:rPr>
            </w:pPr>
            <w:r w:rsidRPr="00EA5C8F">
              <w:rPr>
                <w:rFonts w:ascii="Arial Narrow" w:eastAsia="Calibri" w:hAnsi="Arial Narrow" w:cs="Arial"/>
                <w:i/>
                <w:color w:val="auto"/>
                <w:sz w:val="18"/>
                <w:szCs w:val="18"/>
              </w:rPr>
              <w:t>This grandfathering restriction will cease to operate from [insert date 12 months from listing date here]</w:t>
            </w:r>
            <w:r w:rsidR="00C10118">
              <w:rPr>
                <w:rFonts w:ascii="Arial Narrow" w:eastAsia="Times New Roman" w:hAnsi="Arial Narrow" w:cs="Times New Roman"/>
                <w:bCs/>
                <w:color w:val="auto"/>
                <w:sz w:val="18"/>
                <w:szCs w:val="18"/>
                <w:lang w:eastAsia="en-AU"/>
              </w:rPr>
              <w:t>.</w:t>
            </w:r>
          </w:p>
          <w:p w:rsidR="00A57A47" w:rsidRPr="00EA5C8F" w:rsidRDefault="00A57A47" w:rsidP="001E358B">
            <w:pPr>
              <w:spacing w:before="0" w:after="0"/>
              <w:rPr>
                <w:rFonts w:ascii="Arial Narrow" w:eastAsia="Calibri" w:hAnsi="Arial Narrow" w:cs="Arial"/>
                <w:color w:val="auto"/>
                <w:sz w:val="18"/>
                <w:szCs w:val="18"/>
              </w:rPr>
            </w:pPr>
            <w:r w:rsidRPr="00EA5C8F">
              <w:rPr>
                <w:rFonts w:ascii="Arial Narrow" w:eastAsia="Times New Roman" w:hAnsi="Arial Narrow" w:cs="Times New Roman"/>
                <w:bCs/>
                <w:color w:val="auto"/>
                <w:sz w:val="18"/>
                <w:szCs w:val="18"/>
                <w:lang w:eastAsia="en-AU"/>
              </w:rPr>
              <w:t>Special Pricing Arrangements apply.</w:t>
            </w:r>
          </w:p>
        </w:tc>
      </w:tr>
    </w:tbl>
    <w:p w:rsidR="00095E93" w:rsidRPr="00333639" w:rsidRDefault="002B2F61" w:rsidP="00095E93">
      <w:pPr>
        <w:spacing w:before="0" w:after="120"/>
        <w:contextualSpacing/>
        <w:rPr>
          <w:rFonts w:ascii="Arial Narrow" w:eastAsia="Times New Roman" w:hAnsi="Arial Narrow" w:cs="Arial"/>
          <w:snapToGrid w:val="0"/>
          <w:sz w:val="18"/>
          <w:lang w:eastAsia="en-AU"/>
        </w:rPr>
      </w:pPr>
      <w:r w:rsidRPr="002B2F61">
        <w:rPr>
          <w:rFonts w:ascii="Arial Narrow" w:eastAsia="Times New Roman" w:hAnsi="Arial Narrow" w:cs="Arial"/>
          <w:snapToGrid w:val="0"/>
          <w:sz w:val="18"/>
          <w:vertAlign w:val="superscript"/>
          <w:lang w:eastAsia="en-AU"/>
        </w:rPr>
        <w:t>a</w:t>
      </w:r>
      <w:r w:rsidR="00095E93" w:rsidRPr="00333639">
        <w:rPr>
          <w:rFonts w:ascii="Arial Narrow" w:eastAsia="Times New Roman" w:hAnsi="Arial Narrow" w:cs="Arial"/>
          <w:snapToGrid w:val="0"/>
          <w:sz w:val="18"/>
          <w:vertAlign w:val="superscript"/>
          <w:lang w:eastAsia="en-AU"/>
        </w:rPr>
        <w:t xml:space="preserve"> </w:t>
      </w:r>
      <w:r w:rsidR="00095E93" w:rsidRPr="00333639">
        <w:rPr>
          <w:rFonts w:ascii="Arial Narrow" w:eastAsia="Times New Roman" w:hAnsi="Arial Narrow" w:cs="Arial"/>
          <w:snapToGrid w:val="0"/>
          <w:sz w:val="18"/>
          <w:lang w:eastAsia="en-AU"/>
        </w:rPr>
        <w:t xml:space="preserve">Dispensed price for maximum amount (DPMA) </w:t>
      </w:r>
      <w:r w:rsidR="00095E93" w:rsidRPr="00DD0EBF">
        <w:rPr>
          <w:rFonts w:ascii="Arial Narrow" w:eastAsia="Times New Roman" w:hAnsi="Arial Narrow" w:cs="Arial"/>
          <w:snapToGrid w:val="0"/>
          <w:sz w:val="18"/>
          <w:lang w:eastAsia="en-AU"/>
        </w:rPr>
        <w:t>includes Section 100 Highly Specialised Drugs fees and mark-ups of $85.06 (public hospital), $198 (private hospital – published price) and $</w:t>
      </w:r>
      <w:r w:rsidR="00EB2224">
        <w:rPr>
          <w:rFonts w:ascii="Arial Narrow" w:eastAsia="Times New Roman" w:hAnsi="Arial Narrow" w:cs="Arial"/>
          <w:noProof/>
          <w:snapToGrid w:val="0"/>
          <w:color w:val="000000"/>
          <w:sz w:val="18"/>
          <w:highlight w:val="black"/>
          <w:lang w:eastAsia="en-AU"/>
        </w:rPr>
        <w:t>''''''''</w:t>
      </w:r>
      <w:r w:rsidR="00095E93" w:rsidRPr="00DD0EBF">
        <w:rPr>
          <w:rFonts w:ascii="Arial Narrow" w:eastAsia="Times New Roman" w:hAnsi="Arial Narrow" w:cs="Arial"/>
          <w:snapToGrid w:val="0"/>
          <w:sz w:val="18"/>
          <w:lang w:eastAsia="en-AU"/>
        </w:rPr>
        <w:t xml:space="preserve"> (private hospital – effective price).</w:t>
      </w:r>
    </w:p>
    <w:p w:rsidR="00095E93" w:rsidRPr="00D45BCA" w:rsidRDefault="00095E93" w:rsidP="00095E93">
      <w:pPr>
        <w:pStyle w:val="ListParagraph"/>
        <w:numPr>
          <w:ilvl w:val="4"/>
          <w:numId w:val="1"/>
        </w:numPr>
        <w:rPr>
          <w:color w:val="auto"/>
        </w:rPr>
      </w:pPr>
      <w:bookmarkStart w:id="10" w:name="_Toc413139273"/>
      <w:r w:rsidRPr="00333639">
        <w:rPr>
          <w:rFonts w:ascii="Calibri" w:eastAsia="Times New Roman" w:hAnsi="Calibri" w:cs="Arial"/>
          <w:color w:val="auto"/>
          <w:szCs w:val="24"/>
          <w:lang w:eastAsia="en-AU"/>
        </w:rPr>
        <w:t xml:space="preserve">The submission proposed a special pricing arrangement (SPA). The effective price for atezolizumab is based on a </w:t>
      </w:r>
      <w:r w:rsidR="00EB2224">
        <w:rPr>
          <w:rFonts w:ascii="Calibri" w:eastAsia="Times New Roman" w:hAnsi="Calibri" w:cs="Arial"/>
          <w:noProof/>
          <w:color w:val="000000"/>
          <w:szCs w:val="24"/>
          <w:highlight w:val="black"/>
          <w:lang w:eastAsia="en-AU"/>
        </w:rPr>
        <w:t>'''''''''</w:t>
      </w:r>
      <w:r w:rsidRPr="00333639">
        <w:rPr>
          <w:rFonts w:ascii="Calibri" w:eastAsia="Times New Roman" w:hAnsi="Calibri" w:cs="Arial"/>
          <w:color w:val="auto"/>
          <w:szCs w:val="24"/>
          <w:lang w:eastAsia="en-AU"/>
        </w:rPr>
        <w:t>% discount on the ex-manufacturer price.</w:t>
      </w:r>
      <w:r w:rsidR="003248F5">
        <w:rPr>
          <w:rFonts w:ascii="Calibri" w:eastAsia="Times New Roman" w:hAnsi="Calibri" w:cs="Arial"/>
          <w:color w:val="auto"/>
          <w:szCs w:val="24"/>
          <w:lang w:eastAsia="en-AU"/>
        </w:rPr>
        <w:t xml:space="preserve"> In the pre</w:t>
      </w:r>
      <w:r w:rsidR="003248F5">
        <w:rPr>
          <w:rFonts w:ascii="Calibri" w:eastAsia="Times New Roman" w:hAnsi="Calibri" w:cs="Arial"/>
          <w:color w:val="auto"/>
          <w:szCs w:val="24"/>
          <w:lang w:eastAsia="en-AU"/>
        </w:rPr>
        <w:noBreakHyphen/>
        <w:t>PBAC response</w:t>
      </w:r>
      <w:r w:rsidR="00172239">
        <w:rPr>
          <w:rFonts w:ascii="Calibri" w:eastAsia="Times New Roman" w:hAnsi="Calibri" w:cs="Arial"/>
          <w:color w:val="auto"/>
          <w:szCs w:val="24"/>
          <w:lang w:eastAsia="en-AU"/>
        </w:rPr>
        <w:t>,</w:t>
      </w:r>
      <w:r w:rsidR="003248F5">
        <w:rPr>
          <w:rFonts w:ascii="Calibri" w:eastAsia="Times New Roman" w:hAnsi="Calibri" w:cs="Arial"/>
          <w:color w:val="auto"/>
          <w:szCs w:val="24"/>
          <w:lang w:eastAsia="en-AU"/>
        </w:rPr>
        <w:t xml:space="preserve"> the sponsor proposed an increased discount in the ex-</w:t>
      </w:r>
      <w:r w:rsidR="003248F5">
        <w:rPr>
          <w:rFonts w:ascii="Calibri" w:eastAsia="Times New Roman" w:hAnsi="Calibri" w:cs="Arial"/>
          <w:color w:val="auto"/>
          <w:szCs w:val="24"/>
          <w:lang w:eastAsia="en-AU"/>
        </w:rPr>
        <w:lastRenderedPageBreak/>
        <w:t>manufacturer price (</w:t>
      </w:r>
      <w:r w:rsidR="00EB2224">
        <w:rPr>
          <w:rFonts w:ascii="Calibri" w:eastAsia="Times New Roman" w:hAnsi="Calibri" w:cs="Arial"/>
          <w:noProof/>
          <w:color w:val="000000"/>
          <w:szCs w:val="24"/>
          <w:highlight w:val="black"/>
          <w:lang w:eastAsia="en-AU"/>
        </w:rPr>
        <w:t>'''''</w:t>
      </w:r>
      <w:r w:rsidR="003248F5">
        <w:rPr>
          <w:rFonts w:ascii="Calibri" w:eastAsia="Times New Roman" w:hAnsi="Calibri" w:cs="Arial"/>
          <w:color w:val="auto"/>
          <w:szCs w:val="24"/>
          <w:lang w:eastAsia="en-AU"/>
        </w:rPr>
        <w:t>%) as a rebate based on an SPA</w:t>
      </w:r>
      <w:r w:rsidR="00C528C7">
        <w:rPr>
          <w:rFonts w:ascii="Calibri" w:eastAsia="Times New Roman" w:hAnsi="Calibri" w:cs="Arial"/>
          <w:color w:val="auto"/>
          <w:szCs w:val="24"/>
          <w:lang w:eastAsia="en-AU"/>
        </w:rPr>
        <w:t xml:space="preserve"> reducing the effective ex-manufacturer price from $</w:t>
      </w:r>
      <w:r w:rsidR="00EB2224">
        <w:rPr>
          <w:rFonts w:ascii="Calibri" w:eastAsia="Times New Roman" w:hAnsi="Calibri" w:cs="Arial"/>
          <w:noProof/>
          <w:color w:val="000000"/>
          <w:szCs w:val="24"/>
          <w:highlight w:val="black"/>
          <w:lang w:eastAsia="en-AU"/>
        </w:rPr>
        <w:t>'''''''''''''''</w:t>
      </w:r>
      <w:r w:rsidR="00C528C7">
        <w:rPr>
          <w:rFonts w:ascii="Calibri" w:eastAsia="Times New Roman" w:hAnsi="Calibri" w:cs="Arial"/>
          <w:color w:val="auto"/>
          <w:szCs w:val="24"/>
          <w:lang w:eastAsia="en-AU"/>
        </w:rPr>
        <w:t xml:space="preserve"> to $</w:t>
      </w:r>
      <w:r w:rsidR="00EB2224">
        <w:rPr>
          <w:rFonts w:ascii="Calibri" w:eastAsia="Times New Roman" w:hAnsi="Calibri" w:cs="Arial"/>
          <w:noProof/>
          <w:color w:val="000000"/>
          <w:szCs w:val="24"/>
          <w:highlight w:val="black"/>
          <w:lang w:eastAsia="en-AU"/>
        </w:rPr>
        <w:t>''''''''''''''''</w:t>
      </w:r>
      <w:r w:rsidR="00172239">
        <w:rPr>
          <w:rFonts w:ascii="Calibri" w:eastAsia="Times New Roman" w:hAnsi="Calibri" w:cs="Arial"/>
          <w:color w:val="auto"/>
          <w:szCs w:val="24"/>
          <w:lang w:eastAsia="en-AU"/>
        </w:rPr>
        <w:t>.</w:t>
      </w:r>
    </w:p>
    <w:p w:rsidR="00661215" w:rsidRPr="00DD74E1" w:rsidRDefault="00095E93" w:rsidP="009825B1">
      <w:pPr>
        <w:pStyle w:val="ListParagraph"/>
      </w:pPr>
      <w:r w:rsidRPr="006D388C">
        <w:t>The proposed intervention of “atezolizumab in combination with taxane chemotherapy” is broader than the intervention in the key IMpassion130 trial and that approved by the TGA for the proposed indication, which are atezolizumab in combination with one specific taxane, nab-P.</w:t>
      </w:r>
      <w:r w:rsidR="00E52576">
        <w:t xml:space="preserve"> </w:t>
      </w:r>
      <w:r w:rsidR="00E52576" w:rsidRPr="008F6F21">
        <w:t xml:space="preserve">The ESCs considered that the submission’s approach of broadening the restriction to include any taxane may be appropriate in order to provide greater flexibility for clinicians and because nab-P may be inferior to paclitaxel (see also </w:t>
      </w:r>
      <w:r w:rsidR="00E52576" w:rsidRPr="00EF5451">
        <w:t xml:space="preserve">paragraph </w:t>
      </w:r>
      <w:r w:rsidR="00DA04F9" w:rsidRPr="00EF5451">
        <w:t>5.2</w:t>
      </w:r>
      <w:r w:rsidR="00E52576" w:rsidRPr="008F6F21">
        <w:t>).</w:t>
      </w:r>
      <w:r w:rsidR="00661215" w:rsidRPr="008F6F21">
        <w:t xml:space="preserve"> Further, the ESCs noted that nab-P is not PBS-listed for locally advanced TNBC (it is only </w:t>
      </w:r>
      <w:r w:rsidR="00666CF6">
        <w:t>approved for metastatic or HER2-</w:t>
      </w:r>
      <w:r w:rsidR="00661215" w:rsidRPr="008F6F21">
        <w:t>positive breast cancer).</w:t>
      </w:r>
      <w:r w:rsidR="00C528C7">
        <w:t xml:space="preserve"> </w:t>
      </w:r>
      <w:r w:rsidR="009825B1">
        <w:t xml:space="preserve">The PBAC noted that no evidence for combination use with taxanes other than nab-P was presented in the submission </w:t>
      </w:r>
      <w:r w:rsidR="009825B1" w:rsidRPr="009825B1">
        <w:rPr>
          <w:color w:val="auto"/>
        </w:rPr>
        <w:t>and considered that the listing should be limited to treatment in combination with nab-P.</w:t>
      </w:r>
    </w:p>
    <w:p w:rsidR="00095E93" w:rsidRPr="00434533" w:rsidRDefault="00661215" w:rsidP="00661215">
      <w:pPr>
        <w:pStyle w:val="ListParagraph"/>
        <w:numPr>
          <w:ilvl w:val="4"/>
          <w:numId w:val="1"/>
        </w:numPr>
        <w:rPr>
          <w:color w:val="auto"/>
        </w:rPr>
      </w:pPr>
      <w:r w:rsidRPr="008F6F21">
        <w:t>The ESCs noted that, while the currently available trial evidence is for use of atezolizumab in combination with nab-paclitaxel only, an upcoming trial is assessing atezolizumab in combination with paclitaxel in the target population (IMpassion131).</w:t>
      </w:r>
      <w:r w:rsidR="00C528C7" w:rsidRPr="00C528C7">
        <w:rPr>
          <w:color w:val="auto"/>
        </w:rPr>
        <w:t xml:space="preserve"> </w:t>
      </w:r>
      <w:r w:rsidR="00C528C7">
        <w:rPr>
          <w:color w:val="auto"/>
        </w:rPr>
        <w:t>The PBAC considered that data from the IMpassion131 trial may provide support for the broader listing requested.</w:t>
      </w:r>
    </w:p>
    <w:p w:rsidR="00434533" w:rsidRPr="00434533" w:rsidRDefault="00434533" w:rsidP="00434533">
      <w:pPr>
        <w:pStyle w:val="ListParagraph"/>
        <w:numPr>
          <w:ilvl w:val="0"/>
          <w:numId w:val="0"/>
        </w:numPr>
        <w:ind w:left="720"/>
        <w:rPr>
          <w:i/>
        </w:rPr>
      </w:pPr>
      <w:r w:rsidRPr="00434533">
        <w:rPr>
          <w:i/>
        </w:rPr>
        <w:t>For more detail on PBAC’s view, see section 7 PBAC outcome.</w:t>
      </w:r>
    </w:p>
    <w:p w:rsidR="00095E93" w:rsidRPr="00B05E21" w:rsidRDefault="00095E93" w:rsidP="00095E93">
      <w:pPr>
        <w:pStyle w:val="PBACESHeading1"/>
        <w:numPr>
          <w:ilvl w:val="0"/>
          <w:numId w:val="1"/>
        </w:numPr>
      </w:pPr>
      <w:bookmarkStart w:id="11" w:name="_Toc476306884"/>
      <w:bookmarkStart w:id="12" w:name="_Toc497226182"/>
      <w:bookmarkStart w:id="13" w:name="_Toc30411828"/>
      <w:bookmarkStart w:id="14" w:name="_Toc413139275"/>
      <w:bookmarkEnd w:id="10"/>
      <w:r w:rsidRPr="00B05E21">
        <w:t>Population and disease</w:t>
      </w:r>
      <w:bookmarkEnd w:id="11"/>
      <w:bookmarkEnd w:id="12"/>
      <w:bookmarkEnd w:id="13"/>
    </w:p>
    <w:p w:rsidR="00095E93" w:rsidRPr="00373E60" w:rsidRDefault="00095E93" w:rsidP="00095E93">
      <w:pPr>
        <w:pStyle w:val="ListParagraph"/>
        <w:numPr>
          <w:ilvl w:val="4"/>
          <w:numId w:val="1"/>
        </w:numPr>
      </w:pPr>
      <w:r w:rsidRPr="00373E60">
        <w:t>TNBC</w:t>
      </w:r>
      <w:r>
        <w:t xml:space="preserve"> (</w:t>
      </w:r>
      <w:r w:rsidRPr="008827C8">
        <w:rPr>
          <w:color w:val="auto"/>
        </w:rPr>
        <w:t xml:space="preserve">hormone receptor-negative and human epidermal growth factor receptor 2 </w:t>
      </w:r>
      <w:r>
        <w:rPr>
          <w:color w:val="auto"/>
        </w:rPr>
        <w:t>(</w:t>
      </w:r>
      <w:r w:rsidRPr="008827C8">
        <w:rPr>
          <w:color w:val="auto"/>
        </w:rPr>
        <w:t>HER2</w:t>
      </w:r>
      <w:r>
        <w:rPr>
          <w:color w:val="auto"/>
        </w:rPr>
        <w:t>)</w:t>
      </w:r>
      <w:r w:rsidRPr="008827C8">
        <w:rPr>
          <w:color w:val="auto"/>
        </w:rPr>
        <w:t>-negative</w:t>
      </w:r>
      <w:r w:rsidR="00E52576">
        <w:rPr>
          <w:color w:val="auto"/>
        </w:rPr>
        <w:t xml:space="preserve"> breast cancer</w:t>
      </w:r>
      <w:r>
        <w:rPr>
          <w:color w:val="auto"/>
        </w:rPr>
        <w:t>)</w:t>
      </w:r>
      <w:r w:rsidRPr="00373E60">
        <w:t xml:space="preserve"> is an aggressive disease associated with poor prognosis; with high risk of relapse, short progression-free survival (PFS) and </w:t>
      </w:r>
      <w:r w:rsidR="00172239">
        <w:t xml:space="preserve">short </w:t>
      </w:r>
      <w:r w:rsidRPr="00373E60">
        <w:t>overall survival (OS). Patients with TNBC are typically younger and at a more advanced stage at diagnosis than in other breast cancers, and do not respond to hormone therapy or HER2 targeted agents.</w:t>
      </w:r>
    </w:p>
    <w:p w:rsidR="00095E93" w:rsidRPr="00373E60" w:rsidRDefault="00095E93" w:rsidP="00095E93">
      <w:pPr>
        <w:pStyle w:val="ListParagraph"/>
        <w:numPr>
          <w:ilvl w:val="4"/>
          <w:numId w:val="1"/>
        </w:numPr>
      </w:pPr>
      <w:r w:rsidRPr="00373E60">
        <w:t>The target population include</w:t>
      </w:r>
      <w:r>
        <w:t>s</w:t>
      </w:r>
      <w:r w:rsidRPr="00373E60">
        <w:t xml:space="preserve"> unresectable locally advanced, recurrent and </w:t>
      </w:r>
      <w:r w:rsidRPr="003530E1">
        <w:rPr>
          <w:i/>
        </w:rPr>
        <w:t>de novo</w:t>
      </w:r>
      <w:r w:rsidRPr="00373E60">
        <w:t xml:space="preserve"> m</w:t>
      </w:r>
      <w:r w:rsidR="00EE0A1F">
        <w:t xml:space="preserve">etastatic </w:t>
      </w:r>
      <w:r w:rsidRPr="00373E60">
        <w:t xml:space="preserve">TNBC. </w:t>
      </w:r>
      <w:r>
        <w:t>T</w:t>
      </w:r>
      <w:r w:rsidRPr="00373E60">
        <w:t>hese patients</w:t>
      </w:r>
      <w:r>
        <w:t xml:space="preserve"> present </w:t>
      </w:r>
      <w:r w:rsidRPr="00E912AB">
        <w:rPr>
          <w:color w:val="auto"/>
        </w:rPr>
        <w:t>a heterogeneous group of malignancies that differ in natural history and response to treatment</w:t>
      </w:r>
      <w:r w:rsidRPr="00373E60">
        <w:t xml:space="preserve">, </w:t>
      </w:r>
      <w:r>
        <w:t xml:space="preserve">and </w:t>
      </w:r>
      <w:r w:rsidRPr="00373E60">
        <w:t>currently there is no one standard of care chemotherapy regimen.</w:t>
      </w:r>
      <w:r>
        <w:t xml:space="preserve"> </w:t>
      </w:r>
      <w:r w:rsidR="0086151B" w:rsidRPr="008F6F21">
        <w:t>The ESCs noted that while it may have been better to consider each of these populations separately, the evidence available is limited and does not lend itself to further subgroup analysis.</w:t>
      </w:r>
    </w:p>
    <w:p w:rsidR="00095E93" w:rsidRDefault="00095E93" w:rsidP="00095E93">
      <w:pPr>
        <w:pStyle w:val="ListParagraph"/>
        <w:numPr>
          <w:ilvl w:val="4"/>
          <w:numId w:val="1"/>
        </w:numPr>
        <w:rPr>
          <w:color w:val="auto"/>
        </w:rPr>
      </w:pPr>
      <w:r w:rsidRPr="00373E60">
        <w:rPr>
          <w:color w:val="auto"/>
        </w:rPr>
        <w:t xml:space="preserve">Atezolizumab, a PD-L1 inhibitor, in combination with taxane chemotherapy, </w:t>
      </w:r>
      <w:r>
        <w:rPr>
          <w:color w:val="auto"/>
        </w:rPr>
        <w:t>was</w:t>
      </w:r>
      <w:r w:rsidRPr="00373E60">
        <w:rPr>
          <w:color w:val="auto"/>
        </w:rPr>
        <w:t xml:space="preserve"> proposed to be a first-line treatment of patients with unresectable locally advanced or metastatic TNBC whose tumours are PD-L1 positive.</w:t>
      </w:r>
    </w:p>
    <w:p w:rsidR="00434533" w:rsidRPr="00434533" w:rsidRDefault="00434533" w:rsidP="00434533">
      <w:pPr>
        <w:pStyle w:val="ListParagraph"/>
        <w:numPr>
          <w:ilvl w:val="0"/>
          <w:numId w:val="0"/>
        </w:numPr>
        <w:ind w:left="720"/>
        <w:rPr>
          <w:i/>
        </w:rPr>
      </w:pPr>
      <w:r w:rsidRPr="00434533">
        <w:rPr>
          <w:i/>
        </w:rPr>
        <w:t>For more detail on PBAC’s view, see section 7 PBAC outcome.</w:t>
      </w:r>
    </w:p>
    <w:p w:rsidR="00095E93" w:rsidRPr="0068446B" w:rsidRDefault="00095E93" w:rsidP="00095E93">
      <w:pPr>
        <w:pStyle w:val="PBACESHeading1"/>
        <w:numPr>
          <w:ilvl w:val="0"/>
          <w:numId w:val="1"/>
        </w:numPr>
      </w:pPr>
      <w:bookmarkStart w:id="15" w:name="_Toc497226183"/>
      <w:bookmarkStart w:id="16" w:name="_Toc30411829"/>
      <w:r w:rsidRPr="0068446B">
        <w:lastRenderedPageBreak/>
        <w:t>Comparator</w:t>
      </w:r>
      <w:bookmarkEnd w:id="14"/>
      <w:bookmarkEnd w:id="15"/>
      <w:bookmarkEnd w:id="16"/>
    </w:p>
    <w:p w:rsidR="0094749C" w:rsidRDefault="00095E93" w:rsidP="009C4A08">
      <w:pPr>
        <w:pStyle w:val="ListParagraph"/>
        <w:numPr>
          <w:ilvl w:val="4"/>
          <w:numId w:val="1"/>
        </w:numPr>
        <w:rPr>
          <w:lang w:val="en-US"/>
        </w:rPr>
      </w:pPr>
      <w:r w:rsidRPr="00AA1D9B">
        <w:rPr>
          <w:color w:val="auto"/>
          <w:lang w:val="en-US"/>
        </w:rPr>
        <w:t xml:space="preserve">The submission nominated nab-P as the </w:t>
      </w:r>
      <w:r w:rsidR="00172239">
        <w:rPr>
          <w:color w:val="auto"/>
          <w:lang w:val="en-US"/>
        </w:rPr>
        <w:t xml:space="preserve">main </w:t>
      </w:r>
      <w:r w:rsidRPr="00AA1D9B">
        <w:rPr>
          <w:color w:val="auto"/>
          <w:lang w:val="en-US"/>
        </w:rPr>
        <w:t>comparator.</w:t>
      </w:r>
      <w:r w:rsidR="0094749C">
        <w:rPr>
          <w:color w:val="auto"/>
          <w:lang w:val="en-US"/>
        </w:rPr>
        <w:t xml:space="preserve"> </w:t>
      </w:r>
      <w:r w:rsidRPr="0024177C">
        <w:rPr>
          <w:lang w:val="en-US"/>
        </w:rPr>
        <w:t xml:space="preserve">The </w:t>
      </w:r>
      <w:r w:rsidRPr="00A54259">
        <w:t>main</w:t>
      </w:r>
      <w:r w:rsidRPr="0024177C">
        <w:rPr>
          <w:lang w:val="en-US"/>
        </w:rPr>
        <w:t xml:space="preserve"> argument provided in support of the nomination of nab-P as the </w:t>
      </w:r>
      <w:r w:rsidR="00172239">
        <w:rPr>
          <w:lang w:val="en-US"/>
        </w:rPr>
        <w:t xml:space="preserve">main </w:t>
      </w:r>
      <w:r w:rsidRPr="0024177C">
        <w:rPr>
          <w:lang w:val="en-US"/>
        </w:rPr>
        <w:t>comparator was a sponsor-commissioned METIS survey</w:t>
      </w:r>
      <w:r w:rsidR="00F8289C">
        <w:rPr>
          <w:rStyle w:val="FootnoteReference"/>
          <w:color w:val="auto"/>
          <w:lang w:val="en-US"/>
        </w:rPr>
        <w:footnoteReference w:id="1"/>
      </w:r>
      <w:r w:rsidRPr="0024177C">
        <w:rPr>
          <w:lang w:val="en-US"/>
        </w:rPr>
        <w:t xml:space="preserve"> of 30 medical oncologists</w:t>
      </w:r>
      <w:r w:rsidRPr="006D388C">
        <w:rPr>
          <w:lang w:val="en-US"/>
        </w:rPr>
        <w:t xml:space="preserve">. </w:t>
      </w:r>
      <w:r w:rsidR="009E7B0A" w:rsidRPr="008F6F21">
        <w:rPr>
          <w:iCs/>
          <w:lang w:val="en-US"/>
        </w:rPr>
        <w:t>The ESCs noted that the METIS data showed that the majority (58-65%) of Australian m</w:t>
      </w:r>
      <w:r w:rsidR="00EE0A1F" w:rsidRPr="008F6F21">
        <w:rPr>
          <w:iCs/>
          <w:lang w:val="en-US"/>
        </w:rPr>
        <w:t xml:space="preserve">etastatic </w:t>
      </w:r>
      <w:r w:rsidR="009E7B0A" w:rsidRPr="008F6F21">
        <w:rPr>
          <w:iCs/>
          <w:lang w:val="en-US"/>
        </w:rPr>
        <w:t>TNBC patients do not receive nab-P as first-line treatment for m</w:t>
      </w:r>
      <w:r w:rsidR="00EE0A1F" w:rsidRPr="008F6F21">
        <w:rPr>
          <w:iCs/>
          <w:lang w:val="en-US"/>
        </w:rPr>
        <w:t xml:space="preserve">etastatic </w:t>
      </w:r>
      <w:r w:rsidR="009E7B0A" w:rsidRPr="008F6F21">
        <w:rPr>
          <w:iCs/>
          <w:lang w:val="en-US"/>
        </w:rPr>
        <w:t>TNBC.</w:t>
      </w:r>
    </w:p>
    <w:p w:rsidR="00A5672C" w:rsidRPr="00A5672C" w:rsidRDefault="00A5672C" w:rsidP="00A5672C">
      <w:pPr>
        <w:rPr>
          <w:u w:val="single"/>
          <w:lang w:val="en-US"/>
        </w:rPr>
      </w:pPr>
      <w:r w:rsidRPr="00A5672C">
        <w:rPr>
          <w:u w:val="single"/>
          <w:lang w:val="en-US"/>
        </w:rPr>
        <w:t>Choice of taxane</w:t>
      </w:r>
    </w:p>
    <w:p w:rsidR="00483E42" w:rsidRPr="008F6F21" w:rsidRDefault="00724D72" w:rsidP="009C4A08">
      <w:pPr>
        <w:pStyle w:val="ListParagraph"/>
        <w:numPr>
          <w:ilvl w:val="4"/>
          <w:numId w:val="1"/>
        </w:numPr>
        <w:rPr>
          <w:lang w:val="en-US"/>
        </w:rPr>
      </w:pPr>
      <w:r w:rsidRPr="008F6F21">
        <w:rPr>
          <w:iCs/>
        </w:rPr>
        <w:t xml:space="preserve">The ESCs noted the commentary </w:t>
      </w:r>
      <w:r w:rsidR="00886615" w:rsidRPr="008F6F21">
        <w:rPr>
          <w:iCs/>
        </w:rPr>
        <w:t xml:space="preserve">stated </w:t>
      </w:r>
      <w:r w:rsidRPr="008F6F21">
        <w:rPr>
          <w:iCs/>
        </w:rPr>
        <w:t xml:space="preserve">that </w:t>
      </w:r>
      <w:r w:rsidR="002213C5" w:rsidRPr="008F6F21">
        <w:rPr>
          <w:iCs/>
        </w:rPr>
        <w:t>n</w:t>
      </w:r>
      <w:r w:rsidR="00483E42" w:rsidRPr="008F6F21">
        <w:rPr>
          <w:iCs/>
        </w:rPr>
        <w:t>ab-P may be clinically preferable to other taxanes because it is solvent-free and does not require premedication with corticosteroids, making it more suitable for combination immunotherapy.</w:t>
      </w:r>
      <w:r w:rsidR="00483E42" w:rsidRPr="008F6F21">
        <w:t xml:space="preserve"> However, the ESC</w:t>
      </w:r>
      <w:r w:rsidR="00B20DEC" w:rsidRPr="008F6F21">
        <w:t>s</w:t>
      </w:r>
      <w:r w:rsidR="00483E42" w:rsidRPr="008F6F21">
        <w:t xml:space="preserve"> </w:t>
      </w:r>
      <w:r w:rsidR="00B20DEC" w:rsidRPr="008F6F21">
        <w:t xml:space="preserve">considered that </w:t>
      </w:r>
      <w:r w:rsidR="001858BE" w:rsidRPr="008F6F21">
        <w:t xml:space="preserve">while this is a theoretical advantage, </w:t>
      </w:r>
      <w:r w:rsidR="00483E42" w:rsidRPr="008F6F21">
        <w:t>other taxanes are recommended in practice</w:t>
      </w:r>
      <w:r w:rsidR="001858BE" w:rsidRPr="008F6F21">
        <w:t xml:space="preserve"> instead of nab-P, largely because of concerns about toxicity (peripheral neuropathy) and higher cost.</w:t>
      </w:r>
      <w:r w:rsidR="00483E42" w:rsidRPr="008F6F21">
        <w:t xml:space="preserve"> Furthermore, Rugo et al (2015)</w:t>
      </w:r>
      <w:r w:rsidR="00483E42" w:rsidRPr="008F6F21">
        <w:rPr>
          <w:rStyle w:val="FootnoteReference"/>
        </w:rPr>
        <w:footnoteReference w:id="2"/>
      </w:r>
      <w:r w:rsidR="00483E42" w:rsidRPr="008F6F21">
        <w:t xml:space="preserve"> suggests that nab-P (150</w:t>
      </w:r>
      <w:r w:rsidR="00172239">
        <w:t> </w:t>
      </w:r>
      <w:r w:rsidR="00483E42" w:rsidRPr="008F6F21">
        <w:t>mg/m</w:t>
      </w:r>
      <w:r w:rsidR="00483E42" w:rsidRPr="008F6F21">
        <w:rPr>
          <w:vertAlign w:val="superscript"/>
        </w:rPr>
        <w:t>2</w:t>
      </w:r>
      <w:r w:rsidR="00483E42" w:rsidRPr="008F6F21">
        <w:t xml:space="preserve">) may </w:t>
      </w:r>
      <w:r w:rsidR="0067082B" w:rsidRPr="008F6F21">
        <w:t xml:space="preserve">be less effective than </w:t>
      </w:r>
      <w:r w:rsidR="00483E42" w:rsidRPr="008F6F21">
        <w:t>paclitaxel (90</w:t>
      </w:r>
      <w:r w:rsidR="00172239">
        <w:t> </w:t>
      </w:r>
      <w:r w:rsidR="00483E42" w:rsidRPr="008F6F21">
        <w:t>mg/m</w:t>
      </w:r>
      <w:r w:rsidR="00483E42" w:rsidRPr="008F6F21">
        <w:rPr>
          <w:vertAlign w:val="superscript"/>
        </w:rPr>
        <w:t>2</w:t>
      </w:r>
      <w:r w:rsidR="00483E42" w:rsidRPr="008F6F21">
        <w:t>)</w:t>
      </w:r>
      <w:r w:rsidR="00056A88" w:rsidRPr="008F6F21">
        <w:t>. The ESC</w:t>
      </w:r>
      <w:r w:rsidR="00ED6B32" w:rsidRPr="008F6F21">
        <w:t>s</w:t>
      </w:r>
      <w:r w:rsidR="00056A88" w:rsidRPr="008F6F21">
        <w:t xml:space="preserve"> considered </w:t>
      </w:r>
      <w:r w:rsidR="00DE7E6E" w:rsidRPr="008F6F21">
        <w:t xml:space="preserve">that </w:t>
      </w:r>
      <w:r w:rsidR="00056A88" w:rsidRPr="008F6F21">
        <w:t>Rugo et al provided more robust evidence than the</w:t>
      </w:r>
      <w:r w:rsidRPr="008F6F21">
        <w:t xml:space="preserve"> </w:t>
      </w:r>
      <w:r w:rsidR="00483E42" w:rsidRPr="008F6F21">
        <w:t xml:space="preserve">retrospective </w:t>
      </w:r>
      <w:r w:rsidRPr="008F6F21">
        <w:t xml:space="preserve">observational </w:t>
      </w:r>
      <w:r w:rsidR="00483E42" w:rsidRPr="008F6F21">
        <w:t>analysis presented in the submission</w:t>
      </w:r>
      <w:r w:rsidR="001858BE" w:rsidRPr="008F6F21">
        <w:t>, and suggest</w:t>
      </w:r>
      <w:r w:rsidR="0098528A">
        <w:t>ed</w:t>
      </w:r>
      <w:r w:rsidR="001858BE" w:rsidRPr="008F6F21">
        <w:t xml:space="preserve"> that</w:t>
      </w:r>
      <w:r w:rsidRPr="008F6F21">
        <w:t xml:space="preserve"> nab-P </w:t>
      </w:r>
      <w:r w:rsidR="001858BE" w:rsidRPr="008F6F21">
        <w:t xml:space="preserve">may be inferior </w:t>
      </w:r>
      <w:r w:rsidRPr="008F6F21">
        <w:t>to paclitaxel</w:t>
      </w:r>
      <w:r w:rsidR="00483E42" w:rsidRPr="008F6F21">
        <w:t>.</w:t>
      </w:r>
      <w:r w:rsidR="00B20DEC" w:rsidRPr="008F6F21">
        <w:t xml:space="preserve"> </w:t>
      </w:r>
      <w:r w:rsidR="009E7B0A" w:rsidRPr="008F6F21">
        <w:t xml:space="preserve">The ESCs </w:t>
      </w:r>
      <w:r w:rsidR="005F6071" w:rsidRPr="008F6F21">
        <w:t xml:space="preserve">therefore </w:t>
      </w:r>
      <w:r w:rsidR="009E7B0A" w:rsidRPr="008F6F21">
        <w:t xml:space="preserve">considered that </w:t>
      </w:r>
      <w:r w:rsidR="005F6071" w:rsidRPr="008F6F21">
        <w:t xml:space="preserve">the </w:t>
      </w:r>
      <w:r w:rsidR="00172239">
        <w:t xml:space="preserve">nominated main </w:t>
      </w:r>
      <w:r w:rsidR="005F6071" w:rsidRPr="008F6F21">
        <w:t xml:space="preserve">comparator, </w:t>
      </w:r>
      <w:r w:rsidR="009E7B0A" w:rsidRPr="008F6F21">
        <w:t>nab-P</w:t>
      </w:r>
      <w:r w:rsidR="005F6071" w:rsidRPr="008F6F21">
        <w:t>,</w:t>
      </w:r>
      <w:r w:rsidR="009E7B0A" w:rsidRPr="008F6F21">
        <w:t xml:space="preserve"> may not </w:t>
      </w:r>
      <w:r w:rsidR="005F6071" w:rsidRPr="008F6F21">
        <w:t xml:space="preserve">be </w:t>
      </w:r>
      <w:r w:rsidR="009E7B0A" w:rsidRPr="008F6F21">
        <w:t>represent</w:t>
      </w:r>
      <w:r w:rsidR="005F6071" w:rsidRPr="008F6F21">
        <w:t>ative of</w:t>
      </w:r>
      <w:r w:rsidR="00F81F59" w:rsidRPr="008F6F21">
        <w:t xml:space="preserve"> </w:t>
      </w:r>
      <w:r w:rsidR="00C85E5F" w:rsidRPr="008F6F21">
        <w:t>the</w:t>
      </w:r>
      <w:r w:rsidR="009E7B0A" w:rsidRPr="008F6F21">
        <w:t xml:space="preserve"> </w:t>
      </w:r>
      <w:r w:rsidR="00DE7E6E" w:rsidRPr="008F6F21">
        <w:t xml:space="preserve">effectiveness of </w:t>
      </w:r>
      <w:r w:rsidR="009E7B0A" w:rsidRPr="008F6F21">
        <w:t>treatment with any taxane as assumed in the submission.</w:t>
      </w:r>
    </w:p>
    <w:p w:rsidR="00A5672C" w:rsidRPr="004E6F0A" w:rsidRDefault="00A5672C" w:rsidP="004E6F0A">
      <w:pPr>
        <w:rPr>
          <w:iCs/>
          <w:u w:val="single"/>
          <w:lang w:val="en-US"/>
        </w:rPr>
      </w:pPr>
      <w:r w:rsidRPr="004E6F0A">
        <w:rPr>
          <w:iCs/>
          <w:u w:val="single"/>
          <w:lang w:val="en-US"/>
        </w:rPr>
        <w:t>Patients who have received prior taxane therapy</w:t>
      </w:r>
    </w:p>
    <w:p w:rsidR="00827A84" w:rsidRPr="008F6F21" w:rsidRDefault="0094749C" w:rsidP="00443D41">
      <w:pPr>
        <w:pStyle w:val="ListParagraph"/>
        <w:rPr>
          <w:iCs/>
          <w:lang w:val="en-US"/>
        </w:rPr>
      </w:pPr>
      <w:r w:rsidRPr="006D388C">
        <w:rPr>
          <w:iCs/>
          <w:lang w:val="en-US"/>
        </w:rPr>
        <w:t xml:space="preserve">While the </w:t>
      </w:r>
      <w:r w:rsidR="00095E93" w:rsidRPr="006D388C">
        <w:rPr>
          <w:iCs/>
          <w:lang w:val="en-US"/>
        </w:rPr>
        <w:t>METIS data show</w:t>
      </w:r>
      <w:r w:rsidRPr="006D388C">
        <w:rPr>
          <w:iCs/>
          <w:lang w:val="en-US"/>
        </w:rPr>
        <w:t>s that</w:t>
      </w:r>
      <w:r w:rsidR="00095E93" w:rsidRPr="006D388C">
        <w:rPr>
          <w:iCs/>
          <w:lang w:val="en-US"/>
        </w:rPr>
        <w:t xml:space="preserve"> nab-</w:t>
      </w:r>
      <w:r w:rsidR="009E4664" w:rsidRPr="006D388C">
        <w:rPr>
          <w:iCs/>
          <w:lang w:val="en-US"/>
        </w:rPr>
        <w:t xml:space="preserve">P </w:t>
      </w:r>
      <w:r w:rsidR="00095E93" w:rsidRPr="006D388C">
        <w:rPr>
          <w:iCs/>
          <w:lang w:val="en-US"/>
        </w:rPr>
        <w:t xml:space="preserve">was the most common </w:t>
      </w:r>
      <w:r w:rsidR="00D06EDA">
        <w:rPr>
          <w:iCs/>
          <w:lang w:val="en-US"/>
        </w:rPr>
        <w:t>first-line</w:t>
      </w:r>
      <w:r w:rsidR="00095E93" w:rsidRPr="006D388C">
        <w:rPr>
          <w:iCs/>
          <w:lang w:val="en-US"/>
        </w:rPr>
        <w:t xml:space="preserve"> treatment for m</w:t>
      </w:r>
      <w:r w:rsidR="00EE0A1F">
        <w:rPr>
          <w:iCs/>
          <w:lang w:val="en-US"/>
        </w:rPr>
        <w:t xml:space="preserve">etastatic </w:t>
      </w:r>
      <w:r w:rsidR="00095E93" w:rsidRPr="006D388C">
        <w:rPr>
          <w:iCs/>
          <w:lang w:val="en-US"/>
        </w:rPr>
        <w:t>TNBC in patient</w:t>
      </w:r>
      <w:r w:rsidRPr="006D388C">
        <w:rPr>
          <w:iCs/>
          <w:lang w:val="en-US"/>
        </w:rPr>
        <w:t>s</w:t>
      </w:r>
      <w:r w:rsidR="00095E93" w:rsidRPr="006D388C">
        <w:rPr>
          <w:iCs/>
          <w:lang w:val="en-US"/>
        </w:rPr>
        <w:t xml:space="preserve"> </w:t>
      </w:r>
      <w:r w:rsidRPr="006D388C">
        <w:rPr>
          <w:iCs/>
          <w:lang w:val="en-US"/>
        </w:rPr>
        <w:t>regardless of whether they</w:t>
      </w:r>
      <w:r w:rsidR="00095E93" w:rsidRPr="006D388C">
        <w:rPr>
          <w:iCs/>
          <w:lang w:val="en-US"/>
        </w:rPr>
        <w:t xml:space="preserve"> receiv</w:t>
      </w:r>
      <w:r w:rsidR="000F55F1" w:rsidRPr="006D388C">
        <w:rPr>
          <w:iCs/>
          <w:lang w:val="en-US"/>
        </w:rPr>
        <w:t>ed prior anthracycline therapy</w:t>
      </w:r>
      <w:r w:rsidRPr="006D388C">
        <w:rPr>
          <w:iCs/>
          <w:lang w:val="en-US"/>
        </w:rPr>
        <w:t xml:space="preserve">, it </w:t>
      </w:r>
      <w:r w:rsidR="00095E93" w:rsidRPr="006D388C">
        <w:rPr>
          <w:iCs/>
          <w:lang w:val="en-US"/>
        </w:rPr>
        <w:t>may not be appropriate for those who had received prior taxane therapy. International gui</w:t>
      </w:r>
      <w:r w:rsidR="004A0E21" w:rsidRPr="006D388C">
        <w:rPr>
          <w:iCs/>
          <w:lang w:val="en-US"/>
        </w:rPr>
        <w:t>delines (ASCO</w:t>
      </w:r>
      <w:r w:rsidR="004A0E21" w:rsidRPr="006D388C">
        <w:rPr>
          <w:vertAlign w:val="superscript"/>
          <w:lang w:val="en-US"/>
        </w:rPr>
        <w:footnoteReference w:id="3"/>
      </w:r>
      <w:r w:rsidR="004A0E21" w:rsidRPr="006D388C">
        <w:rPr>
          <w:iCs/>
          <w:lang w:val="en-US"/>
        </w:rPr>
        <w:t>, AGO</w:t>
      </w:r>
      <w:r w:rsidR="004A0E21" w:rsidRPr="006D388C">
        <w:rPr>
          <w:vertAlign w:val="superscript"/>
          <w:lang w:val="en-US"/>
        </w:rPr>
        <w:footnoteReference w:id="4"/>
      </w:r>
      <w:r w:rsidR="004A0E21" w:rsidRPr="006D388C">
        <w:rPr>
          <w:iCs/>
          <w:lang w:val="en-US"/>
        </w:rPr>
        <w:t>, NCCN</w:t>
      </w:r>
      <w:r w:rsidR="004A0E21" w:rsidRPr="006D388C">
        <w:rPr>
          <w:vertAlign w:val="superscript"/>
          <w:lang w:val="en-US"/>
        </w:rPr>
        <w:footnoteReference w:id="5"/>
      </w:r>
      <w:r w:rsidR="004A0E21" w:rsidRPr="006D388C">
        <w:rPr>
          <w:iCs/>
          <w:lang w:val="en-US"/>
        </w:rPr>
        <w:t xml:space="preserve"> and ESMO</w:t>
      </w:r>
      <w:r w:rsidR="004A0E21" w:rsidRPr="006D388C">
        <w:rPr>
          <w:vertAlign w:val="superscript"/>
          <w:lang w:val="en-US"/>
        </w:rPr>
        <w:footnoteReference w:id="6"/>
      </w:r>
      <w:r w:rsidR="00095E93" w:rsidRPr="006D388C">
        <w:rPr>
          <w:iCs/>
          <w:lang w:val="en-US"/>
        </w:rPr>
        <w:t>) recommend avoiding re-challenging with a failed chemotherapy agent in the first-line m</w:t>
      </w:r>
      <w:r w:rsidR="00EE0A1F">
        <w:rPr>
          <w:iCs/>
          <w:lang w:val="en-US"/>
        </w:rPr>
        <w:t xml:space="preserve">etastatic </w:t>
      </w:r>
      <w:r w:rsidR="00095E93" w:rsidRPr="006D388C">
        <w:rPr>
          <w:iCs/>
          <w:lang w:val="en-US"/>
        </w:rPr>
        <w:t xml:space="preserve">TNBC setting. As such, patients who received </w:t>
      </w:r>
      <w:r w:rsidR="004A0E21" w:rsidRPr="006D388C">
        <w:rPr>
          <w:iCs/>
          <w:lang w:val="en-US"/>
        </w:rPr>
        <w:t>previous</w:t>
      </w:r>
      <w:r w:rsidR="00095E93" w:rsidRPr="006D388C">
        <w:rPr>
          <w:iCs/>
          <w:lang w:val="en-US"/>
        </w:rPr>
        <w:t xml:space="preserve"> taxane therapy in the (neo)adjuvant setting should</w:t>
      </w:r>
      <w:r w:rsidR="004A0E21" w:rsidRPr="006D388C">
        <w:rPr>
          <w:iCs/>
          <w:lang w:val="en-US"/>
        </w:rPr>
        <w:t xml:space="preserve"> not</w:t>
      </w:r>
      <w:r w:rsidR="00095E93" w:rsidRPr="006D388C">
        <w:rPr>
          <w:iCs/>
          <w:lang w:val="en-US"/>
        </w:rPr>
        <w:t xml:space="preserve"> receive </w:t>
      </w:r>
      <w:r w:rsidR="004A0E21" w:rsidRPr="006D388C">
        <w:rPr>
          <w:iCs/>
          <w:lang w:val="en-US"/>
        </w:rPr>
        <w:t>it again as first-line treatment in the metastatic setting</w:t>
      </w:r>
      <w:r w:rsidR="002F6857" w:rsidRPr="006D388C">
        <w:rPr>
          <w:iCs/>
          <w:lang w:val="en-US"/>
        </w:rPr>
        <w:t xml:space="preserve">. It should </w:t>
      </w:r>
      <w:r w:rsidR="002F6857" w:rsidRPr="006D388C">
        <w:rPr>
          <w:iCs/>
          <w:lang w:val="en-US"/>
        </w:rPr>
        <w:lastRenderedPageBreak/>
        <w:t>be noted that ESMO guidelines additionally state that</w:t>
      </w:r>
      <w:r w:rsidR="00172239">
        <w:rPr>
          <w:iCs/>
          <w:lang w:val="en-US"/>
        </w:rPr>
        <w:t>,</w:t>
      </w:r>
      <w:r w:rsidR="002F6857" w:rsidRPr="006D388C">
        <w:rPr>
          <w:iCs/>
          <w:lang w:val="en-US"/>
        </w:rPr>
        <w:t xml:space="preserve"> if given in the adjuvant setting, </w:t>
      </w:r>
      <w:r w:rsidR="00F777B8">
        <w:rPr>
          <w:iCs/>
          <w:lang w:val="en-US"/>
        </w:rPr>
        <w:t xml:space="preserve">the preferred single-agent therapies are capecitabine or vinorelbine or eribulin, however </w:t>
      </w:r>
      <w:r w:rsidR="002F6857" w:rsidRPr="006D388C">
        <w:rPr>
          <w:iCs/>
          <w:lang w:val="en-US"/>
        </w:rPr>
        <w:t xml:space="preserve">a taxane and anthracycline may be re-used as </w:t>
      </w:r>
      <w:r w:rsidR="00D06EDA">
        <w:rPr>
          <w:iCs/>
          <w:lang w:val="en-US"/>
        </w:rPr>
        <w:t>first-line</w:t>
      </w:r>
      <w:r w:rsidR="002F6857" w:rsidRPr="006D388C">
        <w:rPr>
          <w:iCs/>
          <w:lang w:val="en-US"/>
        </w:rPr>
        <w:t xml:space="preserve"> therapy in the advanced TNBC setting, particularly if there has been at least one year of disease-free survival</w:t>
      </w:r>
      <w:r w:rsidR="00BC7404" w:rsidRPr="006D388C">
        <w:rPr>
          <w:iCs/>
          <w:lang w:val="en-US"/>
        </w:rPr>
        <w:t>.</w:t>
      </w:r>
      <w:r w:rsidR="00965E50">
        <w:rPr>
          <w:iCs/>
          <w:lang w:val="en-US"/>
        </w:rPr>
        <w:t xml:space="preserve"> </w:t>
      </w:r>
      <w:r w:rsidR="00FC72DD" w:rsidRPr="008F6F21">
        <w:rPr>
          <w:iCs/>
          <w:lang w:val="en-US"/>
        </w:rPr>
        <w:t>The ESC</w:t>
      </w:r>
      <w:r w:rsidR="00253A24">
        <w:rPr>
          <w:iCs/>
          <w:lang w:val="en-US"/>
        </w:rPr>
        <w:t>s</w:t>
      </w:r>
      <w:r w:rsidR="00965E50" w:rsidRPr="008F6F21">
        <w:rPr>
          <w:color w:val="auto"/>
        </w:rPr>
        <w:t xml:space="preserve"> </w:t>
      </w:r>
      <w:r w:rsidR="00B4773E" w:rsidRPr="008F6F21">
        <w:rPr>
          <w:color w:val="auto"/>
        </w:rPr>
        <w:t xml:space="preserve">noted that the majority of </w:t>
      </w:r>
      <w:r w:rsidR="002213C5" w:rsidRPr="008F6F21">
        <w:rPr>
          <w:color w:val="auto"/>
        </w:rPr>
        <w:t xml:space="preserve">Australian </w:t>
      </w:r>
      <w:r w:rsidR="00B4773E" w:rsidRPr="008F6F21">
        <w:rPr>
          <w:color w:val="auto"/>
        </w:rPr>
        <w:t xml:space="preserve">TNBC patients who relapse will do so after receiving an anthracycline and taxane combination regimen. The ESCs </w:t>
      </w:r>
      <w:r w:rsidR="00965E50" w:rsidRPr="008F6F21">
        <w:rPr>
          <w:color w:val="auto"/>
        </w:rPr>
        <w:t xml:space="preserve">reiterated that taxane therapy would not </w:t>
      </w:r>
      <w:r w:rsidR="00F75EF5" w:rsidRPr="008F6F21">
        <w:rPr>
          <w:color w:val="auto"/>
        </w:rPr>
        <w:t xml:space="preserve">generally </w:t>
      </w:r>
      <w:r w:rsidR="00965E50" w:rsidRPr="008F6F21">
        <w:rPr>
          <w:color w:val="auto"/>
        </w:rPr>
        <w:t xml:space="preserve">represent </w:t>
      </w:r>
      <w:r w:rsidR="00C63101" w:rsidRPr="008F6F21">
        <w:rPr>
          <w:color w:val="auto"/>
        </w:rPr>
        <w:t>the preferred</w:t>
      </w:r>
      <w:r w:rsidR="00F75EF5" w:rsidRPr="008F6F21">
        <w:rPr>
          <w:color w:val="auto"/>
        </w:rPr>
        <w:t xml:space="preserve"> </w:t>
      </w:r>
      <w:r w:rsidR="00965E50" w:rsidRPr="008F6F21">
        <w:rPr>
          <w:color w:val="auto"/>
        </w:rPr>
        <w:t>first-line therapy for patients who had progressed after prior taxane-based therapy</w:t>
      </w:r>
      <w:r w:rsidR="00204532" w:rsidRPr="008F6F21">
        <w:rPr>
          <w:rStyle w:val="FootnoteReference"/>
          <w:color w:val="auto"/>
        </w:rPr>
        <w:footnoteReference w:id="7"/>
      </w:r>
      <w:r w:rsidR="00965E50" w:rsidRPr="008F6F21">
        <w:rPr>
          <w:color w:val="auto"/>
        </w:rPr>
        <w:t>.</w:t>
      </w:r>
    </w:p>
    <w:p w:rsidR="00A5672C" w:rsidRPr="004E6F0A" w:rsidRDefault="00A5672C" w:rsidP="004E6F0A">
      <w:pPr>
        <w:rPr>
          <w:iCs/>
          <w:u w:val="single"/>
          <w:lang w:val="en-US"/>
        </w:rPr>
      </w:pPr>
      <w:r w:rsidRPr="004E6F0A">
        <w:rPr>
          <w:iCs/>
          <w:u w:val="single"/>
          <w:lang w:val="en-US"/>
        </w:rPr>
        <w:t>Treatment</w:t>
      </w:r>
      <w:r w:rsidR="00172239">
        <w:rPr>
          <w:iCs/>
          <w:u w:val="single"/>
          <w:lang w:val="en-US"/>
        </w:rPr>
        <w:t>-</w:t>
      </w:r>
      <w:r w:rsidRPr="004E6F0A">
        <w:rPr>
          <w:iCs/>
          <w:u w:val="single"/>
          <w:lang w:val="en-US"/>
        </w:rPr>
        <w:t>naive patients</w:t>
      </w:r>
    </w:p>
    <w:p w:rsidR="00443D41" w:rsidRPr="008F6F21" w:rsidRDefault="00FC72DD" w:rsidP="00443D41">
      <w:pPr>
        <w:pStyle w:val="ListParagraph"/>
        <w:rPr>
          <w:iCs/>
          <w:lang w:val="en-US"/>
        </w:rPr>
      </w:pPr>
      <w:r w:rsidRPr="008F6F21">
        <w:rPr>
          <w:iCs/>
          <w:lang w:val="en-US"/>
        </w:rPr>
        <w:t xml:space="preserve">The ESCs noted that </w:t>
      </w:r>
      <w:r w:rsidRPr="00172239">
        <w:rPr>
          <w:i/>
          <w:iCs/>
          <w:lang w:val="en-US"/>
        </w:rPr>
        <w:t>de novo</w:t>
      </w:r>
      <w:r w:rsidRPr="008F6F21">
        <w:rPr>
          <w:iCs/>
          <w:lang w:val="en-US"/>
        </w:rPr>
        <w:t xml:space="preserve"> m</w:t>
      </w:r>
      <w:r w:rsidR="00EE0A1F" w:rsidRPr="008F6F21">
        <w:rPr>
          <w:iCs/>
          <w:lang w:val="en-US"/>
        </w:rPr>
        <w:t xml:space="preserve">etastatic </w:t>
      </w:r>
      <w:r w:rsidRPr="008F6F21">
        <w:rPr>
          <w:iCs/>
          <w:lang w:val="en-US"/>
        </w:rPr>
        <w:t>TNBC patients accounted for 25% of the ITT population in the key trial. These patients would be treatment naive</w:t>
      </w:r>
      <w:r w:rsidR="00F75EF5" w:rsidRPr="008F6F21">
        <w:rPr>
          <w:iCs/>
          <w:lang w:val="en-US"/>
        </w:rPr>
        <w:t>;</w:t>
      </w:r>
      <w:r w:rsidRPr="008F6F21">
        <w:rPr>
          <w:iCs/>
          <w:lang w:val="en-US"/>
        </w:rPr>
        <w:t xml:space="preserve"> patients who have not received prior anthracycline therapy </w:t>
      </w:r>
      <w:r w:rsidR="005F6071" w:rsidRPr="008F6F21">
        <w:rPr>
          <w:iCs/>
          <w:lang w:val="en-US"/>
        </w:rPr>
        <w:t>are likely to</w:t>
      </w:r>
      <w:r w:rsidRPr="008F6F21">
        <w:rPr>
          <w:iCs/>
          <w:lang w:val="en-US"/>
        </w:rPr>
        <w:t xml:space="preserve"> receive an anthracycline-</w:t>
      </w:r>
      <w:r w:rsidR="00827A84" w:rsidRPr="008F6F21">
        <w:rPr>
          <w:iCs/>
          <w:lang w:val="en-US"/>
        </w:rPr>
        <w:t xml:space="preserve">containing </w:t>
      </w:r>
      <w:r w:rsidR="00C63101" w:rsidRPr="008F6F21">
        <w:rPr>
          <w:iCs/>
          <w:lang w:val="en-US"/>
        </w:rPr>
        <w:t>regimen</w:t>
      </w:r>
      <w:r w:rsidR="00827A84" w:rsidRPr="008F6F21">
        <w:rPr>
          <w:iCs/>
          <w:lang w:val="en-US"/>
        </w:rPr>
        <w:t xml:space="preserve"> in the first-</w:t>
      </w:r>
      <w:r w:rsidRPr="008F6F21">
        <w:rPr>
          <w:iCs/>
          <w:lang w:val="en-US"/>
        </w:rPr>
        <w:t>line m</w:t>
      </w:r>
      <w:r w:rsidR="00EE0A1F" w:rsidRPr="008F6F21">
        <w:rPr>
          <w:iCs/>
          <w:lang w:val="en-US"/>
        </w:rPr>
        <w:t xml:space="preserve">etastatic </w:t>
      </w:r>
      <w:r w:rsidRPr="008F6F21">
        <w:rPr>
          <w:iCs/>
          <w:lang w:val="en-US"/>
        </w:rPr>
        <w:t>TNBC setting.</w:t>
      </w:r>
    </w:p>
    <w:p w:rsidR="00254871" w:rsidRPr="006D388C" w:rsidRDefault="00254871" w:rsidP="00AD645F">
      <w:pPr>
        <w:pStyle w:val="ListParagraph"/>
        <w:numPr>
          <w:ilvl w:val="4"/>
          <w:numId w:val="19"/>
        </w:numPr>
        <w:rPr>
          <w:iCs/>
          <w:lang w:val="en-US"/>
        </w:rPr>
      </w:pPr>
      <w:r w:rsidRPr="006D388C">
        <w:rPr>
          <w:iCs/>
          <w:lang w:val="en-US"/>
        </w:rPr>
        <w:t>In patients who have</w:t>
      </w:r>
      <w:r w:rsidR="003B089F" w:rsidRPr="006D388C">
        <w:rPr>
          <w:iCs/>
          <w:lang w:val="en-US"/>
        </w:rPr>
        <w:t xml:space="preserve"> </w:t>
      </w:r>
      <w:r w:rsidR="00C63101" w:rsidRPr="00172239">
        <w:rPr>
          <w:i/>
          <w:iCs/>
          <w:lang w:val="en-US"/>
        </w:rPr>
        <w:t>de novo</w:t>
      </w:r>
      <w:r w:rsidR="00C63101">
        <w:rPr>
          <w:iCs/>
          <w:lang w:val="en-US"/>
        </w:rPr>
        <w:t xml:space="preserve"> (</w:t>
      </w:r>
      <w:r w:rsidR="00F75EF5">
        <w:rPr>
          <w:iCs/>
          <w:lang w:val="en-US"/>
        </w:rPr>
        <w:t>treatment</w:t>
      </w:r>
      <w:r w:rsidR="00172239">
        <w:rPr>
          <w:iCs/>
          <w:lang w:val="en-US"/>
        </w:rPr>
        <w:t>-</w:t>
      </w:r>
      <w:r w:rsidR="00F75EF5">
        <w:rPr>
          <w:iCs/>
          <w:lang w:val="en-US"/>
        </w:rPr>
        <w:t>naïve</w:t>
      </w:r>
      <w:r w:rsidR="00C63101">
        <w:rPr>
          <w:iCs/>
          <w:lang w:val="en-US"/>
        </w:rPr>
        <w:t>)</w:t>
      </w:r>
      <w:r w:rsidRPr="006D388C">
        <w:rPr>
          <w:iCs/>
          <w:lang w:val="en-US"/>
        </w:rPr>
        <w:t xml:space="preserve"> locally advanced, non-inflammatory, unresectable TNBC, guidelines recommend neoadjuvant chemotherapy with a goal of rendering the tumour resectable and potentially achieving a pathological complete response</w:t>
      </w:r>
      <w:r w:rsidR="00054FFB" w:rsidRPr="006D388C">
        <w:rPr>
          <w:rStyle w:val="FootnoteReference"/>
          <w:iCs/>
          <w:lang w:val="en-US"/>
        </w:rPr>
        <w:footnoteReference w:id="8"/>
      </w:r>
      <w:r w:rsidRPr="006D388C">
        <w:rPr>
          <w:iCs/>
          <w:lang w:val="en-US"/>
        </w:rPr>
        <w:t>.</w:t>
      </w:r>
      <w:r w:rsidR="009E4664" w:rsidRPr="006D388C">
        <w:rPr>
          <w:iCs/>
          <w:lang w:val="en-US"/>
        </w:rPr>
        <w:t xml:space="preserve"> Nab-P is not PBS listed for this population.</w:t>
      </w:r>
      <w:r w:rsidR="006C44BB">
        <w:rPr>
          <w:iCs/>
          <w:lang w:val="en-US"/>
        </w:rPr>
        <w:t xml:space="preserve"> </w:t>
      </w:r>
      <w:r w:rsidR="006C44BB" w:rsidRPr="008F6F21">
        <w:rPr>
          <w:iCs/>
          <w:lang w:val="en-US"/>
        </w:rPr>
        <w:t xml:space="preserve">The </w:t>
      </w:r>
      <w:r w:rsidR="00AF5DAE">
        <w:rPr>
          <w:iCs/>
          <w:lang w:val="en-US"/>
        </w:rPr>
        <w:t>Pre-Sub-Committee Response (</w:t>
      </w:r>
      <w:r w:rsidR="006C44BB" w:rsidRPr="008F6F21">
        <w:rPr>
          <w:iCs/>
          <w:lang w:val="en-US"/>
        </w:rPr>
        <w:t>PSCR</w:t>
      </w:r>
      <w:r w:rsidR="00AF5DAE">
        <w:rPr>
          <w:iCs/>
          <w:lang w:val="en-US"/>
        </w:rPr>
        <w:t>)</w:t>
      </w:r>
      <w:r w:rsidR="006C44BB" w:rsidRPr="008F6F21">
        <w:rPr>
          <w:iCs/>
          <w:lang w:val="en-US"/>
        </w:rPr>
        <w:t xml:space="preserve"> </w:t>
      </w:r>
      <w:r w:rsidR="00F777B8">
        <w:rPr>
          <w:iCs/>
          <w:lang w:val="en-US"/>
        </w:rPr>
        <w:t>stated</w:t>
      </w:r>
      <w:r w:rsidR="00F777B8" w:rsidRPr="008F6F21">
        <w:rPr>
          <w:iCs/>
          <w:lang w:val="en-US"/>
        </w:rPr>
        <w:t xml:space="preserve"> </w:t>
      </w:r>
      <w:r w:rsidR="006C44BB" w:rsidRPr="008F6F21">
        <w:rPr>
          <w:rFonts w:ascii="Calibri" w:hAnsi="Calibri" w:cs="Calibri"/>
          <w:color w:val="000000"/>
          <w:lang w:eastAsia="zh-CN"/>
        </w:rPr>
        <w:t>this patient group is estimated to represent &lt;10% of the total population.</w:t>
      </w:r>
    </w:p>
    <w:p w:rsidR="00792893" w:rsidRPr="00C63101" w:rsidRDefault="00F75EF5" w:rsidP="00AD645F">
      <w:pPr>
        <w:pStyle w:val="ListParagraph"/>
        <w:numPr>
          <w:ilvl w:val="4"/>
          <w:numId w:val="19"/>
        </w:numPr>
        <w:rPr>
          <w:iCs/>
          <w:lang w:val="en-US"/>
        </w:rPr>
      </w:pPr>
      <w:r w:rsidRPr="00C63101">
        <w:rPr>
          <w:iCs/>
          <w:lang w:val="en-US"/>
        </w:rPr>
        <w:t>The commentary considered that</w:t>
      </w:r>
      <w:r w:rsidR="00172239">
        <w:rPr>
          <w:iCs/>
          <w:lang w:val="en-US"/>
        </w:rPr>
        <w:t>,</w:t>
      </w:r>
      <w:r w:rsidRPr="00C63101">
        <w:rPr>
          <w:iCs/>
          <w:lang w:val="en-US"/>
        </w:rPr>
        <w:t xml:space="preserve"> </w:t>
      </w:r>
      <w:r w:rsidR="00792893" w:rsidRPr="00C63101">
        <w:rPr>
          <w:iCs/>
          <w:lang w:val="en-US"/>
        </w:rPr>
        <w:t>for patients with advanced breast cancer who have had little or no previous exposure to chemotherapy and few comorbidities</w:t>
      </w:r>
      <w:r w:rsidR="00172239">
        <w:rPr>
          <w:iCs/>
          <w:lang w:val="en-US"/>
        </w:rPr>
        <w:t>,</w:t>
      </w:r>
      <w:r w:rsidR="0094749C" w:rsidRPr="00C63101">
        <w:rPr>
          <w:iCs/>
          <w:lang w:val="en-US"/>
        </w:rPr>
        <w:t xml:space="preserve"> Australian guidelines recommend combination chemotherapy</w:t>
      </w:r>
      <w:r w:rsidR="00EB58FB" w:rsidRPr="00C63101">
        <w:rPr>
          <w:iCs/>
          <w:lang w:val="en-US"/>
        </w:rPr>
        <w:t>, reserving sequential single-agent chemotherapy (such as nab-P alone) for patients with previous exposure to chemotherapy or significant co-morbidities (e.g. ECOG &gt;1)</w:t>
      </w:r>
      <w:r w:rsidR="00792893" w:rsidRPr="006D388C">
        <w:rPr>
          <w:vertAlign w:val="superscript"/>
          <w:lang w:val="en-US"/>
        </w:rPr>
        <w:footnoteReference w:id="9"/>
      </w:r>
      <w:r w:rsidR="00792893" w:rsidRPr="00C63101">
        <w:rPr>
          <w:iCs/>
          <w:lang w:val="en-US"/>
        </w:rPr>
        <w:t>.</w:t>
      </w:r>
      <w:r w:rsidR="00EB58FB" w:rsidRPr="00C63101">
        <w:rPr>
          <w:iCs/>
          <w:lang w:val="en-US"/>
        </w:rPr>
        <w:t xml:space="preserve"> As such, treating chemotherapy-naïve, ECOG &lt;2 patients with nab-P monotherapy represents an inferior treatment strategy</w:t>
      </w:r>
      <w:r w:rsidR="00EB58FB" w:rsidRPr="00C63101">
        <w:rPr>
          <w:i/>
          <w:iCs/>
          <w:lang w:val="en-US"/>
        </w:rPr>
        <w:t>.</w:t>
      </w:r>
      <w:r w:rsidR="00886615" w:rsidRPr="00C63101">
        <w:rPr>
          <w:i/>
          <w:iCs/>
          <w:lang w:val="en-US"/>
        </w:rPr>
        <w:t xml:space="preserve"> </w:t>
      </w:r>
      <w:r w:rsidR="00886615" w:rsidRPr="008F6F21">
        <w:rPr>
          <w:color w:val="auto"/>
        </w:rPr>
        <w:t xml:space="preserve">The PSCR </w:t>
      </w:r>
      <w:r w:rsidR="007924A5" w:rsidRPr="008F6F21">
        <w:rPr>
          <w:color w:val="auto"/>
        </w:rPr>
        <w:t>noted</w:t>
      </w:r>
      <w:r w:rsidR="00886615" w:rsidRPr="008F6F21">
        <w:rPr>
          <w:color w:val="auto"/>
        </w:rPr>
        <w:t xml:space="preserve"> that</w:t>
      </w:r>
      <w:r w:rsidR="00172239">
        <w:rPr>
          <w:color w:val="auto"/>
        </w:rPr>
        <w:t>,</w:t>
      </w:r>
      <w:r w:rsidR="00886615" w:rsidRPr="008F6F21">
        <w:rPr>
          <w:color w:val="auto"/>
        </w:rPr>
        <w:t xml:space="preserve"> for metastatic disease</w:t>
      </w:r>
      <w:r w:rsidR="00172239">
        <w:rPr>
          <w:color w:val="auto"/>
        </w:rPr>
        <w:t>,</w:t>
      </w:r>
      <w:r w:rsidR="00886615" w:rsidRPr="008F6F21">
        <w:rPr>
          <w:color w:val="auto"/>
        </w:rPr>
        <w:t xml:space="preserve"> combination chemotherapy did not confer any survival benefit over single agent therapy</w:t>
      </w:r>
      <w:r w:rsidR="007924A5" w:rsidRPr="008F6F21">
        <w:rPr>
          <w:rStyle w:val="FootnoteReference"/>
          <w:color w:val="auto"/>
        </w:rPr>
        <w:footnoteReference w:id="10"/>
      </w:r>
      <w:r w:rsidR="00886615" w:rsidRPr="008F6F21">
        <w:rPr>
          <w:color w:val="auto"/>
        </w:rPr>
        <w:t xml:space="preserve"> and was </w:t>
      </w:r>
      <w:r w:rsidR="00DD0EBF">
        <w:rPr>
          <w:color w:val="auto"/>
        </w:rPr>
        <w:t xml:space="preserve">not </w:t>
      </w:r>
      <w:r w:rsidR="00886615" w:rsidRPr="008F6F21">
        <w:rPr>
          <w:color w:val="auto"/>
        </w:rPr>
        <w:t>unequivocally recommended. The ESC</w:t>
      </w:r>
      <w:r w:rsidR="007924A5" w:rsidRPr="008F6F21">
        <w:rPr>
          <w:color w:val="auto"/>
        </w:rPr>
        <w:t>s</w:t>
      </w:r>
      <w:r w:rsidR="00886615" w:rsidRPr="008F6F21">
        <w:rPr>
          <w:color w:val="auto"/>
        </w:rPr>
        <w:t xml:space="preserve"> </w:t>
      </w:r>
      <w:r w:rsidR="007924A5" w:rsidRPr="008F6F21">
        <w:rPr>
          <w:color w:val="auto"/>
        </w:rPr>
        <w:t>considered</w:t>
      </w:r>
      <w:r w:rsidR="00886615" w:rsidRPr="008F6F21">
        <w:rPr>
          <w:color w:val="auto"/>
        </w:rPr>
        <w:t xml:space="preserve"> that combination chemotherapy may still be used in some circumstances</w:t>
      </w:r>
      <w:r w:rsidR="007924A5" w:rsidRPr="008F6F21">
        <w:rPr>
          <w:color w:val="auto"/>
        </w:rPr>
        <w:t>,</w:t>
      </w:r>
      <w:r w:rsidR="00886615" w:rsidRPr="008F6F21">
        <w:rPr>
          <w:color w:val="auto"/>
        </w:rPr>
        <w:t xml:space="preserve"> including </w:t>
      </w:r>
      <w:r w:rsidR="002F6C66" w:rsidRPr="008F6F21">
        <w:rPr>
          <w:color w:val="auto"/>
        </w:rPr>
        <w:t xml:space="preserve">in </w:t>
      </w:r>
      <w:r w:rsidR="00886615" w:rsidRPr="008F6F21">
        <w:rPr>
          <w:color w:val="auto"/>
        </w:rPr>
        <w:t>non-metastatic disease</w:t>
      </w:r>
      <w:r w:rsidR="007924A5" w:rsidRPr="008F6F21">
        <w:rPr>
          <w:color w:val="auto"/>
        </w:rPr>
        <w:t>.</w:t>
      </w:r>
      <w:r w:rsidR="00C63101" w:rsidRPr="008F6F21">
        <w:rPr>
          <w:color w:val="auto"/>
        </w:rPr>
        <w:t xml:space="preserve"> As outlined above, the ESC</w:t>
      </w:r>
      <w:r w:rsidR="00A67BC3" w:rsidRPr="008F6F21">
        <w:rPr>
          <w:color w:val="auto"/>
        </w:rPr>
        <w:t>s</w:t>
      </w:r>
      <w:r w:rsidR="00C63101" w:rsidRPr="008F6F21">
        <w:rPr>
          <w:color w:val="auto"/>
        </w:rPr>
        <w:t xml:space="preserve"> considered that anthracycline-based regimens are </w:t>
      </w:r>
      <w:r w:rsidR="00A20630" w:rsidRPr="008F6F21">
        <w:rPr>
          <w:color w:val="auto"/>
        </w:rPr>
        <w:t xml:space="preserve">generally </w:t>
      </w:r>
      <w:r w:rsidR="00C63101" w:rsidRPr="008F6F21">
        <w:rPr>
          <w:color w:val="auto"/>
        </w:rPr>
        <w:t xml:space="preserve">the preferred treatment for </w:t>
      </w:r>
      <w:r w:rsidR="00C63101" w:rsidRPr="00172239">
        <w:rPr>
          <w:i/>
          <w:color w:val="auto"/>
        </w:rPr>
        <w:t>de novo</w:t>
      </w:r>
      <w:r w:rsidR="00C63101" w:rsidRPr="008F6F21">
        <w:rPr>
          <w:color w:val="auto"/>
        </w:rPr>
        <w:t xml:space="preserve"> metastatic disease.</w:t>
      </w:r>
    </w:p>
    <w:p w:rsidR="00A5672C" w:rsidRPr="004E6F0A" w:rsidRDefault="00A5672C" w:rsidP="00751BA8">
      <w:pPr>
        <w:keepNext/>
        <w:rPr>
          <w:iCs/>
          <w:u w:val="single"/>
          <w:lang w:val="en-US"/>
        </w:rPr>
      </w:pPr>
      <w:r w:rsidRPr="004E6F0A">
        <w:rPr>
          <w:iCs/>
          <w:u w:val="single"/>
          <w:lang w:val="en-US"/>
        </w:rPr>
        <w:lastRenderedPageBreak/>
        <w:t>Patients with BRCA1/2 deleterious mutations</w:t>
      </w:r>
    </w:p>
    <w:p w:rsidR="00F75EF5" w:rsidRPr="006D388C" w:rsidRDefault="00F75EF5" w:rsidP="00751BA8">
      <w:pPr>
        <w:pStyle w:val="ListParagraph"/>
        <w:keepNext/>
        <w:numPr>
          <w:ilvl w:val="4"/>
          <w:numId w:val="19"/>
        </w:numPr>
        <w:rPr>
          <w:iCs/>
          <w:lang w:val="en-US"/>
        </w:rPr>
      </w:pPr>
      <w:r w:rsidRPr="006D388C">
        <w:rPr>
          <w:iCs/>
          <w:lang w:val="en-US"/>
        </w:rPr>
        <w:t xml:space="preserve">For patients with BRCA1/2 deleterious mutations, all updated international guidelines (AGO, ESMO, NCCN) recommend platinum-containing chemotherapy regimens if not previously administered. As such, taxane monotherapy may represent an inappropriate comparator in this patient population. There is an ongoing phase III clinical trial, IMpassion132 [NCT03371017] exploring the role of atezolizumab in combination with platinum-containing regimens, with estimated primary completion date 1st January, 2023. </w:t>
      </w:r>
      <w:r w:rsidRPr="008F6F21">
        <w:rPr>
          <w:iCs/>
          <w:lang w:val="en-US"/>
        </w:rPr>
        <w:t xml:space="preserve">The PSCR </w:t>
      </w:r>
      <w:r w:rsidR="00F777B8">
        <w:rPr>
          <w:iCs/>
          <w:lang w:val="en-US"/>
        </w:rPr>
        <w:t>stated</w:t>
      </w:r>
      <w:r w:rsidR="00F777B8" w:rsidRPr="008F6F21">
        <w:rPr>
          <w:iCs/>
          <w:lang w:val="en-US"/>
        </w:rPr>
        <w:t xml:space="preserve"> </w:t>
      </w:r>
      <w:r w:rsidRPr="008F6F21">
        <w:rPr>
          <w:rFonts w:ascii="Calibri" w:hAnsi="Calibri" w:cs="Calibri"/>
          <w:color w:val="000000"/>
          <w:lang w:eastAsia="zh-CN"/>
        </w:rPr>
        <w:t>BRCA</w:t>
      </w:r>
      <w:r w:rsidR="00B27804">
        <w:rPr>
          <w:rFonts w:ascii="Calibri" w:hAnsi="Calibri" w:cs="Calibri"/>
          <w:color w:val="000000"/>
          <w:lang w:eastAsia="zh-CN"/>
        </w:rPr>
        <w:t>-</w:t>
      </w:r>
      <w:r w:rsidRPr="008F6F21">
        <w:rPr>
          <w:rFonts w:ascii="Calibri" w:hAnsi="Calibri" w:cs="Calibri"/>
          <w:color w:val="000000"/>
          <w:lang w:eastAsia="zh-CN"/>
        </w:rPr>
        <w:t>mutated patients are expected to represent &lt;10% of the proposed PBS population.</w:t>
      </w:r>
    </w:p>
    <w:p w:rsidR="00A5672C" w:rsidRPr="004E6F0A" w:rsidRDefault="00A5672C" w:rsidP="004E6F0A">
      <w:pPr>
        <w:rPr>
          <w:color w:val="auto"/>
          <w:u w:val="single"/>
        </w:rPr>
      </w:pPr>
      <w:r w:rsidRPr="004E6F0A">
        <w:rPr>
          <w:color w:val="auto"/>
          <w:u w:val="single"/>
        </w:rPr>
        <w:t>Overall</w:t>
      </w:r>
    </w:p>
    <w:p w:rsidR="00095E93" w:rsidRPr="0087572F" w:rsidRDefault="00095E93" w:rsidP="00AD645F">
      <w:pPr>
        <w:pStyle w:val="ListParagraph"/>
        <w:numPr>
          <w:ilvl w:val="4"/>
          <w:numId w:val="19"/>
        </w:numPr>
        <w:rPr>
          <w:color w:val="auto"/>
        </w:rPr>
      </w:pPr>
      <w:r w:rsidRPr="006D388C">
        <w:rPr>
          <w:iCs/>
          <w:lang w:val="en-US"/>
        </w:rPr>
        <w:t xml:space="preserve">This heterogeneous population requires treatments tailored to patient characteristics and treatment history. </w:t>
      </w:r>
      <w:r w:rsidR="002D46F2" w:rsidRPr="006D388C">
        <w:rPr>
          <w:iCs/>
          <w:lang w:val="en-US"/>
        </w:rPr>
        <w:t>T</w:t>
      </w:r>
      <w:r w:rsidRPr="006D388C">
        <w:rPr>
          <w:iCs/>
          <w:lang w:val="en-US"/>
        </w:rPr>
        <w:t>he most appropriate comparator would be the therapy deemed most appropriate by physician choice.</w:t>
      </w:r>
      <w:r w:rsidR="00F8289C" w:rsidRPr="006D388C">
        <w:rPr>
          <w:iCs/>
          <w:lang w:val="en-US"/>
        </w:rPr>
        <w:t xml:space="preserve"> This would be consistent with the MSAC PICO Advisory </w:t>
      </w:r>
      <w:r w:rsidR="00B27804">
        <w:rPr>
          <w:iCs/>
          <w:lang w:val="en-US"/>
        </w:rPr>
        <w:t>Sub-</w:t>
      </w:r>
      <w:r w:rsidR="00F8289C" w:rsidRPr="006D388C">
        <w:rPr>
          <w:iCs/>
          <w:lang w:val="en-US"/>
        </w:rPr>
        <w:t>Committee, which no</w:t>
      </w:r>
      <w:r w:rsidR="00F8289C" w:rsidRPr="0087572F">
        <w:rPr>
          <w:iCs/>
          <w:color w:val="auto"/>
          <w:lang w:val="en-US"/>
        </w:rPr>
        <w:t>minated the appropriate comparator as standard of care.</w:t>
      </w:r>
    </w:p>
    <w:p w:rsidR="00827A84" w:rsidRPr="005420F5" w:rsidRDefault="00443D41" w:rsidP="004D0CEB">
      <w:pPr>
        <w:pStyle w:val="ListParagraph"/>
        <w:numPr>
          <w:ilvl w:val="4"/>
          <w:numId w:val="19"/>
        </w:numPr>
      </w:pPr>
      <w:r w:rsidRPr="004D0CEB">
        <w:rPr>
          <w:iCs/>
          <w:lang w:val="en-US"/>
        </w:rPr>
        <w:t xml:space="preserve">The ESCs </w:t>
      </w:r>
      <w:r w:rsidR="00FC72DD" w:rsidRPr="004D0CEB">
        <w:rPr>
          <w:iCs/>
          <w:lang w:val="en-US"/>
        </w:rPr>
        <w:t xml:space="preserve">agreed with the commentary </w:t>
      </w:r>
      <w:r w:rsidR="00827A84" w:rsidRPr="00F05934">
        <w:rPr>
          <w:iCs/>
          <w:lang w:val="en-US"/>
        </w:rPr>
        <w:t xml:space="preserve">that </w:t>
      </w:r>
      <w:r w:rsidR="00827A84" w:rsidRPr="00F05934">
        <w:rPr>
          <w:lang w:val="en-US"/>
        </w:rPr>
        <w:t>nab-P may not represent optimal evidence-based treatment in the majority of the proposed population, including:</w:t>
      </w:r>
    </w:p>
    <w:p w:rsidR="00827A84" w:rsidRPr="008F6F21" w:rsidRDefault="00827A84" w:rsidP="00751BA8">
      <w:pPr>
        <w:pStyle w:val="PBACESParagraphBulletPoint"/>
        <w:spacing w:before="0"/>
        <w:ind w:left="1077" w:hanging="357"/>
        <w:contextualSpacing/>
        <w:rPr>
          <w:color w:val="auto"/>
        </w:rPr>
      </w:pPr>
      <w:r w:rsidRPr="008F6F21">
        <w:rPr>
          <w:color w:val="auto"/>
          <w:lang w:val="en-US"/>
        </w:rPr>
        <w:t>patients who have received previous taxane therapy;</w:t>
      </w:r>
    </w:p>
    <w:p w:rsidR="00A20630" w:rsidRPr="008F6F21" w:rsidRDefault="00827A84" w:rsidP="00751BA8">
      <w:pPr>
        <w:pStyle w:val="PBACESParagraphBulletPoint"/>
        <w:spacing w:before="0"/>
        <w:ind w:left="1077" w:hanging="357"/>
        <w:contextualSpacing/>
        <w:rPr>
          <w:color w:val="auto"/>
        </w:rPr>
      </w:pPr>
      <w:r w:rsidRPr="008F6F21">
        <w:rPr>
          <w:color w:val="auto"/>
          <w:lang w:val="en-US"/>
        </w:rPr>
        <w:t>patients who are chemotherapy naïve</w:t>
      </w:r>
      <w:r w:rsidR="00A20630" w:rsidRPr="008F6F21">
        <w:rPr>
          <w:color w:val="auto"/>
          <w:lang w:val="en-US"/>
        </w:rPr>
        <w:t xml:space="preserve">, including those with </w:t>
      </w:r>
      <w:r w:rsidR="00A20630" w:rsidRPr="00172239">
        <w:rPr>
          <w:i/>
          <w:color w:val="auto"/>
          <w:lang w:val="en-US"/>
        </w:rPr>
        <w:t>de novo</w:t>
      </w:r>
      <w:r w:rsidR="00A20630" w:rsidRPr="008F6F21">
        <w:rPr>
          <w:color w:val="auto"/>
          <w:lang w:val="en-US"/>
        </w:rPr>
        <w:t xml:space="preserve"> metastatic disease or some patient</w:t>
      </w:r>
      <w:r w:rsidR="00F81F59" w:rsidRPr="008F6F21">
        <w:rPr>
          <w:color w:val="auto"/>
          <w:lang w:val="en-US"/>
        </w:rPr>
        <w:t>s</w:t>
      </w:r>
      <w:r w:rsidR="00A20630" w:rsidRPr="008F6F21">
        <w:rPr>
          <w:color w:val="auto"/>
          <w:lang w:val="en-US"/>
        </w:rPr>
        <w:t xml:space="preserve"> with previously untreated locally advanced disease; and</w:t>
      </w:r>
    </w:p>
    <w:p w:rsidR="00A20630" w:rsidRPr="008F6F21" w:rsidRDefault="00A20630" w:rsidP="00751BA8">
      <w:pPr>
        <w:pStyle w:val="PBACESParagraphBulletPoint"/>
        <w:spacing w:before="0"/>
        <w:ind w:left="1077" w:hanging="357"/>
        <w:contextualSpacing/>
        <w:rPr>
          <w:color w:val="auto"/>
        </w:rPr>
      </w:pPr>
      <w:r w:rsidRPr="008F6F21">
        <w:rPr>
          <w:color w:val="auto"/>
          <w:lang w:val="en-US"/>
        </w:rPr>
        <w:t>patients with BRCA1/2 deleterious mutations.</w:t>
      </w:r>
    </w:p>
    <w:p w:rsidR="00443D41" w:rsidRPr="00C528C7" w:rsidRDefault="00827A84" w:rsidP="00C528C7">
      <w:pPr>
        <w:pStyle w:val="ListParagraph"/>
      </w:pPr>
      <w:r w:rsidRPr="00C528C7">
        <w:t>As such, the ESCs agreed with the commentary that the most appropriate comparator for this heterogeneous popul</w:t>
      </w:r>
      <w:r w:rsidR="002213C5" w:rsidRPr="00C528C7">
        <w:t xml:space="preserve">ation would be physician choice. </w:t>
      </w:r>
      <w:r w:rsidR="00FC72DD" w:rsidRPr="00C528C7">
        <w:t xml:space="preserve">The ESCs </w:t>
      </w:r>
      <w:r w:rsidR="00443D41" w:rsidRPr="00C528C7">
        <w:t>considered that n</w:t>
      </w:r>
      <w:r w:rsidRPr="00C528C7">
        <w:t>a</w:t>
      </w:r>
      <w:r w:rsidR="00443D41" w:rsidRPr="00C528C7">
        <w:t xml:space="preserve">b-P is not the </w:t>
      </w:r>
      <w:r w:rsidR="00C85E5F" w:rsidRPr="00C528C7">
        <w:t xml:space="preserve">current choice </w:t>
      </w:r>
      <w:r w:rsidR="00051615" w:rsidRPr="00C528C7">
        <w:t>of first</w:t>
      </w:r>
      <w:r w:rsidR="00443D41" w:rsidRPr="00C528C7">
        <w:t xml:space="preserve">-line treatment </w:t>
      </w:r>
      <w:r w:rsidR="00C85E5F" w:rsidRPr="00C528C7">
        <w:t>in</w:t>
      </w:r>
      <w:r w:rsidR="00443D41" w:rsidRPr="00C528C7">
        <w:t xml:space="preserve"> up to 90% of the patients in the comparator arm of the I</w:t>
      </w:r>
      <w:r w:rsidR="002F5CA5" w:rsidRPr="00C528C7">
        <w:t>M</w:t>
      </w:r>
      <w:r w:rsidR="00443D41" w:rsidRPr="00C528C7">
        <w:t>passion130 trial</w:t>
      </w:r>
      <w:r w:rsidR="00FC72DD" w:rsidRPr="00C528C7">
        <w:t xml:space="preserve"> and is likely to be an inferior treatment for the majority of </w:t>
      </w:r>
      <w:r w:rsidR="002213C5" w:rsidRPr="00C528C7">
        <w:t>these patients</w:t>
      </w:r>
      <w:r w:rsidR="004D0CEB">
        <w:t xml:space="preserve"> and</w:t>
      </w:r>
      <w:r w:rsidR="004D0CEB" w:rsidRPr="00C528C7">
        <w:t xml:space="preserve"> the</w:t>
      </w:r>
      <w:r w:rsidR="004D0CEB">
        <w:t>refore the</w:t>
      </w:r>
      <w:r w:rsidR="004D0CEB" w:rsidRPr="00C528C7">
        <w:rPr>
          <w:iCs/>
          <w:color w:val="auto"/>
        </w:rPr>
        <w:t xml:space="preserve"> treatment effect of ATZ+nab-P is likely to be overestimated relative to </w:t>
      </w:r>
      <w:r w:rsidR="00B27804">
        <w:rPr>
          <w:iCs/>
          <w:color w:val="auto"/>
        </w:rPr>
        <w:t xml:space="preserve">current </w:t>
      </w:r>
      <w:r w:rsidR="004D0CEB" w:rsidRPr="00C528C7">
        <w:rPr>
          <w:iCs/>
          <w:color w:val="auto"/>
        </w:rPr>
        <w:t>clinical practice.</w:t>
      </w:r>
    </w:p>
    <w:p w:rsidR="00434533" w:rsidRPr="00434533" w:rsidRDefault="00434533" w:rsidP="00434533">
      <w:pPr>
        <w:pStyle w:val="ListParagraph"/>
        <w:numPr>
          <w:ilvl w:val="0"/>
          <w:numId w:val="0"/>
        </w:numPr>
        <w:ind w:left="720"/>
        <w:rPr>
          <w:i/>
        </w:rPr>
      </w:pPr>
      <w:r w:rsidRPr="00434533">
        <w:rPr>
          <w:i/>
        </w:rPr>
        <w:t>For more detail on PBAC’s view, see section 7 PBAC outcome.</w:t>
      </w:r>
    </w:p>
    <w:p w:rsidR="00095E93" w:rsidRDefault="00095E93" w:rsidP="00A54259">
      <w:pPr>
        <w:pStyle w:val="PBACESHeading1"/>
        <w:numPr>
          <w:ilvl w:val="0"/>
          <w:numId w:val="1"/>
        </w:numPr>
      </w:pPr>
      <w:bookmarkStart w:id="17" w:name="_Toc30411830"/>
      <w:r w:rsidRPr="00A54EC8">
        <w:t xml:space="preserve">Overview of the evidence </w:t>
      </w:r>
      <w:r w:rsidRPr="00F77655">
        <w:t>base</w:t>
      </w:r>
      <w:bookmarkEnd w:id="17"/>
    </w:p>
    <w:p w:rsidR="00B8774B" w:rsidRPr="00836F75" w:rsidRDefault="00B8774B" w:rsidP="00B8774B">
      <w:pPr>
        <w:widowControl w:val="0"/>
        <w:spacing w:before="240" w:line="276" w:lineRule="auto"/>
        <w:outlineLvl w:val="1"/>
        <w:rPr>
          <w:b/>
          <w:bCs/>
          <w:i/>
          <w:snapToGrid w:val="0"/>
          <w:sz w:val="28"/>
          <w:szCs w:val="28"/>
        </w:rPr>
      </w:pPr>
      <w:r w:rsidRPr="00836F75">
        <w:rPr>
          <w:b/>
          <w:bCs/>
          <w:i/>
          <w:snapToGrid w:val="0"/>
          <w:sz w:val="28"/>
          <w:szCs w:val="28"/>
        </w:rPr>
        <w:t>Sponsor hearing</w:t>
      </w:r>
    </w:p>
    <w:p w:rsidR="00B8774B" w:rsidRPr="00B8774B" w:rsidRDefault="00B8774B" w:rsidP="00B8774B">
      <w:pPr>
        <w:pStyle w:val="ListParagraph"/>
        <w:rPr>
          <w:snapToGrid w:val="0"/>
        </w:rPr>
      </w:pPr>
      <w:r w:rsidRPr="00B8774B">
        <w:rPr>
          <w:snapToGrid w:val="0"/>
        </w:rPr>
        <w:t>There was no hearing for this item.</w:t>
      </w:r>
    </w:p>
    <w:p w:rsidR="00434533" w:rsidRPr="00434533" w:rsidRDefault="00434533" w:rsidP="00434533">
      <w:pPr>
        <w:pStyle w:val="PBACESHeading2"/>
      </w:pPr>
      <w:r w:rsidRPr="00434533">
        <w:t>Consumer comments</w:t>
      </w:r>
    </w:p>
    <w:p w:rsidR="00434533" w:rsidRPr="00836F75" w:rsidRDefault="00434533" w:rsidP="00434533">
      <w:pPr>
        <w:pStyle w:val="ListParagraph"/>
        <w:rPr>
          <w:snapToGrid w:val="0"/>
        </w:rPr>
      </w:pPr>
      <w:r w:rsidRPr="00836F75">
        <w:rPr>
          <w:snapToGrid w:val="0"/>
        </w:rPr>
        <w:t>The PBAC noted and welcomed the input from health care profession</w:t>
      </w:r>
      <w:r w:rsidR="00516EF4">
        <w:rPr>
          <w:snapToGrid w:val="0"/>
        </w:rPr>
        <w:t>als (10) and organisations (2</w:t>
      </w:r>
      <w:r w:rsidRPr="00836F75">
        <w:rPr>
          <w:snapToGrid w:val="0"/>
        </w:rPr>
        <w:t xml:space="preserve">) via the Consumer Comments facility on the PBS website. The </w:t>
      </w:r>
      <w:r w:rsidR="00BE5E2A">
        <w:rPr>
          <w:snapToGrid w:val="0"/>
        </w:rPr>
        <w:t xml:space="preserve">health </w:t>
      </w:r>
      <w:r w:rsidR="00302B17">
        <w:rPr>
          <w:snapToGrid w:val="0"/>
        </w:rPr>
        <w:t xml:space="preserve">care </w:t>
      </w:r>
      <w:r w:rsidR="00BE5E2A">
        <w:rPr>
          <w:snapToGrid w:val="0"/>
        </w:rPr>
        <w:t xml:space="preserve">professional </w:t>
      </w:r>
      <w:r w:rsidRPr="00836F75">
        <w:rPr>
          <w:snapToGrid w:val="0"/>
        </w:rPr>
        <w:t xml:space="preserve">comments </w:t>
      </w:r>
      <w:r w:rsidR="00516EF4">
        <w:rPr>
          <w:snapToGrid w:val="0"/>
        </w:rPr>
        <w:t xml:space="preserve">outlined the clinical need for access to effective </w:t>
      </w:r>
      <w:r w:rsidR="00516EF4">
        <w:rPr>
          <w:snapToGrid w:val="0"/>
        </w:rPr>
        <w:lastRenderedPageBreak/>
        <w:t xml:space="preserve">medicines for patients with TNBC as it is an aggressive form of breast cancer and there are currently no other targeted treatments or immunotherapies available. The comments described the trial evidence for atezolizumab, which health </w:t>
      </w:r>
      <w:r w:rsidR="00302B17">
        <w:rPr>
          <w:snapToGrid w:val="0"/>
        </w:rPr>
        <w:t xml:space="preserve">care </w:t>
      </w:r>
      <w:r w:rsidR="00516EF4">
        <w:rPr>
          <w:snapToGrid w:val="0"/>
        </w:rPr>
        <w:t xml:space="preserve">professionals considered showed that </w:t>
      </w:r>
      <w:r w:rsidR="00BE5E2A">
        <w:rPr>
          <w:snapToGrid w:val="0"/>
        </w:rPr>
        <w:t>atezolizumab</w:t>
      </w:r>
      <w:r w:rsidR="00516EF4">
        <w:rPr>
          <w:snapToGrid w:val="0"/>
        </w:rPr>
        <w:t xml:space="preserve"> has the potential to improve patient quality of life and overall survival in</w:t>
      </w:r>
      <w:r w:rsidR="00BE5E2A">
        <w:rPr>
          <w:snapToGrid w:val="0"/>
        </w:rPr>
        <w:t xml:space="preserve"> patient</w:t>
      </w:r>
      <w:r w:rsidR="00B27804">
        <w:rPr>
          <w:snapToGrid w:val="0"/>
        </w:rPr>
        <w:t>s with PD-L1-</w:t>
      </w:r>
      <w:r w:rsidR="00BE5E2A">
        <w:rPr>
          <w:snapToGrid w:val="0"/>
        </w:rPr>
        <w:t>positive m</w:t>
      </w:r>
      <w:r w:rsidR="00B27804">
        <w:rPr>
          <w:snapToGrid w:val="0"/>
        </w:rPr>
        <w:t xml:space="preserve">etastatic </w:t>
      </w:r>
      <w:r w:rsidR="00516EF4">
        <w:rPr>
          <w:snapToGrid w:val="0"/>
        </w:rPr>
        <w:t>TNBC</w:t>
      </w:r>
      <w:r w:rsidR="00BE5E2A">
        <w:rPr>
          <w:snapToGrid w:val="0"/>
        </w:rPr>
        <w:t>.</w:t>
      </w:r>
    </w:p>
    <w:p w:rsidR="00434533" w:rsidRDefault="00434533" w:rsidP="00434533">
      <w:pPr>
        <w:pStyle w:val="ListParagraph"/>
        <w:rPr>
          <w:snapToGrid w:val="0"/>
        </w:rPr>
      </w:pPr>
      <w:r w:rsidRPr="00836F75">
        <w:rPr>
          <w:snapToGrid w:val="0"/>
        </w:rPr>
        <w:t>The PBAC</w:t>
      </w:r>
      <w:r w:rsidR="00717F6B">
        <w:rPr>
          <w:snapToGrid w:val="0"/>
        </w:rPr>
        <w:t xml:space="preserve"> noted the advice received from Breast Cancer Network</w:t>
      </w:r>
      <w:r w:rsidRPr="00836F75">
        <w:rPr>
          <w:snapToGrid w:val="0"/>
        </w:rPr>
        <w:t xml:space="preserve"> </w:t>
      </w:r>
      <w:r w:rsidR="00717F6B">
        <w:rPr>
          <w:snapToGrid w:val="0"/>
        </w:rPr>
        <w:t xml:space="preserve">Australia (BCNA) in support of listing atezolizumab on the PBS for treatment of patients with TNBC. BCNA noted that people with </w:t>
      </w:r>
      <w:r w:rsidR="00B27804">
        <w:rPr>
          <w:snapToGrid w:val="0"/>
        </w:rPr>
        <w:t>TN</w:t>
      </w:r>
      <w:r w:rsidR="00717F6B">
        <w:rPr>
          <w:snapToGrid w:val="0"/>
        </w:rPr>
        <w:t>BC have poorer clinical outcomes than other subtypes of breast cancer and that chemotherapy has been the only systemic treatment available for these patients. BCNA noted the results of the I</w:t>
      </w:r>
      <w:r w:rsidR="00591635">
        <w:rPr>
          <w:snapToGrid w:val="0"/>
        </w:rPr>
        <w:t>M</w:t>
      </w:r>
      <w:r w:rsidR="00717F6B">
        <w:rPr>
          <w:snapToGrid w:val="0"/>
        </w:rPr>
        <w:t>passion130 trial and reported that additional months of PFS and OS are highly valued by patients and that patients are well-placed to weigh potential benefits of treatment against possible adverse ev</w:t>
      </w:r>
      <w:r w:rsidR="00B27804">
        <w:rPr>
          <w:snapToGrid w:val="0"/>
        </w:rPr>
        <w:t>ents associated with treatment.</w:t>
      </w:r>
    </w:p>
    <w:p w:rsidR="00434533" w:rsidRPr="00525B39" w:rsidRDefault="00434533" w:rsidP="00434533">
      <w:pPr>
        <w:pStyle w:val="ListParagraph"/>
        <w:rPr>
          <w:snapToGrid w:val="0"/>
        </w:rPr>
      </w:pPr>
      <w:r w:rsidRPr="00A74363">
        <w:rPr>
          <w:snapToGrid w:val="0"/>
        </w:rPr>
        <w:t xml:space="preserve">The Medical Oncology Group of Australia (MOGA) also expressed its strong support for the </w:t>
      </w:r>
      <w:r w:rsidR="003050F8">
        <w:rPr>
          <w:snapToGrid w:val="0"/>
        </w:rPr>
        <w:t>atezolizumab</w:t>
      </w:r>
      <w:r w:rsidRPr="00A74363">
        <w:rPr>
          <w:snapToGrid w:val="0"/>
        </w:rPr>
        <w:t xml:space="preserve"> submission, categorising it as one of the therapies of “highest priority for PBS listing” on the basis of the </w:t>
      </w:r>
      <w:r w:rsidR="00591635">
        <w:rPr>
          <w:snapToGrid w:val="0"/>
        </w:rPr>
        <w:t>IM</w:t>
      </w:r>
      <w:r w:rsidR="003050F8">
        <w:rPr>
          <w:snapToGrid w:val="0"/>
        </w:rPr>
        <w:t>passion130</w:t>
      </w:r>
      <w:r w:rsidRPr="00A74363">
        <w:rPr>
          <w:snapToGrid w:val="0"/>
        </w:rPr>
        <w:t xml:space="preserve"> trial. The PBAC noted that the MOGA presented a European Society for Medical Oncology Magnitude of Clinical Benefit Scale (ESMO-MCBS) </w:t>
      </w:r>
      <w:r w:rsidRPr="00525B39">
        <w:rPr>
          <w:snapToGrid w:val="0"/>
        </w:rPr>
        <w:t xml:space="preserve">for </w:t>
      </w:r>
      <w:r w:rsidR="00717F6B">
        <w:rPr>
          <w:snapToGrid w:val="0"/>
        </w:rPr>
        <w:t>atezolizumab + nab-P</w:t>
      </w:r>
      <w:r w:rsidR="00F777B8">
        <w:rPr>
          <w:snapToGrid w:val="0"/>
        </w:rPr>
        <w:t xml:space="preserve"> compared to nab-P alone. MOGA claimed a score</w:t>
      </w:r>
      <w:r w:rsidRPr="00525B39">
        <w:rPr>
          <w:snapToGrid w:val="0"/>
        </w:rPr>
        <w:t xml:space="preserve"> limited to </w:t>
      </w:r>
      <w:r w:rsidR="00717F6B">
        <w:rPr>
          <w:snapToGrid w:val="0"/>
        </w:rPr>
        <w:t>4</w:t>
      </w:r>
      <w:r w:rsidRPr="00525B39">
        <w:rPr>
          <w:snapToGrid w:val="0"/>
        </w:rPr>
        <w:t xml:space="preserve"> (out of a maximum of 5, where 5 and 4 represent the grades with substantial improvement)</w:t>
      </w:r>
      <w:r w:rsidR="00634E9D">
        <w:rPr>
          <w:rStyle w:val="FootnoteReference"/>
          <w:snapToGrid w:val="0"/>
        </w:rPr>
        <w:footnoteReference w:id="11"/>
      </w:r>
      <w:r w:rsidRPr="00525B39">
        <w:rPr>
          <w:snapToGrid w:val="0"/>
        </w:rPr>
        <w:t xml:space="preserve">, </w:t>
      </w:r>
      <w:r w:rsidR="00F777B8">
        <w:rPr>
          <w:snapToGrid w:val="0"/>
        </w:rPr>
        <w:t>however t</w:t>
      </w:r>
      <w:r w:rsidR="00717F6B">
        <w:rPr>
          <w:snapToGrid w:val="0"/>
        </w:rPr>
        <w:t xml:space="preserve">his score was based on </w:t>
      </w:r>
      <w:r w:rsidR="00F777B8">
        <w:rPr>
          <w:snapToGrid w:val="0"/>
        </w:rPr>
        <w:t>a</w:t>
      </w:r>
      <w:r w:rsidR="00717F6B">
        <w:rPr>
          <w:snapToGrid w:val="0"/>
        </w:rPr>
        <w:t xml:space="preserve"> subgroup analysis of PD-L1</w:t>
      </w:r>
      <w:r w:rsidR="00F777B8">
        <w:rPr>
          <w:snapToGrid w:val="0"/>
        </w:rPr>
        <w:t xml:space="preserve"> </w:t>
      </w:r>
      <w:r w:rsidR="00717F6B">
        <w:rPr>
          <w:snapToGrid w:val="0"/>
        </w:rPr>
        <w:t xml:space="preserve">positive patients despite </w:t>
      </w:r>
      <w:r w:rsidR="00634E9D">
        <w:rPr>
          <w:snapToGrid w:val="0"/>
        </w:rPr>
        <w:t xml:space="preserve">failure of </w:t>
      </w:r>
      <w:r w:rsidR="00717F6B">
        <w:rPr>
          <w:snapToGrid w:val="0"/>
        </w:rPr>
        <w:t>the OS endp</w:t>
      </w:r>
      <w:r w:rsidR="00634E9D">
        <w:rPr>
          <w:snapToGrid w:val="0"/>
        </w:rPr>
        <w:t>o</w:t>
      </w:r>
      <w:r w:rsidR="00717F6B">
        <w:rPr>
          <w:snapToGrid w:val="0"/>
        </w:rPr>
        <w:t>int for the entire</w:t>
      </w:r>
      <w:r w:rsidR="00634E9D">
        <w:rPr>
          <w:snapToGrid w:val="0"/>
        </w:rPr>
        <w:t xml:space="preserve"> cohort to </w:t>
      </w:r>
      <w:r w:rsidR="00B27804">
        <w:rPr>
          <w:snapToGrid w:val="0"/>
        </w:rPr>
        <w:t>reach statistical significance.</w:t>
      </w:r>
    </w:p>
    <w:p w:rsidR="00983112" w:rsidRPr="00434533" w:rsidRDefault="00983112" w:rsidP="00434533">
      <w:pPr>
        <w:pStyle w:val="PBACESHeading2"/>
      </w:pPr>
      <w:bookmarkStart w:id="18" w:name="_Toc30411831"/>
      <w:r w:rsidRPr="00434533">
        <w:t>Clinical trials</w:t>
      </w:r>
      <w:bookmarkEnd w:id="18"/>
    </w:p>
    <w:p w:rsidR="00095E93" w:rsidRDefault="00095E93" w:rsidP="00661215">
      <w:pPr>
        <w:pStyle w:val="ListParagraph"/>
      </w:pPr>
      <w:r w:rsidRPr="008F703E">
        <w:t>The ap</w:t>
      </w:r>
      <w:r w:rsidR="00F8289C">
        <w:t>proach taken in the submission wa</w:t>
      </w:r>
      <w:r w:rsidRPr="008F703E">
        <w:t xml:space="preserve">s to present direct evidence of the effect of targeting the </w:t>
      </w:r>
      <w:r>
        <w:t>PD-L1</w:t>
      </w:r>
      <w:r w:rsidR="00666CF6">
        <w:t>-</w:t>
      </w:r>
      <w:r>
        <w:t xml:space="preserve">positive patients (IC </w:t>
      </w:r>
      <w:r>
        <w:rPr>
          <w:rFonts w:cstheme="minorHAnsi"/>
        </w:rPr>
        <w:t>≥</w:t>
      </w:r>
      <w:r>
        <w:t>1%)</w:t>
      </w:r>
      <w:r w:rsidRPr="008F703E">
        <w:t xml:space="preserve"> with</w:t>
      </w:r>
      <w:r w:rsidR="00661215">
        <w:t xml:space="preserve"> atezolizumab </w:t>
      </w:r>
      <w:r w:rsidR="00661215" w:rsidRPr="00661215">
        <w:t>in combination with nab-paclitaxel (</w:t>
      </w:r>
      <w:r>
        <w:t>ATZ+nab-P</w:t>
      </w:r>
      <w:r w:rsidR="00661215">
        <w:t>)</w:t>
      </w:r>
      <w:r>
        <w:t>.</w:t>
      </w:r>
    </w:p>
    <w:p w:rsidR="00095E93" w:rsidRDefault="00095E93" w:rsidP="00302B17">
      <w:pPr>
        <w:pStyle w:val="Caption"/>
        <w:keepLines/>
      </w:pPr>
      <w:r>
        <w:lastRenderedPageBreak/>
        <w:t xml:space="preserve">Table </w:t>
      </w:r>
      <w:r w:rsidR="00074BE0">
        <w:rPr>
          <w:noProof/>
        </w:rPr>
        <w:t>2</w:t>
      </w:r>
      <w:r w:rsidR="00751BA8">
        <w:rPr>
          <w:noProof/>
        </w:rPr>
        <w:t xml:space="preserve">: </w:t>
      </w:r>
      <w:r>
        <w:t xml:space="preserve">Direct evidence provided in the submission to support the use of the </w:t>
      </w:r>
      <w:r w:rsidR="00751BA8">
        <w:t>co-dependent</w:t>
      </w:r>
      <w:r>
        <w:t xml:space="preserve"> technology</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2695"/>
        <w:gridCol w:w="1793"/>
      </w:tblGrid>
      <w:tr w:rsidR="00095E93" w:rsidTr="0087572F">
        <w:trPr>
          <w:trHeight w:val="384"/>
        </w:trPr>
        <w:tc>
          <w:tcPr>
            <w:tcW w:w="2512" w:type="pct"/>
            <w:tcBorders>
              <w:top w:val="single" w:sz="4" w:space="0" w:color="auto"/>
              <w:left w:val="single" w:sz="4" w:space="0" w:color="auto"/>
              <w:bottom w:val="single" w:sz="4" w:space="0" w:color="auto"/>
              <w:right w:val="single" w:sz="4" w:space="0" w:color="auto"/>
            </w:tcBorders>
            <w:vAlign w:val="bottom"/>
            <w:hideMark/>
          </w:tcPr>
          <w:p w:rsidR="00095E93" w:rsidRPr="000C793A" w:rsidRDefault="00095E93" w:rsidP="00302B17">
            <w:pPr>
              <w:pStyle w:val="TableText"/>
              <w:keepNext/>
              <w:keepLines/>
              <w:rPr>
                <w:b/>
              </w:rPr>
            </w:pPr>
            <w:r w:rsidRPr="000C793A">
              <w:rPr>
                <w:b/>
              </w:rPr>
              <w:t>Study design</w:t>
            </w:r>
          </w:p>
        </w:tc>
        <w:tc>
          <w:tcPr>
            <w:tcW w:w="1494" w:type="pct"/>
            <w:tcBorders>
              <w:top w:val="single" w:sz="4" w:space="0" w:color="auto"/>
              <w:left w:val="single" w:sz="4" w:space="0" w:color="auto"/>
              <w:bottom w:val="single" w:sz="4" w:space="0" w:color="auto"/>
              <w:right w:val="single" w:sz="4" w:space="0" w:color="auto"/>
            </w:tcBorders>
            <w:vAlign w:val="bottom"/>
            <w:hideMark/>
          </w:tcPr>
          <w:p w:rsidR="00095E93" w:rsidRPr="004112C2" w:rsidRDefault="00095E93" w:rsidP="00302B17">
            <w:pPr>
              <w:pStyle w:val="TableText"/>
              <w:keepNext/>
              <w:keepLines/>
              <w:rPr>
                <w:b/>
              </w:rPr>
            </w:pPr>
            <w:r w:rsidRPr="004112C2">
              <w:rPr>
                <w:b/>
              </w:rPr>
              <w:t>Extent of evidence supplied</w:t>
            </w:r>
          </w:p>
        </w:tc>
        <w:tc>
          <w:tcPr>
            <w:tcW w:w="994" w:type="pct"/>
            <w:tcBorders>
              <w:top w:val="single" w:sz="4" w:space="0" w:color="auto"/>
              <w:left w:val="single" w:sz="4" w:space="0" w:color="auto"/>
              <w:bottom w:val="single" w:sz="4" w:space="0" w:color="auto"/>
              <w:right w:val="single" w:sz="4" w:space="0" w:color="auto"/>
            </w:tcBorders>
            <w:vAlign w:val="bottom"/>
            <w:hideMark/>
          </w:tcPr>
          <w:p w:rsidR="00095E93" w:rsidRPr="004112C2" w:rsidRDefault="00095E93" w:rsidP="00302B17">
            <w:pPr>
              <w:pStyle w:val="TableText"/>
              <w:keepNext/>
              <w:keepLines/>
              <w:jc w:val="center"/>
              <w:rPr>
                <w:b/>
              </w:rPr>
            </w:pPr>
            <w:r w:rsidRPr="004112C2">
              <w:rPr>
                <w:b/>
              </w:rPr>
              <w:t xml:space="preserve">Overall </w:t>
            </w:r>
            <w:r w:rsidR="00F8289C">
              <w:rPr>
                <w:b/>
              </w:rPr>
              <w:t>risk of bias in clinical trials</w:t>
            </w:r>
          </w:p>
        </w:tc>
      </w:tr>
      <w:tr w:rsidR="00095E93" w:rsidRPr="009E7C77" w:rsidTr="0087572F">
        <w:trPr>
          <w:trHeight w:val="621"/>
        </w:trPr>
        <w:tc>
          <w:tcPr>
            <w:tcW w:w="2512" w:type="pct"/>
            <w:tcBorders>
              <w:top w:val="single" w:sz="4" w:space="0" w:color="auto"/>
              <w:left w:val="single" w:sz="4" w:space="0" w:color="auto"/>
              <w:bottom w:val="single" w:sz="4" w:space="0" w:color="auto"/>
              <w:right w:val="single" w:sz="4" w:space="0" w:color="auto"/>
            </w:tcBorders>
            <w:hideMark/>
          </w:tcPr>
          <w:p w:rsidR="00095E93" w:rsidRPr="009E7C77" w:rsidRDefault="00095E93" w:rsidP="00302B17">
            <w:pPr>
              <w:pStyle w:val="TableText"/>
              <w:keepNext/>
              <w:keepLines/>
              <w:rPr>
                <w:vertAlign w:val="superscript"/>
              </w:rPr>
            </w:pPr>
            <w:r w:rsidRPr="009E7C77">
              <w:t>Prospective biomarker (PD-L1 expression) stratified randomised controlled trial of ATZ+nab-P versus nab-P</w:t>
            </w:r>
            <w:r w:rsidRPr="009E7C77">
              <w:rPr>
                <w:vertAlign w:val="superscript"/>
              </w:rPr>
              <w:t>a</w:t>
            </w:r>
          </w:p>
        </w:tc>
        <w:tc>
          <w:tcPr>
            <w:tcW w:w="1494" w:type="pct"/>
            <w:tcBorders>
              <w:top w:val="single" w:sz="4" w:space="0" w:color="auto"/>
              <w:left w:val="single" w:sz="4" w:space="0" w:color="auto"/>
              <w:bottom w:val="single" w:sz="4" w:space="0" w:color="auto"/>
              <w:right w:val="single" w:sz="4" w:space="0" w:color="auto"/>
            </w:tcBorders>
            <w:hideMark/>
          </w:tcPr>
          <w:p w:rsidR="00095E93" w:rsidRPr="009E7C77" w:rsidRDefault="00E965A4" w:rsidP="00302B17">
            <w:pPr>
              <w:pStyle w:val="TableText"/>
              <w:keepNext/>
              <w:keepLines/>
            </w:pPr>
            <w:sdt>
              <w:sdtPr>
                <w:id w:val="-1151662202"/>
                <w14:checkbox>
                  <w14:checked w14:val="1"/>
                  <w14:checkedState w14:val="2612" w14:font="MS Gothic"/>
                  <w14:uncheckedState w14:val="2610" w14:font="MS Gothic"/>
                </w14:checkbox>
              </w:sdtPr>
              <w:sdtEndPr/>
              <w:sdtContent>
                <w:r w:rsidR="00551529" w:rsidRPr="009E7C77">
                  <w:rPr>
                    <w:rFonts w:ascii="MS Gothic" w:eastAsia="MS Gothic" w:hAnsi="MS Gothic" w:hint="eastAsia"/>
                  </w:rPr>
                  <w:t>☒</w:t>
                </w:r>
              </w:sdtContent>
            </w:sdt>
            <w:r w:rsidR="00095E93" w:rsidRPr="009E7C77">
              <w:tab/>
              <w:t>k=1</w:t>
            </w:r>
            <w:r w:rsidR="00095E93" w:rsidRPr="009E7C77">
              <w:tab/>
              <w:t>n=902</w:t>
            </w:r>
          </w:p>
        </w:tc>
        <w:tc>
          <w:tcPr>
            <w:tcW w:w="994" w:type="pct"/>
            <w:tcBorders>
              <w:top w:val="single" w:sz="4" w:space="0" w:color="auto"/>
              <w:left w:val="single" w:sz="4" w:space="0" w:color="auto"/>
              <w:bottom w:val="single" w:sz="4" w:space="0" w:color="auto"/>
              <w:right w:val="single" w:sz="4" w:space="0" w:color="auto"/>
            </w:tcBorders>
            <w:vAlign w:val="center"/>
          </w:tcPr>
          <w:p w:rsidR="00095E93" w:rsidRPr="009E7C77" w:rsidRDefault="00095E93" w:rsidP="00302B17">
            <w:pPr>
              <w:pStyle w:val="TableText"/>
              <w:keepNext/>
              <w:keepLines/>
              <w:jc w:val="center"/>
            </w:pPr>
            <w:r w:rsidRPr="009E7C77">
              <w:t>Low</w:t>
            </w:r>
          </w:p>
        </w:tc>
      </w:tr>
    </w:tbl>
    <w:p w:rsidR="00095E93" w:rsidRDefault="00F57AD8" w:rsidP="00302B17">
      <w:pPr>
        <w:pStyle w:val="TableFooter"/>
        <w:keepNext/>
        <w:keepLines/>
      </w:pPr>
      <w:r>
        <w:rPr>
          <w:vertAlign w:val="superscript"/>
        </w:rPr>
        <w:t>a</w:t>
      </w:r>
      <w:r w:rsidR="00051615">
        <w:t xml:space="preserve"> P</w:t>
      </w:r>
      <w:r w:rsidR="00095E93" w:rsidRPr="009E7C77">
        <w:t>opulati</w:t>
      </w:r>
      <w:r w:rsidR="00095E93">
        <w:t>on with and without the biomarker randomised to medicine or usual care.</w:t>
      </w:r>
    </w:p>
    <w:p w:rsidR="00095E93" w:rsidRDefault="00095E93" w:rsidP="00302B17">
      <w:pPr>
        <w:pStyle w:val="TableFooter"/>
        <w:keepNext/>
        <w:keepLines/>
      </w:pPr>
      <w:r>
        <w:t>Source: T</w:t>
      </w:r>
      <w:r w:rsidRPr="00DD67B0">
        <w:t xml:space="preserve">able .2.1, pp 59-60 of the </w:t>
      </w:r>
      <w:r w:rsidR="008D006C">
        <w:t>s</w:t>
      </w:r>
      <w:r w:rsidRPr="00960360">
        <w:t>ubmission</w:t>
      </w:r>
    </w:p>
    <w:p w:rsidR="00095E93" w:rsidRPr="009B3E45" w:rsidRDefault="00095E93" w:rsidP="007E7DAA">
      <w:pPr>
        <w:pStyle w:val="ListParagraph"/>
        <w:numPr>
          <w:ilvl w:val="4"/>
          <w:numId w:val="1"/>
        </w:numPr>
        <w:rPr>
          <w:color w:val="auto"/>
        </w:rPr>
      </w:pPr>
      <w:r w:rsidRPr="008F703E">
        <w:t xml:space="preserve">Details of the trial presented in the submission are provided in the table below. </w:t>
      </w:r>
      <w:r w:rsidR="00C523B7" w:rsidRPr="008F6F21">
        <w:t xml:space="preserve">The ESCs </w:t>
      </w:r>
      <w:r w:rsidR="00F777B8">
        <w:t xml:space="preserve">and PBAC </w:t>
      </w:r>
      <w:r w:rsidR="00C523B7" w:rsidRPr="008F6F21">
        <w:t>also noted the results of the Phase 3 IMpassion131 (</w:t>
      </w:r>
      <w:r w:rsidR="00072D1D">
        <w:t xml:space="preserve">scheduled </w:t>
      </w:r>
      <w:r w:rsidR="00C523B7" w:rsidRPr="008F6F21">
        <w:t>primary completion date January 2020) which compares atezolizumab + paclitaxel to placebo + paclitaxel may also be informative in assessing the efficacy of atezolizumab in combination with a taxane.</w:t>
      </w:r>
    </w:p>
    <w:p w:rsidR="00095E93" w:rsidRDefault="00095E93" w:rsidP="004E6F0A">
      <w:pPr>
        <w:pStyle w:val="Caption"/>
        <w:keepLines/>
      </w:pPr>
      <w:r>
        <w:t xml:space="preserve">Table </w:t>
      </w:r>
      <w:r w:rsidR="00074BE0">
        <w:rPr>
          <w:noProof/>
        </w:rPr>
        <w:t>3</w:t>
      </w:r>
      <w:r w:rsidR="00EF5451">
        <w:rPr>
          <w:noProof/>
        </w:rPr>
        <w:t xml:space="preserve">: </w:t>
      </w:r>
      <w: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129"/>
        <w:gridCol w:w="5512"/>
        <w:gridCol w:w="2375"/>
      </w:tblGrid>
      <w:tr w:rsidR="00095E93" w:rsidRPr="00F8289C" w:rsidTr="008D006C">
        <w:trPr>
          <w:tblHeader/>
        </w:trPr>
        <w:tc>
          <w:tcPr>
            <w:tcW w:w="626" w:type="pct"/>
            <w:vAlign w:val="center"/>
          </w:tcPr>
          <w:p w:rsidR="00095E93" w:rsidRPr="00F8289C" w:rsidRDefault="00095E93" w:rsidP="004E6F0A">
            <w:pPr>
              <w:keepNext/>
              <w:keepLines/>
              <w:spacing w:before="40" w:after="40"/>
              <w:jc w:val="left"/>
              <w:rPr>
                <w:rFonts w:ascii="Arial Narrow" w:eastAsia="Times New Roman" w:hAnsi="Arial Narrow" w:cs="Times New Roman"/>
                <w:b/>
                <w:sz w:val="20"/>
              </w:rPr>
            </w:pPr>
            <w:r w:rsidRPr="00F8289C">
              <w:rPr>
                <w:rFonts w:ascii="Arial Narrow" w:eastAsia="Times New Roman" w:hAnsi="Arial Narrow" w:cs="Times New Roman"/>
                <w:b/>
                <w:sz w:val="20"/>
              </w:rPr>
              <w:t>Trial ID</w:t>
            </w:r>
          </w:p>
        </w:tc>
        <w:tc>
          <w:tcPr>
            <w:tcW w:w="3057" w:type="pct"/>
            <w:vAlign w:val="center"/>
          </w:tcPr>
          <w:p w:rsidR="00095E93" w:rsidRPr="00F8289C" w:rsidRDefault="00095E93" w:rsidP="004E6F0A">
            <w:pPr>
              <w:keepNext/>
              <w:keepLines/>
              <w:spacing w:before="40" w:after="40"/>
              <w:jc w:val="left"/>
              <w:rPr>
                <w:rFonts w:ascii="Arial Narrow" w:eastAsia="Times New Roman" w:hAnsi="Arial Narrow" w:cs="Times New Roman"/>
                <w:b/>
                <w:sz w:val="20"/>
              </w:rPr>
            </w:pPr>
            <w:r w:rsidRPr="00F8289C">
              <w:rPr>
                <w:rFonts w:ascii="Arial Narrow" w:eastAsia="Times New Roman" w:hAnsi="Arial Narrow" w:cs="Times New Roman"/>
                <w:b/>
                <w:sz w:val="20"/>
              </w:rPr>
              <w:t>Protocol title/ Publication title</w:t>
            </w:r>
          </w:p>
        </w:tc>
        <w:tc>
          <w:tcPr>
            <w:tcW w:w="1317" w:type="pct"/>
            <w:vAlign w:val="center"/>
          </w:tcPr>
          <w:p w:rsidR="00095E93" w:rsidRPr="00F8289C" w:rsidRDefault="00095E93" w:rsidP="004E6F0A">
            <w:pPr>
              <w:keepNext/>
              <w:keepLines/>
              <w:spacing w:before="40" w:after="40"/>
              <w:jc w:val="left"/>
              <w:rPr>
                <w:rFonts w:ascii="Arial Narrow" w:eastAsia="Times New Roman" w:hAnsi="Arial Narrow" w:cs="Times New Roman"/>
                <w:b/>
                <w:sz w:val="20"/>
              </w:rPr>
            </w:pPr>
            <w:r w:rsidRPr="00F8289C">
              <w:rPr>
                <w:rFonts w:ascii="Arial Narrow" w:eastAsia="Times New Roman" w:hAnsi="Arial Narrow" w:cs="Times New Roman"/>
                <w:b/>
                <w:sz w:val="20"/>
              </w:rPr>
              <w:t>Publication citation</w:t>
            </w:r>
          </w:p>
        </w:tc>
      </w:tr>
      <w:tr w:rsidR="00095E93" w:rsidRPr="0070017C" w:rsidTr="008D006C">
        <w:tc>
          <w:tcPr>
            <w:tcW w:w="626" w:type="pct"/>
            <w:vMerge w:val="restart"/>
            <w:vAlign w:val="center"/>
          </w:tcPr>
          <w:p w:rsidR="00095E93" w:rsidRPr="0070017C" w:rsidRDefault="00095E93" w:rsidP="004E6F0A">
            <w:pPr>
              <w:keepNext/>
              <w:keepLines/>
              <w:spacing w:before="40" w:after="40"/>
              <w:jc w:val="left"/>
              <w:rPr>
                <w:rFonts w:ascii="Arial Narrow" w:eastAsia="Times New Roman" w:hAnsi="Arial Narrow" w:cs="Times New Roman"/>
                <w:sz w:val="20"/>
              </w:rPr>
            </w:pPr>
            <w:r w:rsidRPr="0070017C">
              <w:rPr>
                <w:rFonts w:ascii="Arial Narrow" w:eastAsia="Times New Roman" w:hAnsi="Arial Narrow" w:cs="Times New Roman"/>
                <w:sz w:val="20"/>
              </w:rPr>
              <w:t>IMpassion130</w:t>
            </w:r>
          </w:p>
        </w:tc>
        <w:tc>
          <w:tcPr>
            <w:tcW w:w="3057" w:type="pct"/>
            <w:tcBorders>
              <w:bottom w:val="nil"/>
            </w:tcBorders>
            <w:vAlign w:val="center"/>
          </w:tcPr>
          <w:p w:rsidR="00095E93" w:rsidRPr="0070017C" w:rsidRDefault="00095E93" w:rsidP="004E6F0A">
            <w:pPr>
              <w:keepNext/>
              <w:keepLines/>
              <w:spacing w:before="40" w:after="40"/>
              <w:jc w:val="left"/>
              <w:rPr>
                <w:rFonts w:ascii="Arial Narrow" w:eastAsia="Times New Roman" w:hAnsi="Arial Narrow" w:cs="Times New Roman"/>
                <w:sz w:val="20"/>
              </w:rPr>
            </w:pPr>
            <w:r w:rsidRPr="0070017C">
              <w:rPr>
                <w:rFonts w:ascii="Arial Narrow" w:eastAsia="Times New Roman" w:hAnsi="Arial Narrow" w:cs="Times New Roman"/>
                <w:sz w:val="20"/>
              </w:rPr>
              <w:t>Primary Clinical Study Report (CSR) – Study WO29522, (IMpassion130). A phase III, multicenter, randomized, placebo-controlled study of atezolizumab (anti-PD-L1 antibody) in combination with nab-paclitaxel compared with placebo with nab-paclitaxel for patients with previously untreated metastatic triple-negative breast cancer. Report No. 1085705, August 2018.</w:t>
            </w:r>
          </w:p>
        </w:tc>
        <w:tc>
          <w:tcPr>
            <w:tcW w:w="1317" w:type="pct"/>
            <w:vMerge w:val="restart"/>
            <w:vAlign w:val="center"/>
          </w:tcPr>
          <w:p w:rsidR="00095E93" w:rsidRPr="0070017C" w:rsidRDefault="00095E93" w:rsidP="004E6F0A">
            <w:pPr>
              <w:keepNext/>
              <w:keepLines/>
              <w:spacing w:before="40" w:after="40"/>
              <w:jc w:val="left"/>
              <w:rPr>
                <w:rFonts w:ascii="Arial Narrow" w:eastAsia="Times New Roman" w:hAnsi="Arial Narrow" w:cs="Times New Roman"/>
                <w:sz w:val="20"/>
              </w:rPr>
            </w:pPr>
            <w:r w:rsidRPr="0070017C">
              <w:rPr>
                <w:rFonts w:ascii="Arial Narrow" w:eastAsia="Times New Roman" w:hAnsi="Arial Narrow" w:cs="Times New Roman"/>
                <w:sz w:val="20"/>
              </w:rPr>
              <w:t>Primary and updated CSR for Study W029522, as presented with the submission.</w:t>
            </w:r>
          </w:p>
        </w:tc>
      </w:tr>
      <w:tr w:rsidR="00095E93" w:rsidRPr="0070017C" w:rsidTr="008D006C">
        <w:trPr>
          <w:trHeight w:val="1495"/>
        </w:trPr>
        <w:tc>
          <w:tcPr>
            <w:tcW w:w="626" w:type="pct"/>
            <w:vMerge/>
            <w:vAlign w:val="center"/>
          </w:tcPr>
          <w:p w:rsidR="00095E93" w:rsidRPr="0070017C" w:rsidRDefault="00095E93" w:rsidP="008D006C">
            <w:pPr>
              <w:spacing w:before="40" w:after="40"/>
              <w:jc w:val="left"/>
              <w:rPr>
                <w:rFonts w:ascii="Arial Narrow" w:eastAsia="Times New Roman" w:hAnsi="Arial Narrow" w:cs="Times New Roman"/>
                <w:sz w:val="20"/>
              </w:rPr>
            </w:pPr>
          </w:p>
        </w:tc>
        <w:tc>
          <w:tcPr>
            <w:tcW w:w="3057" w:type="pct"/>
            <w:tcBorders>
              <w:top w:val="nil"/>
              <w:bottom w:val="nil"/>
            </w:tcBorders>
            <w:vAlign w:val="center"/>
          </w:tcPr>
          <w:p w:rsidR="00095E93" w:rsidRPr="0070017C" w:rsidRDefault="00F8289C" w:rsidP="008D006C">
            <w:pPr>
              <w:spacing w:before="40" w:after="40"/>
              <w:jc w:val="left"/>
              <w:rPr>
                <w:rFonts w:ascii="Arial Narrow" w:eastAsia="Times New Roman" w:hAnsi="Arial Narrow" w:cs="Times New Roman"/>
                <w:sz w:val="20"/>
              </w:rPr>
            </w:pPr>
            <w:r>
              <w:rPr>
                <w:rFonts w:ascii="Arial Narrow" w:eastAsia="Times New Roman" w:hAnsi="Arial Narrow" w:cs="Times New Roman"/>
                <w:sz w:val="20"/>
              </w:rPr>
              <w:t>Updated C</w:t>
            </w:r>
            <w:r w:rsidR="00095E93" w:rsidRPr="0070017C">
              <w:rPr>
                <w:rFonts w:ascii="Arial Narrow" w:eastAsia="Times New Roman" w:hAnsi="Arial Narrow" w:cs="Times New Roman"/>
                <w:sz w:val="20"/>
              </w:rPr>
              <w:t>S</w:t>
            </w:r>
            <w:r>
              <w:rPr>
                <w:rFonts w:ascii="Arial Narrow" w:eastAsia="Times New Roman" w:hAnsi="Arial Narrow" w:cs="Times New Roman"/>
                <w:sz w:val="20"/>
              </w:rPr>
              <w:t>R</w:t>
            </w:r>
            <w:r w:rsidR="00095E93" w:rsidRPr="0070017C">
              <w:rPr>
                <w:rFonts w:ascii="Arial Narrow" w:eastAsia="Times New Roman" w:hAnsi="Arial Narrow" w:cs="Times New Roman"/>
                <w:sz w:val="20"/>
              </w:rPr>
              <w:t xml:space="preserve"> – Study WO29522, (IMpassion130). A phase III, multicenter, randomized, placebo-controlled study of atezolizumab (anti-PD-L1 antibody) in combination with nab-paclitaxel compared with placebo with nab-paclitaxel for patients with previously untreated metastatic triple-negative breast cancer. Second Interim Analysis of Overall Survival. Report No. 1092074, February 2019.</w:t>
            </w:r>
          </w:p>
        </w:tc>
        <w:tc>
          <w:tcPr>
            <w:tcW w:w="1317" w:type="pct"/>
            <w:vMerge/>
            <w:tcBorders>
              <w:bottom w:val="nil"/>
            </w:tcBorders>
            <w:vAlign w:val="center"/>
          </w:tcPr>
          <w:p w:rsidR="00095E93" w:rsidRPr="0070017C" w:rsidRDefault="00095E93" w:rsidP="008D006C">
            <w:pPr>
              <w:spacing w:before="40" w:after="40"/>
              <w:jc w:val="left"/>
              <w:rPr>
                <w:rFonts w:ascii="Arial Narrow" w:eastAsia="Times New Roman" w:hAnsi="Arial Narrow" w:cs="Times New Roman"/>
                <w:sz w:val="20"/>
                <w:szCs w:val="18"/>
              </w:rPr>
            </w:pPr>
          </w:p>
        </w:tc>
      </w:tr>
      <w:tr w:rsidR="00095E93" w:rsidRPr="0070017C" w:rsidTr="00340547">
        <w:tc>
          <w:tcPr>
            <w:tcW w:w="626" w:type="pct"/>
            <w:vMerge/>
            <w:vAlign w:val="center"/>
          </w:tcPr>
          <w:p w:rsidR="00095E93" w:rsidRPr="0070017C" w:rsidRDefault="00095E93" w:rsidP="008D006C">
            <w:pPr>
              <w:spacing w:before="40" w:after="40"/>
              <w:jc w:val="left"/>
              <w:rPr>
                <w:rFonts w:ascii="Arial Narrow" w:eastAsia="Times New Roman" w:hAnsi="Arial Narrow" w:cs="Times New Roman"/>
                <w:sz w:val="20"/>
              </w:rPr>
            </w:pPr>
          </w:p>
        </w:tc>
        <w:tc>
          <w:tcPr>
            <w:tcW w:w="3057" w:type="pct"/>
            <w:tcBorders>
              <w:top w:val="nil"/>
              <w:bottom w:val="nil"/>
            </w:tcBorders>
            <w:vAlign w:val="center"/>
          </w:tcPr>
          <w:p w:rsidR="00095E93" w:rsidRPr="0070017C" w:rsidRDefault="00095E93" w:rsidP="008D006C">
            <w:pPr>
              <w:spacing w:before="40" w:after="40"/>
              <w:jc w:val="left"/>
              <w:rPr>
                <w:rFonts w:ascii="Arial Narrow" w:eastAsia="Times New Roman" w:hAnsi="Arial Narrow" w:cs="Times New Roman"/>
                <w:sz w:val="20"/>
              </w:rPr>
            </w:pPr>
            <w:r w:rsidRPr="0070017C">
              <w:rPr>
                <w:rFonts w:ascii="Arial Narrow" w:eastAsia="Times New Roman" w:hAnsi="Arial Narrow" w:cs="Times New Roman"/>
                <w:sz w:val="20"/>
              </w:rPr>
              <w:t>Schmid P, Adams S, et al. Atezolizumab and nab-paclitaxel in advanced triple-negative breast cancer.</w:t>
            </w:r>
          </w:p>
        </w:tc>
        <w:tc>
          <w:tcPr>
            <w:tcW w:w="1317" w:type="pct"/>
            <w:tcBorders>
              <w:top w:val="nil"/>
              <w:bottom w:val="nil"/>
            </w:tcBorders>
          </w:tcPr>
          <w:p w:rsidR="00095E93" w:rsidRPr="0070017C" w:rsidRDefault="00095E93" w:rsidP="008D006C">
            <w:pPr>
              <w:spacing w:before="40" w:after="40"/>
              <w:jc w:val="left"/>
              <w:rPr>
                <w:rFonts w:ascii="Arial Narrow" w:eastAsia="Times New Roman" w:hAnsi="Arial Narrow" w:cs="Times New Roman"/>
                <w:sz w:val="20"/>
              </w:rPr>
            </w:pPr>
            <w:r w:rsidRPr="0070017C">
              <w:rPr>
                <w:rFonts w:ascii="Arial Narrow" w:eastAsia="Times New Roman" w:hAnsi="Arial Narrow" w:cs="Times New Roman"/>
                <w:sz w:val="20"/>
              </w:rPr>
              <w:t>New England Journal of Medicine. 2018; 379(22):2108-21.</w:t>
            </w:r>
          </w:p>
        </w:tc>
      </w:tr>
      <w:tr w:rsidR="00095E93" w:rsidRPr="0070017C" w:rsidTr="00340547">
        <w:tc>
          <w:tcPr>
            <w:tcW w:w="626" w:type="pct"/>
            <w:vMerge/>
            <w:vAlign w:val="center"/>
          </w:tcPr>
          <w:p w:rsidR="00095E93" w:rsidRPr="0070017C" w:rsidRDefault="00095E93" w:rsidP="008D006C">
            <w:pPr>
              <w:spacing w:before="40" w:after="40"/>
              <w:jc w:val="left"/>
              <w:rPr>
                <w:rFonts w:ascii="Arial Narrow" w:eastAsia="Times New Roman" w:hAnsi="Arial Narrow" w:cs="Times New Roman"/>
                <w:sz w:val="20"/>
              </w:rPr>
            </w:pPr>
          </w:p>
        </w:tc>
        <w:tc>
          <w:tcPr>
            <w:tcW w:w="3057" w:type="pct"/>
            <w:tcBorders>
              <w:top w:val="nil"/>
              <w:bottom w:val="single" w:sz="4" w:space="0" w:color="auto"/>
            </w:tcBorders>
            <w:vAlign w:val="center"/>
          </w:tcPr>
          <w:p w:rsidR="00095E93" w:rsidRPr="0070017C" w:rsidRDefault="00095E93" w:rsidP="008D006C">
            <w:pPr>
              <w:spacing w:before="40" w:after="40"/>
              <w:jc w:val="left"/>
              <w:rPr>
                <w:rFonts w:ascii="Arial Narrow" w:eastAsia="Times New Roman" w:hAnsi="Arial Narrow" w:cs="Times New Roman"/>
                <w:sz w:val="20"/>
                <w:szCs w:val="18"/>
              </w:rPr>
            </w:pPr>
            <w:r w:rsidRPr="0070017C">
              <w:rPr>
                <w:rFonts w:ascii="Arial Narrow" w:eastAsia="Times New Roman" w:hAnsi="Arial Narrow" w:cs="Times New Roman"/>
                <w:sz w:val="20"/>
              </w:rPr>
              <w:t>Emens L, Adams S, et al. IMpassion130: Phase III trial comparing 1L atezolizumab with nab-paclitaxel versus placebo with nab-paclitaxel in treatment-naive patients with mTNBC.</w:t>
            </w:r>
          </w:p>
        </w:tc>
        <w:tc>
          <w:tcPr>
            <w:tcW w:w="1317" w:type="pct"/>
            <w:tcBorders>
              <w:top w:val="nil"/>
              <w:bottom w:val="single" w:sz="4" w:space="0" w:color="auto"/>
            </w:tcBorders>
          </w:tcPr>
          <w:p w:rsidR="00095E93" w:rsidRPr="0070017C" w:rsidRDefault="00095E93" w:rsidP="008D006C">
            <w:pPr>
              <w:spacing w:before="40" w:after="40"/>
              <w:jc w:val="left"/>
              <w:rPr>
                <w:rFonts w:ascii="Arial Narrow" w:eastAsia="Times New Roman" w:hAnsi="Arial Narrow" w:cs="Times New Roman"/>
                <w:i/>
                <w:sz w:val="20"/>
              </w:rPr>
            </w:pPr>
            <w:r w:rsidRPr="0070017C">
              <w:rPr>
                <w:rFonts w:ascii="Arial Narrow" w:eastAsia="Times New Roman" w:hAnsi="Arial Narrow" w:cs="Times New Roman"/>
                <w:sz w:val="20"/>
              </w:rPr>
              <w:t>Annals of Oncology. 2016;27:ix40</w:t>
            </w:r>
          </w:p>
        </w:tc>
      </w:tr>
      <w:tr w:rsidR="00095E93" w:rsidRPr="0070017C" w:rsidTr="00340547">
        <w:tc>
          <w:tcPr>
            <w:tcW w:w="626" w:type="pct"/>
            <w:vMerge/>
            <w:vAlign w:val="center"/>
          </w:tcPr>
          <w:p w:rsidR="00095E93" w:rsidRPr="0070017C" w:rsidRDefault="00095E93" w:rsidP="008D006C">
            <w:pPr>
              <w:spacing w:before="40" w:after="40"/>
              <w:jc w:val="left"/>
              <w:rPr>
                <w:rFonts w:ascii="Arial Narrow" w:eastAsia="Times New Roman" w:hAnsi="Arial Narrow" w:cs="Times New Roman"/>
                <w:sz w:val="20"/>
              </w:rPr>
            </w:pPr>
          </w:p>
        </w:tc>
        <w:tc>
          <w:tcPr>
            <w:tcW w:w="3057" w:type="pct"/>
            <w:tcBorders>
              <w:top w:val="single" w:sz="4" w:space="0" w:color="auto"/>
              <w:bottom w:val="nil"/>
            </w:tcBorders>
            <w:vAlign w:val="center"/>
          </w:tcPr>
          <w:p w:rsidR="00095E93" w:rsidRPr="0070017C" w:rsidRDefault="00095E93" w:rsidP="008D006C">
            <w:pPr>
              <w:spacing w:before="40" w:after="40"/>
              <w:jc w:val="left"/>
              <w:rPr>
                <w:rFonts w:ascii="Arial Narrow" w:eastAsia="Times New Roman" w:hAnsi="Arial Narrow" w:cs="Times New Roman"/>
                <w:sz w:val="20"/>
                <w:szCs w:val="18"/>
              </w:rPr>
            </w:pPr>
            <w:r w:rsidRPr="0070017C">
              <w:rPr>
                <w:rFonts w:ascii="Arial Narrow" w:eastAsia="Times New Roman" w:hAnsi="Arial Narrow" w:cs="Times New Roman"/>
                <w:sz w:val="20"/>
              </w:rPr>
              <w:t>Emens L, Adams S, et al. IMpassion130: A Phase III randomized trial of atezolizumab with nab-paclitaxel for first-line treatment of patients with metastatic triple-negative breast cancer (mTNBC).</w:t>
            </w:r>
          </w:p>
        </w:tc>
        <w:tc>
          <w:tcPr>
            <w:tcW w:w="1317" w:type="pct"/>
            <w:tcBorders>
              <w:top w:val="single" w:sz="4" w:space="0" w:color="auto"/>
              <w:bottom w:val="nil"/>
            </w:tcBorders>
          </w:tcPr>
          <w:p w:rsidR="00095E93" w:rsidRPr="0070017C" w:rsidRDefault="00095E93" w:rsidP="008D006C">
            <w:pPr>
              <w:spacing w:before="40" w:after="40"/>
              <w:jc w:val="left"/>
              <w:rPr>
                <w:rFonts w:ascii="Arial Narrow" w:eastAsia="Times New Roman" w:hAnsi="Arial Narrow" w:cs="Times New Roman"/>
                <w:sz w:val="20"/>
              </w:rPr>
            </w:pPr>
            <w:r w:rsidRPr="0070017C">
              <w:rPr>
                <w:rFonts w:ascii="Arial Narrow" w:eastAsia="Times New Roman" w:hAnsi="Arial Narrow" w:cs="Times New Roman"/>
                <w:sz w:val="20"/>
              </w:rPr>
              <w:t>Journal of Clinical Oncology. 2016;34</w:t>
            </w:r>
            <w:r>
              <w:rPr>
                <w:rFonts w:ascii="Arial Narrow" w:eastAsia="Times New Roman" w:hAnsi="Arial Narrow" w:cs="Times New Roman"/>
                <w:sz w:val="20"/>
              </w:rPr>
              <w:t>, 15_suppl</w:t>
            </w:r>
            <w:r w:rsidRPr="0070017C">
              <w:rPr>
                <w:rFonts w:ascii="Arial Narrow" w:eastAsia="Times New Roman" w:hAnsi="Arial Narrow" w:cs="Times New Roman"/>
                <w:sz w:val="20"/>
              </w:rPr>
              <w:t>.</w:t>
            </w:r>
          </w:p>
        </w:tc>
      </w:tr>
      <w:tr w:rsidR="00095E93" w:rsidRPr="0070017C" w:rsidTr="008D006C">
        <w:tc>
          <w:tcPr>
            <w:tcW w:w="626" w:type="pct"/>
            <w:vMerge/>
            <w:vAlign w:val="center"/>
          </w:tcPr>
          <w:p w:rsidR="00095E93" w:rsidRPr="0070017C" w:rsidRDefault="00095E93" w:rsidP="008D006C">
            <w:pPr>
              <w:spacing w:before="40" w:after="40"/>
              <w:jc w:val="left"/>
              <w:rPr>
                <w:rFonts w:ascii="Arial Narrow" w:eastAsia="Times New Roman" w:hAnsi="Arial Narrow" w:cs="Times New Roman"/>
                <w:sz w:val="20"/>
              </w:rPr>
            </w:pPr>
          </w:p>
        </w:tc>
        <w:tc>
          <w:tcPr>
            <w:tcW w:w="3057" w:type="pct"/>
            <w:tcBorders>
              <w:top w:val="nil"/>
              <w:bottom w:val="single" w:sz="4" w:space="0" w:color="auto"/>
            </w:tcBorders>
            <w:vAlign w:val="center"/>
          </w:tcPr>
          <w:p w:rsidR="00095E93" w:rsidRPr="0070017C" w:rsidRDefault="00095E93" w:rsidP="008D006C">
            <w:pPr>
              <w:spacing w:before="40" w:after="40"/>
              <w:jc w:val="left"/>
              <w:rPr>
                <w:rFonts w:ascii="Arial Narrow" w:eastAsia="Times New Roman" w:hAnsi="Arial Narrow" w:cs="Times New Roman"/>
                <w:sz w:val="20"/>
              </w:rPr>
            </w:pPr>
            <w:r w:rsidRPr="0070017C">
              <w:rPr>
                <w:rFonts w:ascii="Arial Narrow" w:eastAsia="Times New Roman" w:hAnsi="Arial Narrow" w:cs="Times New Roman"/>
                <w:sz w:val="20"/>
              </w:rPr>
              <w:t>Emens L, Adams S, et al. A phase III randomized trial of atezolizumab in combination with nab-paclitaxel as first line therapy for patients with metastatic triple-negative breast cancer (mTNBC).</w:t>
            </w:r>
          </w:p>
        </w:tc>
        <w:tc>
          <w:tcPr>
            <w:tcW w:w="1317" w:type="pct"/>
            <w:tcBorders>
              <w:top w:val="nil"/>
              <w:bottom w:val="single" w:sz="4" w:space="0" w:color="auto"/>
            </w:tcBorders>
          </w:tcPr>
          <w:p w:rsidR="00095E93" w:rsidRPr="0070017C" w:rsidRDefault="00095E93" w:rsidP="00B27804">
            <w:pPr>
              <w:spacing w:before="40" w:after="40"/>
              <w:jc w:val="left"/>
              <w:rPr>
                <w:rFonts w:ascii="Arial Narrow" w:eastAsia="Times New Roman" w:hAnsi="Arial Narrow" w:cs="Times New Roman"/>
                <w:sz w:val="20"/>
              </w:rPr>
            </w:pPr>
            <w:r w:rsidRPr="0070017C">
              <w:rPr>
                <w:rFonts w:ascii="Arial Narrow" w:eastAsia="Times New Roman" w:hAnsi="Arial Narrow" w:cs="Times New Roman"/>
                <w:sz w:val="20"/>
              </w:rPr>
              <w:t>Cancer Research. 2016;76(4</w:t>
            </w:r>
            <w:r>
              <w:rPr>
                <w:rFonts w:ascii="Arial Narrow" w:eastAsia="Times New Roman" w:hAnsi="Arial Narrow" w:cs="Times New Roman"/>
                <w:sz w:val="20"/>
              </w:rPr>
              <w:t xml:space="preserve"> Supple):</w:t>
            </w:r>
            <w:r>
              <w:t xml:space="preserve"> </w:t>
            </w:r>
            <w:r w:rsidRPr="00DD22F7">
              <w:rPr>
                <w:rFonts w:ascii="Arial Narrow" w:eastAsia="Times New Roman" w:hAnsi="Arial Narrow" w:cs="Times New Roman"/>
                <w:sz w:val="20"/>
              </w:rPr>
              <w:t>Abstract nr OT1-01-06</w:t>
            </w:r>
            <w:r w:rsidRPr="0070017C">
              <w:rPr>
                <w:rFonts w:ascii="Arial Narrow" w:eastAsia="Times New Roman" w:hAnsi="Arial Narrow" w:cs="Times New Roman"/>
                <w:sz w:val="20"/>
              </w:rPr>
              <w:t>.</w:t>
            </w:r>
          </w:p>
        </w:tc>
      </w:tr>
      <w:tr w:rsidR="00095E93" w:rsidRPr="0070017C" w:rsidTr="008D006C">
        <w:trPr>
          <w:cantSplit/>
        </w:trPr>
        <w:tc>
          <w:tcPr>
            <w:tcW w:w="626" w:type="pct"/>
            <w:vMerge/>
            <w:vAlign w:val="center"/>
          </w:tcPr>
          <w:p w:rsidR="00095E93" w:rsidRPr="0070017C" w:rsidRDefault="00095E93" w:rsidP="008D006C">
            <w:pPr>
              <w:spacing w:before="40" w:after="40"/>
              <w:jc w:val="left"/>
              <w:rPr>
                <w:rFonts w:ascii="Arial Narrow" w:eastAsia="Times New Roman" w:hAnsi="Arial Narrow" w:cs="Times New Roman"/>
                <w:sz w:val="20"/>
              </w:rPr>
            </w:pPr>
          </w:p>
        </w:tc>
        <w:tc>
          <w:tcPr>
            <w:tcW w:w="3057" w:type="pct"/>
            <w:tcBorders>
              <w:top w:val="single" w:sz="4" w:space="0" w:color="auto"/>
              <w:bottom w:val="nil"/>
            </w:tcBorders>
            <w:vAlign w:val="center"/>
          </w:tcPr>
          <w:p w:rsidR="00095E93" w:rsidRPr="0070017C" w:rsidRDefault="00095E93" w:rsidP="008D006C">
            <w:pPr>
              <w:spacing w:before="40" w:after="40"/>
              <w:jc w:val="left"/>
              <w:rPr>
                <w:rFonts w:ascii="Arial Narrow" w:eastAsia="Times New Roman" w:hAnsi="Arial Narrow" w:cs="Times New Roman"/>
                <w:sz w:val="20"/>
              </w:rPr>
            </w:pPr>
            <w:r w:rsidRPr="0070017C">
              <w:rPr>
                <w:rFonts w:ascii="Arial Narrow" w:eastAsia="Times New Roman" w:hAnsi="Arial Narrow" w:cs="Times New Roman"/>
                <w:sz w:val="20"/>
              </w:rPr>
              <w:t>Schmid, Adams S, et al. IMpassion130: updated overall survival (OS) from a global, randomized, double-blind, placebo-controlled, Phase III study of atezolizumab (atezo) + nab-paclitaxel (nP) in previously untreated locally advanced or metastatic triple-negative breast cancer (mTNBC).</w:t>
            </w:r>
          </w:p>
        </w:tc>
        <w:tc>
          <w:tcPr>
            <w:tcW w:w="1317" w:type="pct"/>
            <w:tcBorders>
              <w:top w:val="single" w:sz="4" w:space="0" w:color="auto"/>
              <w:bottom w:val="nil"/>
            </w:tcBorders>
          </w:tcPr>
          <w:p w:rsidR="00095E93" w:rsidRPr="0070017C" w:rsidRDefault="00095E93" w:rsidP="008D006C">
            <w:pPr>
              <w:spacing w:before="40" w:after="40"/>
              <w:jc w:val="left"/>
              <w:rPr>
                <w:rFonts w:ascii="Arial Narrow" w:eastAsia="Times New Roman" w:hAnsi="Arial Narrow" w:cs="Times New Roman"/>
                <w:sz w:val="20"/>
              </w:rPr>
            </w:pPr>
            <w:r w:rsidRPr="0070017C">
              <w:rPr>
                <w:rFonts w:ascii="Arial Narrow" w:eastAsia="Times New Roman" w:hAnsi="Arial Narrow" w:cs="Times New Roman"/>
                <w:sz w:val="20"/>
              </w:rPr>
              <w:t>Journal of Clinical Oncology 37, 2019 (suppl; abstr 1003).</w:t>
            </w:r>
          </w:p>
        </w:tc>
      </w:tr>
      <w:tr w:rsidR="00095E93" w:rsidRPr="0070017C" w:rsidTr="008D006C">
        <w:tc>
          <w:tcPr>
            <w:tcW w:w="626" w:type="pct"/>
            <w:vMerge/>
            <w:vAlign w:val="center"/>
          </w:tcPr>
          <w:p w:rsidR="00095E93" w:rsidRPr="0070017C" w:rsidRDefault="00095E93" w:rsidP="008D006C">
            <w:pPr>
              <w:spacing w:before="40" w:after="40"/>
              <w:jc w:val="left"/>
              <w:rPr>
                <w:rFonts w:ascii="Arial Narrow" w:eastAsia="Times New Roman" w:hAnsi="Arial Narrow" w:cs="Times New Roman"/>
                <w:sz w:val="20"/>
              </w:rPr>
            </w:pPr>
          </w:p>
        </w:tc>
        <w:tc>
          <w:tcPr>
            <w:tcW w:w="3057" w:type="pct"/>
            <w:tcBorders>
              <w:top w:val="nil"/>
              <w:bottom w:val="nil"/>
            </w:tcBorders>
            <w:vAlign w:val="center"/>
          </w:tcPr>
          <w:p w:rsidR="00095E93" w:rsidRPr="0070017C" w:rsidRDefault="00095E93" w:rsidP="008D006C">
            <w:pPr>
              <w:spacing w:before="40" w:after="40"/>
              <w:jc w:val="left"/>
              <w:rPr>
                <w:rFonts w:ascii="Arial Narrow" w:eastAsia="Times New Roman" w:hAnsi="Arial Narrow" w:cs="Times New Roman"/>
                <w:sz w:val="20"/>
              </w:rPr>
            </w:pPr>
            <w:r w:rsidRPr="0070017C">
              <w:rPr>
                <w:rFonts w:ascii="Arial Narrow" w:eastAsia="Times New Roman" w:hAnsi="Arial Narrow" w:cs="Times New Roman"/>
                <w:sz w:val="20"/>
              </w:rPr>
              <w:t>Schneeweiss A, Rugo HS, et al. IMpassion130: Expanded safety analysis from a P3 study of atezolizumab (A) + nab-paclitaxel (nP) in patients (pts) with treatment (tx)-naïve, locally advanced or metastatic triple-negative breast cancer (mTNBC).</w:t>
            </w:r>
          </w:p>
        </w:tc>
        <w:tc>
          <w:tcPr>
            <w:tcW w:w="1317" w:type="pct"/>
            <w:tcBorders>
              <w:top w:val="nil"/>
              <w:bottom w:val="nil"/>
            </w:tcBorders>
          </w:tcPr>
          <w:p w:rsidR="00095E93" w:rsidRPr="0070017C" w:rsidRDefault="00095E93" w:rsidP="008D006C">
            <w:pPr>
              <w:spacing w:before="40" w:after="40"/>
              <w:jc w:val="left"/>
              <w:rPr>
                <w:rFonts w:ascii="Arial Narrow" w:eastAsia="Times New Roman" w:hAnsi="Arial Narrow" w:cs="Times New Roman"/>
                <w:sz w:val="20"/>
              </w:rPr>
            </w:pPr>
            <w:r w:rsidRPr="0070017C">
              <w:rPr>
                <w:rFonts w:ascii="Arial Narrow" w:eastAsia="Times New Roman" w:hAnsi="Arial Narrow" w:cs="Times New Roman"/>
                <w:sz w:val="20"/>
              </w:rPr>
              <w:t>Journal of Clinical Oncology 37, 2019 (suppl; abstr 1068).</w:t>
            </w:r>
          </w:p>
        </w:tc>
      </w:tr>
      <w:tr w:rsidR="00095E93" w:rsidRPr="0070017C" w:rsidTr="008D006C">
        <w:tc>
          <w:tcPr>
            <w:tcW w:w="626" w:type="pct"/>
            <w:vMerge/>
            <w:vAlign w:val="center"/>
          </w:tcPr>
          <w:p w:rsidR="00095E93" w:rsidRPr="0070017C" w:rsidRDefault="00095E93" w:rsidP="008D006C">
            <w:pPr>
              <w:spacing w:before="40" w:after="40"/>
              <w:jc w:val="left"/>
              <w:rPr>
                <w:rFonts w:ascii="Arial Narrow" w:eastAsia="Times New Roman" w:hAnsi="Arial Narrow" w:cs="Times New Roman"/>
                <w:sz w:val="20"/>
              </w:rPr>
            </w:pPr>
          </w:p>
        </w:tc>
        <w:tc>
          <w:tcPr>
            <w:tcW w:w="3057" w:type="pct"/>
            <w:tcBorders>
              <w:top w:val="nil"/>
              <w:bottom w:val="nil"/>
            </w:tcBorders>
            <w:vAlign w:val="center"/>
          </w:tcPr>
          <w:p w:rsidR="00095E93" w:rsidRPr="0070017C" w:rsidRDefault="00095E93" w:rsidP="008D006C">
            <w:pPr>
              <w:spacing w:before="40" w:after="40"/>
              <w:jc w:val="left"/>
              <w:rPr>
                <w:rFonts w:ascii="Arial Narrow" w:eastAsia="Times New Roman" w:hAnsi="Arial Narrow" w:cs="Times New Roman"/>
                <w:sz w:val="20"/>
              </w:rPr>
            </w:pPr>
            <w:r w:rsidRPr="0070017C">
              <w:rPr>
                <w:rFonts w:ascii="Arial Narrow" w:eastAsia="Times New Roman" w:hAnsi="Arial Narrow" w:cs="Times New Roman"/>
                <w:sz w:val="20"/>
              </w:rPr>
              <w:t>Adams S, Dieras V, et al. Patient-reported outcomes (PROs) from the phase III IMpassion130 trial of atezolizumab (atezo) plus nabpaclitaxel (nP) in metastatic triple-negative breast cancer (mTNBC).</w:t>
            </w:r>
          </w:p>
        </w:tc>
        <w:tc>
          <w:tcPr>
            <w:tcW w:w="1317" w:type="pct"/>
            <w:tcBorders>
              <w:top w:val="nil"/>
              <w:bottom w:val="nil"/>
            </w:tcBorders>
          </w:tcPr>
          <w:p w:rsidR="00095E93" w:rsidRPr="0070017C" w:rsidRDefault="00095E93" w:rsidP="008D006C">
            <w:pPr>
              <w:spacing w:before="40" w:after="40"/>
              <w:jc w:val="left"/>
              <w:rPr>
                <w:rFonts w:ascii="Arial Narrow" w:eastAsia="Times New Roman" w:hAnsi="Arial Narrow" w:cs="Times New Roman"/>
                <w:sz w:val="20"/>
              </w:rPr>
            </w:pPr>
            <w:r w:rsidRPr="0070017C">
              <w:rPr>
                <w:rFonts w:ascii="Arial Narrow" w:eastAsia="Times New Roman" w:hAnsi="Arial Narrow" w:cs="Times New Roman"/>
                <w:sz w:val="20"/>
              </w:rPr>
              <w:t>Journal of Clinical Oncology 37, 2019 (suppl; abstr 1067).</w:t>
            </w:r>
          </w:p>
        </w:tc>
      </w:tr>
      <w:tr w:rsidR="00095E93" w:rsidRPr="0070017C" w:rsidTr="008D006C">
        <w:tc>
          <w:tcPr>
            <w:tcW w:w="626" w:type="pct"/>
            <w:vMerge/>
            <w:tcBorders>
              <w:bottom w:val="single" w:sz="4" w:space="0" w:color="auto"/>
            </w:tcBorders>
            <w:vAlign w:val="center"/>
          </w:tcPr>
          <w:p w:rsidR="00095E93" w:rsidRPr="0070017C" w:rsidRDefault="00095E93" w:rsidP="008D006C">
            <w:pPr>
              <w:spacing w:before="40" w:after="40"/>
              <w:jc w:val="left"/>
              <w:rPr>
                <w:rFonts w:ascii="Arial Narrow" w:eastAsia="Times New Roman" w:hAnsi="Arial Narrow" w:cs="Times New Roman"/>
                <w:sz w:val="20"/>
              </w:rPr>
            </w:pPr>
          </w:p>
        </w:tc>
        <w:tc>
          <w:tcPr>
            <w:tcW w:w="3057" w:type="pct"/>
            <w:tcBorders>
              <w:top w:val="nil"/>
              <w:bottom w:val="single" w:sz="4" w:space="0" w:color="auto"/>
            </w:tcBorders>
            <w:vAlign w:val="center"/>
          </w:tcPr>
          <w:p w:rsidR="00095E93" w:rsidRPr="0070017C" w:rsidRDefault="00095E93" w:rsidP="00B27804">
            <w:pPr>
              <w:spacing w:before="40" w:after="40"/>
              <w:jc w:val="left"/>
              <w:rPr>
                <w:rFonts w:ascii="Arial Narrow" w:eastAsia="Times New Roman" w:hAnsi="Arial Narrow" w:cs="Times New Roman"/>
                <w:sz w:val="20"/>
              </w:rPr>
            </w:pPr>
            <w:r w:rsidRPr="0070017C">
              <w:rPr>
                <w:rFonts w:ascii="Arial Narrow" w:eastAsia="Times New Roman" w:hAnsi="Arial Narrow" w:cs="Times New Roman"/>
                <w:b/>
                <w:sz w:val="20"/>
              </w:rPr>
              <w:t xml:space="preserve">Clinical trial registry entry: </w:t>
            </w:r>
            <w:r w:rsidRPr="0070017C">
              <w:rPr>
                <w:rFonts w:ascii="Arial Narrow" w:eastAsia="Times New Roman" w:hAnsi="Arial Narrow" w:cs="Times New Roman"/>
                <w:sz w:val="20"/>
              </w:rPr>
              <w:t>NCT02425891 (Phase III)</w:t>
            </w:r>
          </w:p>
        </w:tc>
        <w:tc>
          <w:tcPr>
            <w:tcW w:w="1317" w:type="pct"/>
            <w:tcBorders>
              <w:top w:val="nil"/>
              <w:bottom w:val="single" w:sz="4" w:space="0" w:color="auto"/>
            </w:tcBorders>
            <w:vAlign w:val="center"/>
          </w:tcPr>
          <w:p w:rsidR="00095E93" w:rsidRPr="0070017C" w:rsidRDefault="00095E93" w:rsidP="008D006C">
            <w:pPr>
              <w:spacing w:before="40" w:after="40"/>
              <w:jc w:val="left"/>
              <w:rPr>
                <w:rFonts w:ascii="Arial Narrow" w:eastAsia="Times New Roman" w:hAnsi="Arial Narrow" w:cs="Times New Roman"/>
                <w:sz w:val="20"/>
              </w:rPr>
            </w:pPr>
            <w:r w:rsidRPr="0070017C">
              <w:rPr>
                <w:rFonts w:ascii="Arial Narrow" w:eastAsia="Times New Roman" w:hAnsi="Arial Narrow" w:cs="Times New Roman"/>
                <w:sz w:val="20"/>
              </w:rPr>
              <w:t>https://clinicaltrials.gov/show/nct02425891. 2015.</w:t>
            </w:r>
          </w:p>
        </w:tc>
      </w:tr>
    </w:tbl>
    <w:p w:rsidR="00095E93" w:rsidRDefault="00095E93" w:rsidP="00095E93">
      <w:pPr>
        <w:pStyle w:val="TableFooter"/>
      </w:pPr>
      <w:r w:rsidRPr="0070017C">
        <w:t xml:space="preserve">Source: Table .2.1, pp 59-60 of the </w:t>
      </w:r>
      <w:r w:rsidR="008D006C">
        <w:t>s</w:t>
      </w:r>
      <w:r w:rsidRPr="00960360">
        <w:t>ubmission</w:t>
      </w:r>
      <w:r w:rsidRPr="0070017C">
        <w:t>.</w:t>
      </w:r>
    </w:p>
    <w:p w:rsidR="00095E93" w:rsidRDefault="00095E93" w:rsidP="00095E93">
      <w:pPr>
        <w:pStyle w:val="ListParagraph"/>
        <w:numPr>
          <w:ilvl w:val="4"/>
          <w:numId w:val="1"/>
        </w:numPr>
      </w:pPr>
      <w:r w:rsidRPr="0070017C">
        <w:t xml:space="preserve">The key features of the </w:t>
      </w:r>
      <w:r>
        <w:t>included evidence</w:t>
      </w:r>
      <w:r w:rsidRPr="0070017C">
        <w:t xml:space="preserve"> are summarised in the table below</w:t>
      </w:r>
    </w:p>
    <w:p w:rsidR="00095E93" w:rsidRDefault="00095E93" w:rsidP="00095E93">
      <w:pPr>
        <w:pStyle w:val="Caption"/>
      </w:pPr>
      <w:r>
        <w:t xml:space="preserve">Table </w:t>
      </w:r>
      <w:r w:rsidR="00074BE0">
        <w:rPr>
          <w:noProof/>
        </w:rPr>
        <w:t>4</w:t>
      </w:r>
      <w:r w:rsidR="00EF5451">
        <w:rPr>
          <w:noProof/>
        </w:rPr>
        <w:t xml:space="preserve">: </w:t>
      </w:r>
      <w:r>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66"/>
        <w:gridCol w:w="1664"/>
        <w:gridCol w:w="849"/>
        <w:gridCol w:w="707"/>
        <w:gridCol w:w="2267"/>
        <w:gridCol w:w="994"/>
        <w:gridCol w:w="1369"/>
      </w:tblGrid>
      <w:tr w:rsidR="00095E93" w:rsidRPr="00B81E3E" w:rsidTr="00072D1D">
        <w:trPr>
          <w:cantSplit/>
          <w:tblHeader/>
        </w:trPr>
        <w:tc>
          <w:tcPr>
            <w:tcW w:w="647" w:type="pct"/>
            <w:shd w:val="clear" w:color="auto" w:fill="auto"/>
            <w:vAlign w:val="center"/>
          </w:tcPr>
          <w:p w:rsidR="00095E93" w:rsidRPr="00B81E3E" w:rsidRDefault="00095E93" w:rsidP="00095E93">
            <w:pPr>
              <w:keepNext/>
              <w:spacing w:before="0" w:after="0"/>
              <w:jc w:val="left"/>
              <w:rPr>
                <w:rFonts w:ascii="Arial Narrow" w:eastAsia="MS Gothic" w:hAnsi="Arial Narrow" w:cs="Times New Roman"/>
                <w:b/>
                <w:sz w:val="20"/>
                <w:szCs w:val="24"/>
                <w:lang w:val="en-US" w:eastAsia="en-AU"/>
              </w:rPr>
            </w:pPr>
            <w:r w:rsidRPr="00B81E3E">
              <w:rPr>
                <w:rFonts w:ascii="Arial Narrow" w:eastAsia="MS Gothic" w:hAnsi="Arial Narrow" w:cs="Times New Roman"/>
                <w:b/>
                <w:sz w:val="20"/>
                <w:szCs w:val="24"/>
                <w:lang w:val="en-US" w:eastAsia="en-AU"/>
              </w:rPr>
              <w:t>Trial</w:t>
            </w:r>
          </w:p>
        </w:tc>
        <w:tc>
          <w:tcPr>
            <w:tcW w:w="923" w:type="pct"/>
            <w:shd w:val="clear" w:color="auto" w:fill="auto"/>
            <w:vAlign w:val="center"/>
          </w:tcPr>
          <w:p w:rsidR="00095E93" w:rsidRPr="00B81E3E" w:rsidRDefault="00095E93" w:rsidP="00095E93">
            <w:pPr>
              <w:keepNext/>
              <w:spacing w:before="0" w:after="0"/>
              <w:jc w:val="center"/>
              <w:rPr>
                <w:rFonts w:ascii="Arial Narrow" w:eastAsia="MS Gothic" w:hAnsi="Arial Narrow" w:cs="Times New Roman"/>
                <w:b/>
                <w:sz w:val="20"/>
                <w:szCs w:val="24"/>
                <w:lang w:val="en-US" w:eastAsia="en-AU"/>
              </w:rPr>
            </w:pPr>
            <w:r w:rsidRPr="00B81E3E">
              <w:rPr>
                <w:rFonts w:ascii="Arial Narrow" w:eastAsia="MS Gothic" w:hAnsi="Arial Narrow" w:cs="Times New Roman"/>
                <w:b/>
                <w:sz w:val="20"/>
                <w:szCs w:val="24"/>
                <w:lang w:val="en-US" w:eastAsia="en-AU"/>
              </w:rPr>
              <w:t>N</w:t>
            </w:r>
          </w:p>
        </w:tc>
        <w:tc>
          <w:tcPr>
            <w:tcW w:w="471" w:type="pct"/>
            <w:shd w:val="clear" w:color="auto" w:fill="auto"/>
            <w:vAlign w:val="center"/>
          </w:tcPr>
          <w:p w:rsidR="00095E93" w:rsidRPr="00B81E3E" w:rsidRDefault="00095E93" w:rsidP="00095E93">
            <w:pPr>
              <w:keepNext/>
              <w:spacing w:before="0" w:after="0"/>
              <w:jc w:val="center"/>
              <w:rPr>
                <w:rFonts w:ascii="Arial Narrow" w:eastAsia="MS Gothic" w:hAnsi="Arial Narrow" w:cs="Times New Roman"/>
                <w:b/>
                <w:sz w:val="20"/>
                <w:szCs w:val="24"/>
                <w:lang w:val="en-US" w:eastAsia="en-AU"/>
              </w:rPr>
            </w:pPr>
            <w:r w:rsidRPr="00B81E3E">
              <w:rPr>
                <w:rFonts w:ascii="Arial Narrow" w:eastAsia="MS Gothic" w:hAnsi="Arial Narrow" w:cs="Times New Roman"/>
                <w:b/>
                <w:sz w:val="20"/>
                <w:szCs w:val="24"/>
                <w:lang w:val="en-US" w:eastAsia="en-AU"/>
              </w:rPr>
              <w:t>Design/ duration</w:t>
            </w:r>
          </w:p>
        </w:tc>
        <w:tc>
          <w:tcPr>
            <w:tcW w:w="392" w:type="pct"/>
            <w:shd w:val="clear" w:color="auto" w:fill="auto"/>
            <w:vAlign w:val="center"/>
          </w:tcPr>
          <w:p w:rsidR="00095E93" w:rsidRPr="00B81E3E" w:rsidRDefault="00095E93" w:rsidP="00095E93">
            <w:pPr>
              <w:keepNext/>
              <w:spacing w:before="0" w:after="0"/>
              <w:jc w:val="center"/>
              <w:rPr>
                <w:rFonts w:ascii="Arial Narrow" w:eastAsia="MS Gothic" w:hAnsi="Arial Narrow" w:cs="Times New Roman"/>
                <w:b/>
                <w:sz w:val="20"/>
                <w:szCs w:val="24"/>
                <w:lang w:val="en-US" w:eastAsia="en-AU"/>
              </w:rPr>
            </w:pPr>
            <w:r w:rsidRPr="00B81E3E">
              <w:rPr>
                <w:rFonts w:ascii="Arial Narrow" w:eastAsia="MS Gothic" w:hAnsi="Arial Narrow" w:cs="Times New Roman"/>
                <w:b/>
                <w:sz w:val="20"/>
                <w:szCs w:val="24"/>
                <w:lang w:val="en-US" w:eastAsia="en-AU"/>
              </w:rPr>
              <w:t>Risk of bias</w:t>
            </w:r>
          </w:p>
        </w:tc>
        <w:tc>
          <w:tcPr>
            <w:tcW w:w="1257" w:type="pct"/>
            <w:shd w:val="clear" w:color="auto" w:fill="auto"/>
            <w:vAlign w:val="center"/>
          </w:tcPr>
          <w:p w:rsidR="00095E93" w:rsidRPr="00B81E3E" w:rsidRDefault="00095E93" w:rsidP="00095E93">
            <w:pPr>
              <w:keepNext/>
              <w:spacing w:before="0" w:after="0"/>
              <w:jc w:val="center"/>
              <w:rPr>
                <w:rFonts w:ascii="Arial Narrow" w:eastAsia="MS Gothic" w:hAnsi="Arial Narrow" w:cs="Times New Roman"/>
                <w:b/>
                <w:sz w:val="20"/>
                <w:szCs w:val="24"/>
                <w:lang w:val="en-US" w:eastAsia="en-AU"/>
              </w:rPr>
            </w:pPr>
            <w:r w:rsidRPr="00B81E3E">
              <w:rPr>
                <w:rFonts w:ascii="Arial Narrow" w:eastAsia="MS Gothic" w:hAnsi="Arial Narrow" w:cs="Times New Roman"/>
                <w:b/>
                <w:sz w:val="20"/>
                <w:szCs w:val="24"/>
                <w:lang w:val="en-US" w:eastAsia="en-AU"/>
              </w:rPr>
              <w:t>Patient population</w:t>
            </w:r>
          </w:p>
        </w:tc>
        <w:tc>
          <w:tcPr>
            <w:tcW w:w="551" w:type="pct"/>
            <w:shd w:val="clear" w:color="auto" w:fill="auto"/>
            <w:vAlign w:val="center"/>
          </w:tcPr>
          <w:p w:rsidR="00095E93" w:rsidRPr="00B81E3E" w:rsidRDefault="00095E93" w:rsidP="00095E93">
            <w:pPr>
              <w:keepNext/>
              <w:spacing w:before="0" w:after="0"/>
              <w:jc w:val="center"/>
              <w:rPr>
                <w:rFonts w:ascii="Arial Narrow" w:eastAsia="MS Gothic" w:hAnsi="Arial Narrow" w:cs="Times New Roman"/>
                <w:b/>
                <w:sz w:val="20"/>
                <w:szCs w:val="24"/>
                <w:lang w:val="en-US" w:eastAsia="en-AU"/>
              </w:rPr>
            </w:pPr>
            <w:r w:rsidRPr="00B81E3E">
              <w:rPr>
                <w:rFonts w:ascii="Arial Narrow" w:eastAsia="MS Gothic" w:hAnsi="Arial Narrow" w:cs="Times New Roman"/>
                <w:b/>
                <w:sz w:val="20"/>
                <w:szCs w:val="24"/>
                <w:lang w:val="en-US" w:eastAsia="en-AU"/>
              </w:rPr>
              <w:t>Outcomes</w:t>
            </w:r>
          </w:p>
        </w:tc>
        <w:tc>
          <w:tcPr>
            <w:tcW w:w="759" w:type="pct"/>
            <w:shd w:val="clear" w:color="auto" w:fill="auto"/>
            <w:vAlign w:val="center"/>
          </w:tcPr>
          <w:p w:rsidR="00095E93" w:rsidRPr="00B81E3E" w:rsidRDefault="00095E93" w:rsidP="00095E93">
            <w:pPr>
              <w:keepNext/>
              <w:spacing w:before="0" w:after="0"/>
              <w:jc w:val="center"/>
              <w:rPr>
                <w:rFonts w:ascii="Arial Narrow" w:eastAsia="MS Gothic" w:hAnsi="Arial Narrow" w:cs="Times New Roman"/>
                <w:b/>
                <w:sz w:val="20"/>
                <w:szCs w:val="24"/>
                <w:lang w:val="en-US" w:eastAsia="en-AU"/>
              </w:rPr>
            </w:pPr>
            <w:r w:rsidRPr="00B81E3E">
              <w:rPr>
                <w:rFonts w:ascii="Arial Narrow" w:eastAsia="MS Gothic" w:hAnsi="Arial Narrow" w:cs="Times New Roman"/>
                <w:b/>
                <w:sz w:val="20"/>
                <w:szCs w:val="24"/>
                <w:lang w:val="en-US" w:eastAsia="en-AU"/>
              </w:rPr>
              <w:t>Use in modelled evaluation</w:t>
            </w:r>
          </w:p>
        </w:tc>
      </w:tr>
      <w:tr w:rsidR="00095E93" w:rsidRPr="00B81E3E" w:rsidTr="00095E93">
        <w:trPr>
          <w:cantSplit/>
        </w:trPr>
        <w:tc>
          <w:tcPr>
            <w:tcW w:w="5000" w:type="pct"/>
            <w:gridSpan w:val="7"/>
            <w:shd w:val="clear" w:color="auto" w:fill="auto"/>
            <w:vAlign w:val="center"/>
          </w:tcPr>
          <w:p w:rsidR="00095E93" w:rsidRPr="00B81E3E" w:rsidRDefault="00095E93" w:rsidP="0087572F">
            <w:pPr>
              <w:keepNext/>
              <w:spacing w:before="0" w:after="0"/>
              <w:jc w:val="left"/>
              <w:rPr>
                <w:rFonts w:ascii="Arial Narrow" w:eastAsia="MS Gothic" w:hAnsi="Arial Narrow" w:cs="Times New Roman"/>
                <w:b/>
                <w:sz w:val="20"/>
                <w:szCs w:val="24"/>
                <w:lang w:val="en-US" w:eastAsia="en-AU"/>
              </w:rPr>
            </w:pPr>
            <w:r w:rsidRPr="00B81E3E">
              <w:rPr>
                <w:rFonts w:ascii="Arial Narrow" w:eastAsia="MS Gothic" w:hAnsi="Arial Narrow" w:cs="Times New Roman"/>
                <w:b/>
                <w:sz w:val="20"/>
                <w:szCs w:val="24"/>
                <w:lang w:val="en-US" w:eastAsia="en-AU"/>
              </w:rPr>
              <w:t>ATZ+nab-P v</w:t>
            </w:r>
            <w:r w:rsidR="0087572F">
              <w:rPr>
                <w:rFonts w:ascii="Arial Narrow" w:eastAsia="MS Gothic" w:hAnsi="Arial Narrow" w:cs="Times New Roman"/>
                <w:b/>
                <w:sz w:val="20"/>
                <w:szCs w:val="24"/>
                <w:lang w:val="en-US" w:eastAsia="en-AU"/>
              </w:rPr>
              <w:t>ersus</w:t>
            </w:r>
            <w:r w:rsidRPr="00B81E3E">
              <w:rPr>
                <w:rFonts w:ascii="Arial Narrow" w:eastAsia="MS Gothic" w:hAnsi="Arial Narrow" w:cs="Times New Roman"/>
                <w:b/>
                <w:sz w:val="20"/>
                <w:szCs w:val="24"/>
                <w:lang w:val="en-US" w:eastAsia="en-AU"/>
              </w:rPr>
              <w:t xml:space="preserve"> PBO+nab-P</w:t>
            </w:r>
          </w:p>
        </w:tc>
      </w:tr>
      <w:tr w:rsidR="00095E93" w:rsidRPr="00B81E3E" w:rsidTr="00072D1D">
        <w:trPr>
          <w:cantSplit/>
        </w:trPr>
        <w:tc>
          <w:tcPr>
            <w:tcW w:w="647" w:type="pct"/>
            <w:shd w:val="clear" w:color="auto" w:fill="auto"/>
            <w:vAlign w:val="center"/>
          </w:tcPr>
          <w:p w:rsidR="00095E93" w:rsidRPr="00B81E3E" w:rsidRDefault="00095E93" w:rsidP="00095E93">
            <w:pPr>
              <w:keepNext/>
              <w:spacing w:before="0" w:after="0"/>
              <w:jc w:val="left"/>
              <w:rPr>
                <w:rFonts w:ascii="Arial Narrow" w:eastAsia="MS Gothic" w:hAnsi="Arial Narrow" w:cs="Times New Roman"/>
                <w:bCs/>
                <w:sz w:val="20"/>
                <w:szCs w:val="24"/>
                <w:lang w:val="en-US" w:eastAsia="en-AU"/>
              </w:rPr>
            </w:pPr>
            <w:r w:rsidRPr="00B81E3E">
              <w:rPr>
                <w:rFonts w:ascii="Arial Narrow" w:eastAsia="MS Gothic" w:hAnsi="Arial Narrow" w:cs="Times New Roman"/>
                <w:bCs/>
                <w:sz w:val="20"/>
                <w:szCs w:val="24"/>
                <w:lang w:val="en-US" w:eastAsia="en-AU"/>
              </w:rPr>
              <w:t>IMpassion130</w:t>
            </w:r>
          </w:p>
        </w:tc>
        <w:tc>
          <w:tcPr>
            <w:tcW w:w="923" w:type="pct"/>
            <w:shd w:val="clear" w:color="auto" w:fill="auto"/>
            <w:vAlign w:val="center"/>
          </w:tcPr>
          <w:p w:rsidR="00095E93" w:rsidRPr="00B81E3E" w:rsidRDefault="00095E93" w:rsidP="00095E93">
            <w:pPr>
              <w:keepNext/>
              <w:spacing w:before="0" w:after="0"/>
              <w:jc w:val="center"/>
              <w:rPr>
                <w:rFonts w:ascii="Arial Narrow" w:eastAsia="MS Gothic" w:hAnsi="Arial Narrow" w:cs="Times New Roman"/>
                <w:bCs/>
                <w:sz w:val="20"/>
                <w:szCs w:val="24"/>
                <w:lang w:val="en-US" w:eastAsia="en-AU"/>
              </w:rPr>
            </w:pPr>
            <w:r w:rsidRPr="00B81E3E">
              <w:rPr>
                <w:rFonts w:ascii="Arial Narrow" w:eastAsia="MS Gothic" w:hAnsi="Arial Narrow" w:cs="Times New Roman"/>
                <w:bCs/>
                <w:sz w:val="20"/>
                <w:szCs w:val="24"/>
                <w:lang w:val="en-US" w:eastAsia="en-AU"/>
              </w:rPr>
              <w:t>902 (ITT)</w:t>
            </w:r>
          </w:p>
          <w:p w:rsidR="00095E93" w:rsidRPr="00B81E3E" w:rsidRDefault="00095E93" w:rsidP="00095E93">
            <w:pPr>
              <w:keepNext/>
              <w:spacing w:before="0" w:after="0"/>
              <w:jc w:val="center"/>
              <w:rPr>
                <w:rFonts w:ascii="Arial Narrow" w:eastAsia="MS Gothic" w:hAnsi="Arial Narrow" w:cs="Times New Roman"/>
                <w:bCs/>
                <w:sz w:val="20"/>
                <w:szCs w:val="24"/>
                <w:lang w:val="en-US" w:eastAsia="en-AU"/>
              </w:rPr>
            </w:pPr>
            <w:r w:rsidRPr="00B81E3E">
              <w:rPr>
                <w:rFonts w:ascii="Arial Narrow" w:eastAsia="MS Gothic" w:hAnsi="Arial Narrow" w:cs="Times New Roman"/>
                <w:bCs/>
                <w:sz w:val="20"/>
                <w:szCs w:val="24"/>
                <w:lang w:val="en-US" w:eastAsia="en-AU"/>
              </w:rPr>
              <w:t>369 (PD-L1+ subgroup)</w:t>
            </w:r>
          </w:p>
        </w:tc>
        <w:tc>
          <w:tcPr>
            <w:tcW w:w="471" w:type="pct"/>
            <w:shd w:val="clear" w:color="auto" w:fill="auto"/>
            <w:vAlign w:val="center"/>
          </w:tcPr>
          <w:p w:rsidR="00095E93" w:rsidRPr="00B81E3E" w:rsidRDefault="00095E93" w:rsidP="00095E93">
            <w:pPr>
              <w:keepNext/>
              <w:spacing w:before="0" w:after="0"/>
              <w:jc w:val="center"/>
              <w:rPr>
                <w:rFonts w:ascii="Arial Narrow" w:eastAsia="MS Gothic" w:hAnsi="Arial Narrow" w:cs="Times New Roman"/>
                <w:bCs/>
                <w:sz w:val="20"/>
                <w:szCs w:val="24"/>
                <w:lang w:val="en-US" w:eastAsia="en-AU"/>
              </w:rPr>
            </w:pPr>
            <w:r w:rsidRPr="00B81E3E">
              <w:rPr>
                <w:rFonts w:ascii="Arial Narrow" w:eastAsia="MS Gothic" w:hAnsi="Arial Narrow" w:cs="Times New Roman"/>
                <w:bCs/>
                <w:sz w:val="20"/>
                <w:szCs w:val="24"/>
                <w:lang w:val="en-US" w:eastAsia="en-AU"/>
              </w:rPr>
              <w:t>R, DB</w:t>
            </w:r>
          </w:p>
          <w:p w:rsidR="00095E93" w:rsidRPr="0083589D" w:rsidRDefault="00095E93" w:rsidP="00095E93">
            <w:pPr>
              <w:keepNext/>
              <w:spacing w:before="0" w:after="0"/>
              <w:jc w:val="center"/>
              <w:rPr>
                <w:rFonts w:ascii="Arial Narrow" w:eastAsia="MS Gothic" w:hAnsi="Arial Narrow" w:cs="Times New Roman"/>
                <w:bCs/>
                <w:sz w:val="20"/>
                <w:szCs w:val="24"/>
                <w:lang w:val="en-US" w:eastAsia="en-AU"/>
              </w:rPr>
            </w:pPr>
            <w:r w:rsidRPr="001E6D77">
              <w:rPr>
                <w:rFonts w:ascii="Arial Narrow" w:eastAsia="MS Gothic" w:hAnsi="Arial Narrow" w:cs="Times New Roman"/>
                <w:bCs/>
                <w:sz w:val="20"/>
                <w:szCs w:val="24"/>
                <w:lang w:val="en-US" w:eastAsia="en-AU"/>
              </w:rPr>
              <w:t>18 mths</w:t>
            </w:r>
            <w:r>
              <w:rPr>
                <w:rFonts w:ascii="Arial Narrow" w:eastAsia="MS Gothic" w:hAnsi="Arial Narrow" w:cs="Times New Roman"/>
                <w:bCs/>
                <w:sz w:val="20"/>
                <w:szCs w:val="24"/>
                <w:vertAlign w:val="superscript"/>
                <w:lang w:val="en-US" w:eastAsia="en-AU"/>
              </w:rPr>
              <w:t>a</w:t>
            </w:r>
          </w:p>
        </w:tc>
        <w:tc>
          <w:tcPr>
            <w:tcW w:w="392" w:type="pct"/>
            <w:shd w:val="clear" w:color="auto" w:fill="auto"/>
            <w:vAlign w:val="center"/>
          </w:tcPr>
          <w:p w:rsidR="00095E93" w:rsidRPr="00377329" w:rsidRDefault="00F8289C" w:rsidP="00095E93">
            <w:pPr>
              <w:keepNext/>
              <w:spacing w:before="0" w:after="0"/>
              <w:jc w:val="center"/>
              <w:rPr>
                <w:rFonts w:ascii="Arial Narrow" w:eastAsia="MS Gothic" w:hAnsi="Arial Narrow" w:cs="Times New Roman"/>
                <w:bCs/>
                <w:sz w:val="20"/>
                <w:szCs w:val="24"/>
                <w:lang w:val="en-US" w:eastAsia="en-AU"/>
              </w:rPr>
            </w:pPr>
            <w:r w:rsidRPr="00377329">
              <w:rPr>
                <w:rFonts w:ascii="Arial Narrow" w:eastAsia="MS Gothic" w:hAnsi="Arial Narrow" w:cs="Times New Roman"/>
                <w:bCs/>
                <w:sz w:val="20"/>
                <w:szCs w:val="24"/>
                <w:lang w:val="en-US" w:eastAsia="en-AU"/>
              </w:rPr>
              <w:t>Low</w:t>
            </w:r>
          </w:p>
        </w:tc>
        <w:tc>
          <w:tcPr>
            <w:tcW w:w="1257" w:type="pct"/>
            <w:shd w:val="clear" w:color="auto" w:fill="auto"/>
            <w:vAlign w:val="center"/>
          </w:tcPr>
          <w:p w:rsidR="00095E93" w:rsidRPr="00B81E3E" w:rsidRDefault="00095E93" w:rsidP="00095E93">
            <w:pPr>
              <w:keepNext/>
              <w:spacing w:before="0" w:after="0"/>
              <w:jc w:val="center"/>
              <w:rPr>
                <w:rFonts w:ascii="Arial Narrow" w:eastAsia="MS Gothic" w:hAnsi="Arial Narrow" w:cs="Times New Roman"/>
                <w:bCs/>
                <w:sz w:val="20"/>
                <w:szCs w:val="24"/>
                <w:lang w:val="en-US" w:eastAsia="en-AU"/>
              </w:rPr>
            </w:pPr>
            <w:r w:rsidRPr="00B81E3E">
              <w:rPr>
                <w:rFonts w:ascii="Arial Narrow" w:eastAsia="MS Gothic" w:hAnsi="Arial Narrow" w:cs="Times New Roman"/>
                <w:bCs/>
                <w:sz w:val="20"/>
                <w:szCs w:val="24"/>
                <w:lang w:val="en-US" w:eastAsia="en-AU"/>
              </w:rPr>
              <w:t>Unresectable locally advanced or metastatic TNBC</w:t>
            </w:r>
          </w:p>
        </w:tc>
        <w:tc>
          <w:tcPr>
            <w:tcW w:w="551" w:type="pct"/>
            <w:shd w:val="clear" w:color="auto" w:fill="auto"/>
            <w:vAlign w:val="center"/>
          </w:tcPr>
          <w:p w:rsidR="00095E93" w:rsidRPr="00B81E3E" w:rsidRDefault="00095E93" w:rsidP="00095E93">
            <w:pPr>
              <w:keepNext/>
              <w:spacing w:before="0" w:after="0"/>
              <w:jc w:val="center"/>
              <w:rPr>
                <w:rFonts w:ascii="Arial Narrow" w:eastAsia="MS Gothic" w:hAnsi="Arial Narrow" w:cs="Times New Roman"/>
                <w:bCs/>
                <w:sz w:val="20"/>
                <w:szCs w:val="24"/>
                <w:lang w:val="en-US" w:eastAsia="en-AU"/>
              </w:rPr>
            </w:pPr>
            <w:r w:rsidRPr="00B81E3E">
              <w:rPr>
                <w:rFonts w:ascii="Arial Narrow" w:eastAsia="MS Gothic" w:hAnsi="Arial Narrow" w:cs="Times New Roman"/>
                <w:bCs/>
                <w:sz w:val="20"/>
                <w:szCs w:val="24"/>
                <w:lang w:val="en-US" w:eastAsia="en-AU"/>
              </w:rPr>
              <w:t>OS, PFS</w:t>
            </w:r>
          </w:p>
        </w:tc>
        <w:tc>
          <w:tcPr>
            <w:tcW w:w="759" w:type="pct"/>
            <w:shd w:val="clear" w:color="auto" w:fill="auto"/>
            <w:vAlign w:val="center"/>
          </w:tcPr>
          <w:p w:rsidR="00095E93" w:rsidRPr="00B81E3E" w:rsidRDefault="00095E93" w:rsidP="00095E93">
            <w:pPr>
              <w:keepNext/>
              <w:spacing w:before="0" w:after="0"/>
              <w:jc w:val="center"/>
              <w:rPr>
                <w:rFonts w:ascii="Arial Narrow" w:eastAsia="MS Gothic" w:hAnsi="Arial Narrow" w:cs="Times New Roman"/>
                <w:bCs/>
                <w:sz w:val="20"/>
                <w:szCs w:val="24"/>
                <w:lang w:val="en-US" w:eastAsia="en-AU"/>
              </w:rPr>
            </w:pPr>
            <w:r w:rsidRPr="00B81E3E">
              <w:rPr>
                <w:rFonts w:ascii="Arial Narrow" w:eastAsia="MS Gothic" w:hAnsi="Arial Narrow" w:cs="Times New Roman"/>
                <w:bCs/>
                <w:sz w:val="20"/>
                <w:szCs w:val="24"/>
                <w:lang w:val="en-US" w:eastAsia="en-AU"/>
              </w:rPr>
              <w:t>Used</w:t>
            </w:r>
          </w:p>
        </w:tc>
      </w:tr>
    </w:tbl>
    <w:p w:rsidR="00340547" w:rsidRPr="0083589D" w:rsidRDefault="00340547" w:rsidP="00340547">
      <w:pPr>
        <w:pStyle w:val="TableFooter"/>
      </w:pPr>
      <w:r>
        <w:rPr>
          <w:vertAlign w:val="superscript"/>
        </w:rPr>
        <w:t>a</w:t>
      </w:r>
      <w:r>
        <w:t xml:space="preserve"> Median follow-up duration at second interim analysis (2 January 2019)</w:t>
      </w:r>
    </w:p>
    <w:p w:rsidR="00340547" w:rsidRDefault="00340547" w:rsidP="00340547">
      <w:pPr>
        <w:pStyle w:val="TableFooter"/>
      </w:pPr>
      <w:r>
        <w:t xml:space="preserve">ATZ = atezolizumab; nab-P = nab-paclitaxel; PBO = placebo; ITT = intention to treat; </w:t>
      </w:r>
      <w:r w:rsidRPr="002E51E0">
        <w:t>DB = double blind; OS = overall survival; PFS = progression-free survival; R = randomised; TNBC = tr</w:t>
      </w:r>
      <w:r w:rsidR="00D4434E">
        <w:t>iple-</w:t>
      </w:r>
      <w:r w:rsidRPr="002E51E0">
        <w:t>negative breast cancer.</w:t>
      </w:r>
    </w:p>
    <w:p w:rsidR="00095E93" w:rsidRPr="002E51E0" w:rsidRDefault="00095E93" w:rsidP="00095E93">
      <w:pPr>
        <w:pStyle w:val="TableFooter"/>
      </w:pPr>
      <w:r w:rsidRPr="002E51E0">
        <w:t xml:space="preserve">Source: Sections 2.3 and 2.4 of the </w:t>
      </w:r>
      <w:r w:rsidR="008D006C">
        <w:t>s</w:t>
      </w:r>
      <w:r w:rsidRPr="00960360">
        <w:t>ubmission</w:t>
      </w:r>
      <w:r w:rsidRPr="002E51E0">
        <w:t>.</w:t>
      </w:r>
    </w:p>
    <w:p w:rsidR="008A0390" w:rsidRDefault="00302B17" w:rsidP="00F8289C">
      <w:pPr>
        <w:pStyle w:val="ListParagraph"/>
        <w:numPr>
          <w:ilvl w:val="4"/>
          <w:numId w:val="1"/>
        </w:numPr>
        <w:rPr>
          <w:color w:val="auto"/>
        </w:rPr>
      </w:pPr>
      <w:r>
        <w:rPr>
          <w:color w:val="auto"/>
        </w:rPr>
        <w:t>As</w:t>
      </w:r>
      <w:r w:rsidR="00F8289C" w:rsidRPr="006D388C">
        <w:rPr>
          <w:color w:val="auto"/>
        </w:rPr>
        <w:t xml:space="preserve"> nab-P monotherapy was the guideline-recommended first-line treatment in as few as 10.2% of the ITT population </w:t>
      </w:r>
      <w:r w:rsidR="00D65E64" w:rsidRPr="006D388C">
        <w:rPr>
          <w:color w:val="auto"/>
        </w:rPr>
        <w:t xml:space="preserve">(prior anthracycline, taxane-naïve patients, as shown in </w:t>
      </w:r>
      <w:r w:rsidR="00074BE0">
        <w:t xml:space="preserve">Table </w:t>
      </w:r>
      <w:r w:rsidR="00074BE0">
        <w:rPr>
          <w:noProof/>
        </w:rPr>
        <w:t>5</w:t>
      </w:r>
      <w:r w:rsidR="00D65E64" w:rsidRPr="006D388C">
        <w:rPr>
          <w:color w:val="auto"/>
        </w:rPr>
        <w:t xml:space="preserve"> below)</w:t>
      </w:r>
      <w:r w:rsidR="00DE20F1" w:rsidRPr="006D388C">
        <w:rPr>
          <w:color w:val="auto"/>
        </w:rPr>
        <w:t xml:space="preserve"> </w:t>
      </w:r>
      <w:r w:rsidR="00F8289C" w:rsidRPr="006D388C">
        <w:rPr>
          <w:color w:val="auto"/>
        </w:rPr>
        <w:t xml:space="preserve">in the key trial means that the majority of the ITT </w:t>
      </w:r>
      <w:r w:rsidR="006C0780" w:rsidRPr="006D388C">
        <w:rPr>
          <w:color w:val="auto"/>
        </w:rPr>
        <w:t xml:space="preserve">comparator population </w:t>
      </w:r>
      <w:r w:rsidR="00F8289C" w:rsidRPr="006D388C">
        <w:rPr>
          <w:color w:val="auto"/>
        </w:rPr>
        <w:t xml:space="preserve">may have received </w:t>
      </w:r>
      <w:r w:rsidR="006C0780" w:rsidRPr="006D388C">
        <w:rPr>
          <w:color w:val="auto"/>
        </w:rPr>
        <w:t xml:space="preserve">treatment </w:t>
      </w:r>
      <w:r w:rsidR="00F8289C" w:rsidRPr="006D388C">
        <w:rPr>
          <w:color w:val="auto"/>
        </w:rPr>
        <w:t>inferior</w:t>
      </w:r>
      <w:r w:rsidR="00876886" w:rsidRPr="006D388C">
        <w:rPr>
          <w:color w:val="auto"/>
        </w:rPr>
        <w:t xml:space="preserve"> </w:t>
      </w:r>
      <w:r w:rsidR="006C0780" w:rsidRPr="006D388C">
        <w:rPr>
          <w:color w:val="auto"/>
        </w:rPr>
        <w:t>to standard of care</w:t>
      </w:r>
      <w:r w:rsidR="00F8289C" w:rsidRPr="006D388C">
        <w:rPr>
          <w:color w:val="auto"/>
        </w:rPr>
        <w:t>. This limits the applicability of the trial to the Australian PBS population and over-estimates the likely treatment effect of ATZ+nab-P.</w:t>
      </w:r>
    </w:p>
    <w:p w:rsidR="00D65E64" w:rsidRDefault="00D65E64" w:rsidP="00D65E64">
      <w:pPr>
        <w:pStyle w:val="Caption"/>
      </w:pPr>
      <w:bookmarkStart w:id="19" w:name="_Ref29882279"/>
      <w:r>
        <w:t xml:space="preserve">Table </w:t>
      </w:r>
      <w:r w:rsidR="00074BE0">
        <w:rPr>
          <w:noProof/>
        </w:rPr>
        <w:t>5</w:t>
      </w:r>
      <w:bookmarkEnd w:id="19"/>
      <w:r w:rsidR="00EF5451">
        <w:rPr>
          <w:noProof/>
        </w:rPr>
        <w:t xml:space="preserve">: </w:t>
      </w:r>
      <w:r>
        <w:t>Distribution of previous therapies in the key trial IMpassion130 ITT population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180"/>
        <w:gridCol w:w="3183"/>
        <w:gridCol w:w="3653"/>
      </w:tblGrid>
      <w:tr w:rsidR="00D65E64" w:rsidRPr="005F2429" w:rsidTr="0093425C">
        <w:trPr>
          <w:trHeight w:val="389"/>
          <w:tblHeader/>
        </w:trPr>
        <w:tc>
          <w:tcPr>
            <w:tcW w:w="2235" w:type="dxa"/>
            <w:shd w:val="clear" w:color="auto" w:fill="auto"/>
            <w:vAlign w:val="center"/>
          </w:tcPr>
          <w:p w:rsidR="00D65E64" w:rsidRPr="005F2429" w:rsidRDefault="00D65E64" w:rsidP="004252E6">
            <w:pPr>
              <w:pStyle w:val="TableText"/>
            </w:pPr>
          </w:p>
        </w:tc>
        <w:tc>
          <w:tcPr>
            <w:tcW w:w="3260" w:type="dxa"/>
            <w:shd w:val="clear" w:color="auto" w:fill="auto"/>
            <w:vAlign w:val="center"/>
          </w:tcPr>
          <w:p w:rsidR="00D65E64" w:rsidRPr="005F2429" w:rsidRDefault="00D65E64" w:rsidP="0087572F">
            <w:pPr>
              <w:pStyle w:val="TableText"/>
              <w:jc w:val="center"/>
              <w:rPr>
                <w:b/>
              </w:rPr>
            </w:pPr>
            <w:r w:rsidRPr="005F2429">
              <w:rPr>
                <w:b/>
              </w:rPr>
              <w:t xml:space="preserve">Prior </w:t>
            </w:r>
            <w:r w:rsidR="0087572F" w:rsidRPr="005F2429">
              <w:rPr>
                <w:b/>
              </w:rPr>
              <w:t>anthracycline t</w:t>
            </w:r>
            <w:r w:rsidRPr="005F2429">
              <w:rPr>
                <w:b/>
              </w:rPr>
              <w:t>herapy (%ITT)</w:t>
            </w:r>
          </w:p>
        </w:tc>
        <w:tc>
          <w:tcPr>
            <w:tcW w:w="3748" w:type="dxa"/>
            <w:shd w:val="clear" w:color="auto" w:fill="auto"/>
            <w:vAlign w:val="center"/>
          </w:tcPr>
          <w:p w:rsidR="00D65E64" w:rsidRPr="005F2429" w:rsidRDefault="00D65E64" w:rsidP="0087572F">
            <w:pPr>
              <w:pStyle w:val="TableText"/>
              <w:jc w:val="center"/>
              <w:rPr>
                <w:b/>
              </w:rPr>
            </w:pPr>
            <w:r w:rsidRPr="005F2429">
              <w:rPr>
                <w:b/>
              </w:rPr>
              <w:t xml:space="preserve">No </w:t>
            </w:r>
            <w:r w:rsidR="0087572F" w:rsidRPr="005F2429">
              <w:rPr>
                <w:b/>
              </w:rPr>
              <w:t>prior anthracycline t</w:t>
            </w:r>
            <w:r w:rsidRPr="005F2429">
              <w:rPr>
                <w:b/>
              </w:rPr>
              <w:t>herapy (%ITT)</w:t>
            </w:r>
          </w:p>
        </w:tc>
      </w:tr>
      <w:tr w:rsidR="00D65E64" w:rsidRPr="005F2429" w:rsidTr="0093425C">
        <w:trPr>
          <w:trHeight w:val="270"/>
        </w:trPr>
        <w:tc>
          <w:tcPr>
            <w:tcW w:w="2235" w:type="dxa"/>
            <w:shd w:val="clear" w:color="auto" w:fill="auto"/>
          </w:tcPr>
          <w:p w:rsidR="00D65E64" w:rsidRPr="001E5030" w:rsidRDefault="00D65E64" w:rsidP="004252E6">
            <w:pPr>
              <w:pStyle w:val="TableText"/>
              <w:rPr>
                <w:b/>
                <w:szCs w:val="20"/>
              </w:rPr>
            </w:pPr>
            <w:r w:rsidRPr="001E5030">
              <w:rPr>
                <w:b/>
                <w:szCs w:val="20"/>
              </w:rPr>
              <w:t xml:space="preserve">Prior </w:t>
            </w:r>
            <w:r w:rsidR="0087572F" w:rsidRPr="001E5030">
              <w:rPr>
                <w:b/>
                <w:szCs w:val="20"/>
              </w:rPr>
              <w:t>taxane t</w:t>
            </w:r>
            <w:r w:rsidRPr="001E5030">
              <w:rPr>
                <w:b/>
                <w:szCs w:val="20"/>
              </w:rPr>
              <w:t>herapy</w:t>
            </w:r>
          </w:p>
        </w:tc>
        <w:tc>
          <w:tcPr>
            <w:tcW w:w="3260" w:type="dxa"/>
            <w:shd w:val="clear" w:color="auto" w:fill="auto"/>
            <w:vAlign w:val="bottom"/>
          </w:tcPr>
          <w:p w:rsidR="00D65E64" w:rsidRPr="001E5030" w:rsidRDefault="00D65E64" w:rsidP="0087572F">
            <w:pPr>
              <w:pStyle w:val="TableText"/>
              <w:jc w:val="center"/>
              <w:rPr>
                <w:szCs w:val="20"/>
              </w:rPr>
            </w:pPr>
            <w:r w:rsidRPr="001E5030">
              <w:rPr>
                <w:color w:val="000000"/>
                <w:szCs w:val="20"/>
              </w:rPr>
              <w:t>393 (43.6%)</w:t>
            </w:r>
          </w:p>
        </w:tc>
        <w:tc>
          <w:tcPr>
            <w:tcW w:w="3748" w:type="dxa"/>
            <w:shd w:val="clear" w:color="auto" w:fill="auto"/>
            <w:vAlign w:val="bottom"/>
          </w:tcPr>
          <w:p w:rsidR="00D65E64" w:rsidRPr="001E5030" w:rsidRDefault="00D65E64" w:rsidP="0087572F">
            <w:pPr>
              <w:pStyle w:val="TableText"/>
              <w:jc w:val="center"/>
              <w:rPr>
                <w:szCs w:val="20"/>
              </w:rPr>
            </w:pPr>
            <w:r w:rsidRPr="001E5030">
              <w:rPr>
                <w:color w:val="000000"/>
                <w:szCs w:val="20"/>
              </w:rPr>
              <w:t>68 (7.5%)</w:t>
            </w:r>
          </w:p>
        </w:tc>
      </w:tr>
      <w:tr w:rsidR="00D65E64" w:rsidRPr="005F2429" w:rsidTr="0093425C">
        <w:trPr>
          <w:trHeight w:val="270"/>
        </w:trPr>
        <w:tc>
          <w:tcPr>
            <w:tcW w:w="2235" w:type="dxa"/>
            <w:shd w:val="clear" w:color="auto" w:fill="auto"/>
          </w:tcPr>
          <w:p w:rsidR="00D65E64" w:rsidRPr="001E5030" w:rsidRDefault="00D65E64" w:rsidP="004252E6">
            <w:pPr>
              <w:pStyle w:val="TableText"/>
              <w:rPr>
                <w:b/>
                <w:szCs w:val="20"/>
              </w:rPr>
            </w:pPr>
            <w:r w:rsidRPr="001E5030">
              <w:rPr>
                <w:b/>
                <w:szCs w:val="20"/>
              </w:rPr>
              <w:t xml:space="preserve">No </w:t>
            </w:r>
            <w:r w:rsidR="00072D1D" w:rsidRPr="001E5030">
              <w:rPr>
                <w:b/>
                <w:szCs w:val="20"/>
              </w:rPr>
              <w:t>p</w:t>
            </w:r>
            <w:r w:rsidRPr="001E5030">
              <w:rPr>
                <w:b/>
                <w:szCs w:val="20"/>
              </w:rPr>
              <w:t xml:space="preserve">rior </w:t>
            </w:r>
            <w:r w:rsidR="0087572F" w:rsidRPr="001E5030">
              <w:rPr>
                <w:b/>
                <w:szCs w:val="20"/>
              </w:rPr>
              <w:t>taxane t</w:t>
            </w:r>
            <w:r w:rsidRPr="001E5030">
              <w:rPr>
                <w:b/>
                <w:szCs w:val="20"/>
              </w:rPr>
              <w:t>herapy</w:t>
            </w:r>
          </w:p>
        </w:tc>
        <w:tc>
          <w:tcPr>
            <w:tcW w:w="3260" w:type="dxa"/>
            <w:shd w:val="clear" w:color="auto" w:fill="auto"/>
            <w:vAlign w:val="bottom"/>
          </w:tcPr>
          <w:p w:rsidR="00D65E64" w:rsidRPr="001E5030" w:rsidRDefault="00D65E64" w:rsidP="0087572F">
            <w:pPr>
              <w:pStyle w:val="TableText"/>
              <w:jc w:val="center"/>
              <w:rPr>
                <w:szCs w:val="20"/>
              </w:rPr>
            </w:pPr>
            <w:r w:rsidRPr="001E5030">
              <w:rPr>
                <w:color w:val="000000"/>
                <w:szCs w:val="20"/>
              </w:rPr>
              <w:t>92 (10.2%)</w:t>
            </w:r>
          </w:p>
        </w:tc>
        <w:tc>
          <w:tcPr>
            <w:tcW w:w="3748" w:type="dxa"/>
            <w:shd w:val="clear" w:color="auto" w:fill="auto"/>
            <w:vAlign w:val="bottom"/>
          </w:tcPr>
          <w:p w:rsidR="00D65E64" w:rsidRPr="001E5030" w:rsidRDefault="00D65E64" w:rsidP="0087572F">
            <w:pPr>
              <w:pStyle w:val="TableText"/>
              <w:jc w:val="center"/>
              <w:rPr>
                <w:szCs w:val="20"/>
              </w:rPr>
            </w:pPr>
            <w:r w:rsidRPr="001E5030">
              <w:rPr>
                <w:color w:val="000000"/>
                <w:szCs w:val="20"/>
              </w:rPr>
              <w:t>149 (16.5%)</w:t>
            </w:r>
          </w:p>
        </w:tc>
      </w:tr>
    </w:tbl>
    <w:p w:rsidR="00D65E64" w:rsidRPr="005F2429" w:rsidRDefault="00D65E64" w:rsidP="00D65E64">
      <w:pPr>
        <w:pStyle w:val="TableFooter"/>
      </w:pPr>
      <w:r w:rsidRPr="005F2429">
        <w:t>ITT =</w:t>
      </w:r>
      <w:r>
        <w:t xml:space="preserve"> Intention-to-treat population, N=902.</w:t>
      </w:r>
    </w:p>
    <w:p w:rsidR="00D65E64" w:rsidRPr="005F2429" w:rsidRDefault="00D65E64" w:rsidP="00D65E64">
      <w:pPr>
        <w:pStyle w:val="TableFooter"/>
      </w:pPr>
      <w:r w:rsidRPr="005F2429">
        <w:t xml:space="preserve">Source: </w:t>
      </w:r>
      <w:r>
        <w:t>Supplemental data provided by request from the sponsor.</w:t>
      </w:r>
    </w:p>
    <w:p w:rsidR="00095E93" w:rsidRDefault="00072D1D" w:rsidP="00095E93">
      <w:pPr>
        <w:pStyle w:val="ListParagraph"/>
        <w:numPr>
          <w:ilvl w:val="4"/>
          <w:numId w:val="1"/>
        </w:numPr>
        <w:rPr>
          <w:color w:val="auto"/>
        </w:rPr>
      </w:pPr>
      <w:r>
        <w:rPr>
          <w:color w:val="auto"/>
        </w:rPr>
        <w:t>Three stratification factors for randomisation were p</w:t>
      </w:r>
      <w:r w:rsidR="00095E93" w:rsidRPr="002E51E0">
        <w:rPr>
          <w:color w:val="auto"/>
        </w:rPr>
        <w:t xml:space="preserve">resence of liver metastases at baseline </w:t>
      </w:r>
      <w:r w:rsidR="00095E93">
        <w:rPr>
          <w:color w:val="auto"/>
        </w:rPr>
        <w:t>(</w:t>
      </w:r>
      <w:r w:rsidR="00095E93" w:rsidRPr="002E51E0">
        <w:rPr>
          <w:color w:val="auto"/>
        </w:rPr>
        <w:t>yes versus no</w:t>
      </w:r>
      <w:r w:rsidR="00095E93">
        <w:rPr>
          <w:color w:val="auto"/>
        </w:rPr>
        <w:t>)</w:t>
      </w:r>
      <w:r w:rsidR="00095E93" w:rsidRPr="002E51E0">
        <w:rPr>
          <w:color w:val="auto"/>
        </w:rPr>
        <w:t xml:space="preserve">, prior taxane treatment </w:t>
      </w:r>
      <w:r w:rsidR="00095E93">
        <w:rPr>
          <w:color w:val="auto"/>
        </w:rPr>
        <w:t>(</w:t>
      </w:r>
      <w:r w:rsidR="00095E93" w:rsidRPr="002E51E0">
        <w:rPr>
          <w:color w:val="auto"/>
        </w:rPr>
        <w:t>yes versus no</w:t>
      </w:r>
      <w:r w:rsidR="00095E93">
        <w:rPr>
          <w:color w:val="auto"/>
        </w:rPr>
        <w:t>)</w:t>
      </w:r>
      <w:r w:rsidR="00095E93" w:rsidRPr="002E51E0">
        <w:rPr>
          <w:color w:val="auto"/>
        </w:rPr>
        <w:t xml:space="preserve">, and PD-L1-positive status defined as PD-L1 stained tumour-infiltrating immune cells covering ≥1% of the tumour area </w:t>
      </w:r>
      <w:r w:rsidR="00095E93">
        <w:rPr>
          <w:color w:val="auto"/>
        </w:rPr>
        <w:t>(</w:t>
      </w:r>
      <w:r w:rsidR="00095E93" w:rsidRPr="002E51E0">
        <w:rPr>
          <w:color w:val="auto"/>
        </w:rPr>
        <w:t>yes versus no</w:t>
      </w:r>
      <w:r w:rsidR="00095E93">
        <w:rPr>
          <w:color w:val="auto"/>
        </w:rPr>
        <w:t>)</w:t>
      </w:r>
      <w:r w:rsidR="00095E93" w:rsidRPr="002E51E0">
        <w:rPr>
          <w:color w:val="auto"/>
        </w:rPr>
        <w:t>.</w:t>
      </w:r>
      <w:r w:rsidR="00095E93">
        <w:rPr>
          <w:color w:val="auto"/>
        </w:rPr>
        <w:t xml:space="preserve"> Subgroup analyses by PD-L1 status were also prespecified.</w:t>
      </w:r>
    </w:p>
    <w:p w:rsidR="00095E93" w:rsidRPr="000C401F" w:rsidRDefault="00095E93" w:rsidP="00F8289C">
      <w:pPr>
        <w:pStyle w:val="ListParagraph"/>
      </w:pPr>
      <w:r>
        <w:t>The submission stated that t</w:t>
      </w:r>
      <w:r w:rsidRPr="00CC1647">
        <w:t>reatment comparisons were based on the two</w:t>
      </w:r>
      <w:r w:rsidR="00072D1D">
        <w:t>-</w:t>
      </w:r>
      <w:r w:rsidRPr="00CC1647">
        <w:t xml:space="preserve">sided, stratified log-rank test at the 0.05 significance level split between </w:t>
      </w:r>
      <w:r>
        <w:t>progression-free survival (</w:t>
      </w:r>
      <w:r w:rsidRPr="00CC1647">
        <w:t>PFS</w:t>
      </w:r>
      <w:r>
        <w:t>)</w:t>
      </w:r>
      <w:r w:rsidRPr="00CC1647">
        <w:t xml:space="preserve"> (0.01) and </w:t>
      </w:r>
      <w:r>
        <w:t>overall survival (</w:t>
      </w:r>
      <w:r w:rsidRPr="00CC1647">
        <w:t>OS</w:t>
      </w:r>
      <w:r>
        <w:t xml:space="preserve">) (0.04), </w:t>
      </w:r>
      <w:r w:rsidRPr="00CC1647">
        <w:t>with hierarchical testing to adjust for multiple statistical testing for</w:t>
      </w:r>
      <w:r w:rsidR="00F003B8">
        <w:t xml:space="preserve"> PFS and</w:t>
      </w:r>
      <w:r w:rsidRPr="00CC1647">
        <w:t xml:space="preserve"> OS</w:t>
      </w:r>
      <w:r w:rsidR="00666CF6">
        <w:t>,</w:t>
      </w:r>
      <w:r w:rsidRPr="00CC1647">
        <w:t xml:space="preserve"> first in the </w:t>
      </w:r>
      <w:r>
        <w:t>intention-to-treat (</w:t>
      </w:r>
      <w:r w:rsidRPr="00CC1647">
        <w:t>ITT</w:t>
      </w:r>
      <w:r>
        <w:t>)</w:t>
      </w:r>
      <w:r w:rsidRPr="00CC1647">
        <w:t xml:space="preserve"> and then in the PD-L1</w:t>
      </w:r>
      <w:r w:rsidR="00666CF6">
        <w:t>-</w:t>
      </w:r>
      <w:r w:rsidRPr="00CC1647">
        <w:t>positive populations</w:t>
      </w:r>
      <w:r>
        <w:t xml:space="preserve">. </w:t>
      </w:r>
      <w:r w:rsidR="00E45FD8" w:rsidRPr="006D388C">
        <w:t>The OS results for the PD-L1</w:t>
      </w:r>
      <w:r w:rsidR="00666CF6">
        <w:t>-</w:t>
      </w:r>
      <w:r w:rsidR="00E45FD8" w:rsidRPr="006D388C">
        <w:t xml:space="preserve">positive subgroups should therefore be interpreted with caution as the statistical analysis plan </w:t>
      </w:r>
      <w:r w:rsidR="00E45FD8" w:rsidRPr="006D388C">
        <w:lastRenderedPageBreak/>
        <w:t>specified that</w:t>
      </w:r>
      <w:r w:rsidR="00072D1D">
        <w:t>,</w:t>
      </w:r>
      <w:r w:rsidR="00E45FD8" w:rsidRPr="006D388C">
        <w:t xml:space="preserve"> in order to control for Type 1 error, this subgroup analysis would only be performed if the results in the ITT population were statistically significant.</w:t>
      </w:r>
    </w:p>
    <w:p w:rsidR="005562F2" w:rsidRPr="008F6F21" w:rsidRDefault="005562F2" w:rsidP="00BE47FB">
      <w:pPr>
        <w:pStyle w:val="ListParagraph"/>
      </w:pPr>
      <w:r w:rsidRPr="008F6F21">
        <w:t xml:space="preserve">The ESCs noted that there was a protocol amendment that doubled the allowable time for withholding treatment </w:t>
      </w:r>
      <w:r w:rsidR="00BE47FB" w:rsidRPr="008F6F21">
        <w:t xml:space="preserve">(from 42 days to 84 days) </w:t>
      </w:r>
      <w:r w:rsidRPr="008F6F21">
        <w:t>before discontinuation and noted that it was unclear how this may have impacted on the reported reasons for discontinuation and disease progression rates.</w:t>
      </w:r>
    </w:p>
    <w:p w:rsidR="00983112" w:rsidRPr="00434533" w:rsidRDefault="00983112" w:rsidP="00434533">
      <w:pPr>
        <w:pStyle w:val="PBACESHeading2"/>
      </w:pPr>
      <w:bookmarkStart w:id="20" w:name="_Toc30411832"/>
      <w:r w:rsidRPr="00434533">
        <w:t>Comparative effectiveness</w:t>
      </w:r>
      <w:bookmarkEnd w:id="20"/>
    </w:p>
    <w:p w:rsidR="00095E93" w:rsidRPr="002B1871" w:rsidRDefault="00095E93" w:rsidP="00095E93">
      <w:pPr>
        <w:pStyle w:val="ListParagraph"/>
        <w:numPr>
          <w:ilvl w:val="4"/>
          <w:numId w:val="1"/>
        </w:numPr>
        <w:rPr>
          <w:color w:val="auto"/>
        </w:rPr>
      </w:pPr>
      <w:r w:rsidRPr="002B1871">
        <w:rPr>
          <w:color w:val="auto"/>
        </w:rPr>
        <w:t>The PFS and OS observed from IMpassion130 (ITT population)</w:t>
      </w:r>
      <w:r>
        <w:rPr>
          <w:color w:val="auto"/>
        </w:rPr>
        <w:t>,</w:t>
      </w:r>
      <w:r w:rsidRPr="002B1871">
        <w:rPr>
          <w:color w:val="auto"/>
        </w:rPr>
        <w:t xml:space="preserve"> </w:t>
      </w:r>
      <w:r>
        <w:rPr>
          <w:color w:val="auto"/>
        </w:rPr>
        <w:t xml:space="preserve">at the most recent data </w:t>
      </w:r>
      <w:r w:rsidR="00B510AF">
        <w:rPr>
          <w:color w:val="auto"/>
        </w:rPr>
        <w:t>cut-off</w:t>
      </w:r>
      <w:r>
        <w:rPr>
          <w:color w:val="auto"/>
        </w:rPr>
        <w:t xml:space="preserve"> (</w:t>
      </w:r>
      <w:r w:rsidR="00922D70">
        <w:rPr>
          <w:color w:val="auto"/>
        </w:rPr>
        <w:t xml:space="preserve">2 </w:t>
      </w:r>
      <w:r>
        <w:rPr>
          <w:color w:val="auto"/>
        </w:rPr>
        <w:t xml:space="preserve">January 2019), </w:t>
      </w:r>
      <w:r w:rsidRPr="002B1871">
        <w:rPr>
          <w:color w:val="auto"/>
        </w:rPr>
        <w:t>are presented in the table below.</w:t>
      </w:r>
      <w:r>
        <w:rPr>
          <w:color w:val="auto"/>
        </w:rPr>
        <w:t xml:space="preserve"> </w:t>
      </w:r>
      <w:r w:rsidRPr="006D388C">
        <w:rPr>
          <w:color w:val="auto"/>
        </w:rPr>
        <w:t>ATZ+nab-P demonstrated a statistically significant benefit in prolonging PFS, compared with nab-P. However, the benefit is modest with a median PFS difference</w:t>
      </w:r>
      <w:r w:rsidR="00F8289C" w:rsidRPr="006D388C">
        <w:rPr>
          <w:color w:val="auto"/>
        </w:rPr>
        <w:t xml:space="preserve"> of</w:t>
      </w:r>
      <w:r w:rsidRPr="006D388C">
        <w:rPr>
          <w:color w:val="auto"/>
        </w:rPr>
        <w:t xml:space="preserve"> less than 2 months. No statistic</w:t>
      </w:r>
      <w:r w:rsidR="00B832A8" w:rsidRPr="006D388C">
        <w:rPr>
          <w:color w:val="auto"/>
        </w:rPr>
        <w:t xml:space="preserve">ally significant difference was </w:t>
      </w:r>
      <w:r w:rsidRPr="006D388C">
        <w:rPr>
          <w:color w:val="auto"/>
        </w:rPr>
        <w:t>observed in terms of OS between the comparative treatments.</w:t>
      </w:r>
    </w:p>
    <w:p w:rsidR="00095E93" w:rsidRDefault="00095E93" w:rsidP="00095E93">
      <w:pPr>
        <w:pStyle w:val="Caption"/>
        <w:rPr>
          <w:rStyle w:val="CommentReference"/>
          <w:b/>
          <w:szCs w:val="24"/>
        </w:rPr>
      </w:pPr>
      <w:r>
        <w:t xml:space="preserve">Table </w:t>
      </w:r>
      <w:r w:rsidR="00074BE0">
        <w:rPr>
          <w:noProof/>
        </w:rPr>
        <w:t>6</w:t>
      </w:r>
      <w:r w:rsidR="00EF5451">
        <w:rPr>
          <w:noProof/>
        </w:rPr>
        <w:t xml:space="preserve">: </w:t>
      </w:r>
      <w:r>
        <w:rPr>
          <w:rStyle w:val="CommentReference"/>
          <w:b/>
          <w:szCs w:val="24"/>
        </w:rPr>
        <w:t xml:space="preserve">Summary of survival outcomes from IMpassion130 in the ITT population (data </w:t>
      </w:r>
      <w:r w:rsidR="00B510AF">
        <w:rPr>
          <w:rStyle w:val="CommentReference"/>
          <w:b/>
          <w:szCs w:val="24"/>
        </w:rPr>
        <w:t>cut-off</w:t>
      </w:r>
      <w:r>
        <w:rPr>
          <w:rStyle w:val="CommentReference"/>
          <w:b/>
          <w:szCs w:val="24"/>
        </w:rPr>
        <w:t xml:space="preserve"> </w:t>
      </w:r>
      <w:r w:rsidR="00922D70">
        <w:rPr>
          <w:rStyle w:val="CommentReference"/>
          <w:b/>
          <w:szCs w:val="24"/>
        </w:rPr>
        <w:t xml:space="preserve">2 </w:t>
      </w:r>
      <w:r>
        <w:rPr>
          <w:rStyle w:val="CommentReference"/>
          <w:b/>
          <w:szCs w:val="24"/>
        </w:rPr>
        <w:t>January 2019)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6"/>
        <w:gridCol w:w="1560"/>
        <w:gridCol w:w="1558"/>
        <w:gridCol w:w="1845"/>
        <w:gridCol w:w="1507"/>
      </w:tblGrid>
      <w:tr w:rsidR="00095E93" w:rsidRPr="002B1871" w:rsidTr="00062C08">
        <w:trPr>
          <w:cantSplit/>
          <w:tblHeader/>
        </w:trPr>
        <w:tc>
          <w:tcPr>
            <w:tcW w:w="1412" w:type="pct"/>
            <w:shd w:val="clear" w:color="auto" w:fill="auto"/>
            <w:vAlign w:val="center"/>
          </w:tcPr>
          <w:p w:rsidR="00095E93" w:rsidRPr="002B1871" w:rsidRDefault="00095E93" w:rsidP="00095E93">
            <w:pPr>
              <w:keepNext/>
              <w:spacing w:before="0" w:after="0"/>
              <w:jc w:val="center"/>
              <w:rPr>
                <w:rFonts w:ascii="Arial Narrow" w:eastAsia="MS Gothic" w:hAnsi="Arial Narrow" w:cs="Times New Roman"/>
                <w:b/>
                <w:sz w:val="20"/>
                <w:szCs w:val="24"/>
                <w:lang w:val="en-US" w:eastAsia="en-AU"/>
              </w:rPr>
            </w:pPr>
          </w:p>
        </w:tc>
        <w:tc>
          <w:tcPr>
            <w:tcW w:w="865" w:type="pct"/>
            <w:shd w:val="clear" w:color="auto" w:fill="auto"/>
            <w:vAlign w:val="center"/>
          </w:tcPr>
          <w:p w:rsidR="00095E93" w:rsidRPr="002B1871" w:rsidRDefault="00095E93" w:rsidP="00062C08">
            <w:pPr>
              <w:keepNext/>
              <w:spacing w:before="0" w:after="0"/>
              <w:jc w:val="center"/>
              <w:rPr>
                <w:rFonts w:ascii="Arial Narrow" w:eastAsia="MS Gothic" w:hAnsi="Arial Narrow" w:cs="Times New Roman"/>
                <w:b/>
                <w:sz w:val="20"/>
                <w:szCs w:val="24"/>
                <w:lang w:val="en-US" w:eastAsia="en-AU"/>
              </w:rPr>
            </w:pPr>
            <w:r>
              <w:rPr>
                <w:rFonts w:ascii="Arial Narrow" w:eastAsia="MS Gothic" w:hAnsi="Arial Narrow" w:cs="Times New Roman"/>
                <w:b/>
                <w:sz w:val="20"/>
                <w:szCs w:val="24"/>
                <w:lang w:val="en-US" w:eastAsia="en-AU"/>
              </w:rPr>
              <w:t>ATZ+nab-P</w:t>
            </w:r>
          </w:p>
        </w:tc>
        <w:tc>
          <w:tcPr>
            <w:tcW w:w="864" w:type="pct"/>
            <w:shd w:val="clear" w:color="auto" w:fill="auto"/>
            <w:vAlign w:val="center"/>
          </w:tcPr>
          <w:p w:rsidR="00095E93" w:rsidRPr="002B1871" w:rsidRDefault="00095E93" w:rsidP="00062C08">
            <w:pPr>
              <w:keepNext/>
              <w:spacing w:before="0" w:after="0"/>
              <w:jc w:val="center"/>
              <w:rPr>
                <w:rFonts w:ascii="Arial Narrow" w:eastAsia="MS Gothic" w:hAnsi="Arial Narrow" w:cs="Times New Roman"/>
                <w:b/>
                <w:sz w:val="20"/>
                <w:szCs w:val="24"/>
                <w:lang w:val="en-US" w:eastAsia="en-AU"/>
              </w:rPr>
            </w:pPr>
            <w:r>
              <w:rPr>
                <w:rFonts w:ascii="Arial Narrow" w:eastAsia="MS Gothic" w:hAnsi="Arial Narrow" w:cs="Times New Roman"/>
                <w:b/>
                <w:sz w:val="20"/>
                <w:szCs w:val="24"/>
                <w:lang w:val="en-US" w:eastAsia="en-AU"/>
              </w:rPr>
              <w:t>PBO+nab-P</w:t>
            </w:r>
          </w:p>
        </w:tc>
        <w:tc>
          <w:tcPr>
            <w:tcW w:w="1023" w:type="pct"/>
            <w:shd w:val="clear" w:color="auto" w:fill="auto"/>
            <w:vAlign w:val="center"/>
          </w:tcPr>
          <w:p w:rsidR="00095E93" w:rsidRPr="002B1871" w:rsidRDefault="00095E93" w:rsidP="00095E93">
            <w:pPr>
              <w:keepNext/>
              <w:spacing w:before="0" w:after="0"/>
              <w:jc w:val="center"/>
              <w:rPr>
                <w:rFonts w:ascii="Arial Narrow" w:eastAsia="MS Gothic" w:hAnsi="Arial Narrow" w:cs="Times New Roman"/>
                <w:b/>
                <w:sz w:val="20"/>
                <w:szCs w:val="24"/>
                <w:lang w:val="en-US" w:eastAsia="en-AU"/>
              </w:rPr>
            </w:pPr>
            <w:r w:rsidRPr="002B1871">
              <w:rPr>
                <w:rFonts w:ascii="Arial Narrow" w:eastAsia="MS Gothic" w:hAnsi="Arial Narrow" w:cs="Times New Roman"/>
                <w:b/>
                <w:sz w:val="20"/>
                <w:szCs w:val="24"/>
                <w:lang w:val="en-US" w:eastAsia="en-AU"/>
              </w:rPr>
              <w:t>Absolute difference</w:t>
            </w:r>
          </w:p>
        </w:tc>
        <w:tc>
          <w:tcPr>
            <w:tcW w:w="836" w:type="pct"/>
            <w:shd w:val="clear" w:color="auto" w:fill="auto"/>
            <w:vAlign w:val="center"/>
          </w:tcPr>
          <w:p w:rsidR="00095E93" w:rsidRPr="002B1871" w:rsidRDefault="00095E93" w:rsidP="00095E93">
            <w:pPr>
              <w:keepNext/>
              <w:spacing w:before="0" w:after="0"/>
              <w:jc w:val="center"/>
              <w:rPr>
                <w:rFonts w:ascii="Arial Narrow" w:eastAsia="MS Gothic" w:hAnsi="Arial Narrow" w:cs="Times New Roman"/>
                <w:b/>
                <w:sz w:val="20"/>
                <w:szCs w:val="24"/>
                <w:lang w:val="en-US" w:eastAsia="en-AU"/>
              </w:rPr>
            </w:pPr>
            <w:r w:rsidRPr="002B1871">
              <w:rPr>
                <w:rFonts w:ascii="Arial Narrow" w:eastAsia="MS Gothic" w:hAnsi="Arial Narrow" w:cs="Times New Roman"/>
                <w:b/>
                <w:sz w:val="20"/>
                <w:szCs w:val="24"/>
                <w:lang w:val="en-US" w:eastAsia="en-AU"/>
              </w:rPr>
              <w:t>HR (95% CI)</w:t>
            </w:r>
          </w:p>
        </w:tc>
      </w:tr>
      <w:tr w:rsidR="00095E93" w:rsidRPr="002B1871" w:rsidTr="00657695">
        <w:trPr>
          <w:cantSplit/>
        </w:trPr>
        <w:tc>
          <w:tcPr>
            <w:tcW w:w="5000" w:type="pct"/>
            <w:gridSpan w:val="5"/>
            <w:shd w:val="clear" w:color="auto" w:fill="auto"/>
            <w:vAlign w:val="center"/>
          </w:tcPr>
          <w:p w:rsidR="00095E93" w:rsidRPr="002B1871" w:rsidRDefault="00095E93" w:rsidP="00095E93">
            <w:pPr>
              <w:keepNext/>
              <w:spacing w:before="0" w:after="0"/>
              <w:jc w:val="left"/>
              <w:rPr>
                <w:rFonts w:ascii="Arial Narrow" w:eastAsia="MS Gothic" w:hAnsi="Arial Narrow" w:cs="Times New Roman"/>
                <w:b/>
                <w:sz w:val="20"/>
                <w:szCs w:val="24"/>
                <w:lang w:val="en-US" w:eastAsia="en-AU"/>
              </w:rPr>
            </w:pPr>
            <w:r w:rsidRPr="002B1871">
              <w:rPr>
                <w:rFonts w:ascii="Arial Narrow" w:eastAsia="MS Gothic" w:hAnsi="Arial Narrow" w:cs="Times New Roman"/>
                <w:b/>
                <w:sz w:val="20"/>
                <w:szCs w:val="24"/>
                <w:lang w:val="en-US" w:eastAsia="en-AU"/>
              </w:rPr>
              <w:t>Progression-free survival</w:t>
            </w:r>
            <w:r>
              <w:rPr>
                <w:rFonts w:ascii="Arial Narrow" w:eastAsia="MS Gothic" w:hAnsi="Arial Narrow" w:cs="Times New Roman"/>
                <w:b/>
                <w:sz w:val="20"/>
                <w:szCs w:val="24"/>
                <w:lang w:val="en-US" w:eastAsia="en-AU"/>
              </w:rPr>
              <w:t xml:space="preserve"> (PFS)*</w:t>
            </w:r>
          </w:p>
        </w:tc>
      </w:tr>
      <w:tr w:rsidR="00095E93" w:rsidRPr="002B1871" w:rsidTr="00062C08">
        <w:trPr>
          <w:cantSplit/>
        </w:trPr>
        <w:tc>
          <w:tcPr>
            <w:tcW w:w="1412" w:type="pct"/>
            <w:shd w:val="clear" w:color="auto" w:fill="auto"/>
            <w:vAlign w:val="center"/>
          </w:tcPr>
          <w:p w:rsidR="00095E93" w:rsidRPr="002B1871" w:rsidRDefault="00095E93" w:rsidP="00095E93">
            <w:pPr>
              <w:keepNext/>
              <w:spacing w:before="0" w:after="0"/>
              <w:jc w:val="left"/>
              <w:rPr>
                <w:rFonts w:ascii="Arial Narrow" w:eastAsia="MS Gothic" w:hAnsi="Arial Narrow" w:cs="Times New Roman"/>
                <w:bCs/>
                <w:sz w:val="20"/>
                <w:szCs w:val="24"/>
                <w:lang w:eastAsia="en-AU"/>
              </w:rPr>
            </w:pPr>
            <w:r w:rsidRPr="002B1871">
              <w:rPr>
                <w:rFonts w:ascii="Arial Narrow" w:eastAsia="MS Gothic" w:hAnsi="Arial Narrow" w:cs="Times New Roman"/>
                <w:bCs/>
                <w:sz w:val="20"/>
                <w:szCs w:val="24"/>
                <w:lang w:eastAsia="en-AU"/>
              </w:rPr>
              <w:t>Progressed, n</w:t>
            </w:r>
            <w:r>
              <w:rPr>
                <w:rFonts w:ascii="Arial Narrow" w:eastAsia="MS Gothic" w:hAnsi="Arial Narrow" w:cs="Times New Roman"/>
                <w:bCs/>
                <w:sz w:val="20"/>
                <w:szCs w:val="24"/>
                <w:lang w:eastAsia="en-AU"/>
              </w:rPr>
              <w:t>/N</w:t>
            </w:r>
            <w:r w:rsidRPr="002B1871">
              <w:rPr>
                <w:rFonts w:ascii="Arial Narrow" w:eastAsia="MS Gothic" w:hAnsi="Arial Narrow" w:cs="Times New Roman"/>
                <w:bCs/>
                <w:sz w:val="20"/>
                <w:szCs w:val="24"/>
                <w:lang w:eastAsia="en-AU"/>
              </w:rPr>
              <w:t xml:space="preserve"> (%)</w:t>
            </w:r>
          </w:p>
        </w:tc>
        <w:tc>
          <w:tcPr>
            <w:tcW w:w="865" w:type="pct"/>
            <w:shd w:val="clear" w:color="auto" w:fill="auto"/>
            <w:vAlign w:val="center"/>
          </w:tcPr>
          <w:p w:rsidR="00095E93" w:rsidRPr="002B1871" w:rsidRDefault="00095E93" w:rsidP="00095E93">
            <w:pPr>
              <w:keepNext/>
              <w:spacing w:before="0" w:after="0"/>
              <w:jc w:val="center"/>
              <w:rPr>
                <w:rFonts w:ascii="Arial Narrow" w:eastAsia="MS Gothic" w:hAnsi="Arial Narrow" w:cs="Times New Roman"/>
                <w:bCs/>
                <w:sz w:val="20"/>
                <w:szCs w:val="24"/>
                <w:lang w:eastAsia="en-AU"/>
              </w:rPr>
            </w:pPr>
            <w:r>
              <w:rPr>
                <w:rFonts w:ascii="Arial Narrow" w:eastAsia="MS Gothic" w:hAnsi="Arial Narrow" w:cs="Times New Roman"/>
                <w:bCs/>
                <w:sz w:val="20"/>
                <w:szCs w:val="24"/>
                <w:lang w:eastAsia="en-AU"/>
              </w:rPr>
              <w:t>379/451 (84%)</w:t>
            </w:r>
          </w:p>
        </w:tc>
        <w:tc>
          <w:tcPr>
            <w:tcW w:w="864" w:type="pct"/>
            <w:shd w:val="clear" w:color="auto" w:fill="auto"/>
            <w:vAlign w:val="center"/>
          </w:tcPr>
          <w:p w:rsidR="00095E93" w:rsidRPr="002B1871" w:rsidRDefault="00095E93" w:rsidP="00095E93">
            <w:pPr>
              <w:keepNext/>
              <w:spacing w:before="0" w:after="0"/>
              <w:jc w:val="center"/>
              <w:rPr>
                <w:rFonts w:ascii="Arial Narrow" w:eastAsia="MS Gothic" w:hAnsi="Arial Narrow" w:cs="Times New Roman"/>
                <w:bCs/>
                <w:sz w:val="20"/>
                <w:szCs w:val="24"/>
                <w:lang w:eastAsia="en-AU"/>
              </w:rPr>
            </w:pPr>
            <w:r>
              <w:rPr>
                <w:rFonts w:ascii="Arial Narrow" w:eastAsia="MS Gothic" w:hAnsi="Arial Narrow" w:cs="Times New Roman"/>
                <w:bCs/>
                <w:sz w:val="20"/>
                <w:szCs w:val="24"/>
                <w:lang w:eastAsia="en-AU"/>
              </w:rPr>
              <w:t>404/451 (89.6%)</w:t>
            </w:r>
          </w:p>
        </w:tc>
        <w:tc>
          <w:tcPr>
            <w:tcW w:w="1023" w:type="pct"/>
            <w:shd w:val="clear" w:color="auto" w:fill="auto"/>
            <w:vAlign w:val="center"/>
          </w:tcPr>
          <w:p w:rsidR="00095E93" w:rsidRPr="002B1871" w:rsidRDefault="00095E93" w:rsidP="00095E93">
            <w:pPr>
              <w:keepNext/>
              <w:spacing w:before="0" w:after="0"/>
              <w:jc w:val="center"/>
              <w:rPr>
                <w:rFonts w:ascii="Arial Narrow" w:eastAsia="MS Gothic" w:hAnsi="Arial Narrow" w:cs="Times New Roman"/>
                <w:bCs/>
                <w:sz w:val="20"/>
                <w:szCs w:val="24"/>
                <w:lang w:eastAsia="en-AU"/>
              </w:rPr>
            </w:pPr>
          </w:p>
        </w:tc>
        <w:tc>
          <w:tcPr>
            <w:tcW w:w="836" w:type="pct"/>
            <w:shd w:val="clear" w:color="auto" w:fill="auto"/>
            <w:vAlign w:val="center"/>
          </w:tcPr>
          <w:p w:rsidR="00095E93" w:rsidRPr="002B1871" w:rsidRDefault="00095E93" w:rsidP="00095E93">
            <w:pPr>
              <w:keepNext/>
              <w:spacing w:before="0" w:after="0"/>
              <w:jc w:val="center"/>
              <w:rPr>
                <w:rFonts w:ascii="Arial Narrow" w:eastAsia="MS Gothic" w:hAnsi="Arial Narrow" w:cs="Times New Roman"/>
                <w:bCs/>
                <w:sz w:val="20"/>
                <w:szCs w:val="24"/>
                <w:lang w:eastAsia="en-AU"/>
              </w:rPr>
            </w:pPr>
          </w:p>
        </w:tc>
      </w:tr>
      <w:tr w:rsidR="00095E93" w:rsidRPr="002B1871" w:rsidTr="00062C08">
        <w:trPr>
          <w:cantSplit/>
        </w:trPr>
        <w:tc>
          <w:tcPr>
            <w:tcW w:w="1412" w:type="pct"/>
            <w:shd w:val="clear" w:color="auto" w:fill="auto"/>
            <w:vAlign w:val="center"/>
          </w:tcPr>
          <w:p w:rsidR="00095E93" w:rsidRPr="002B1871" w:rsidRDefault="00095E93" w:rsidP="00095E93">
            <w:pPr>
              <w:keepNext/>
              <w:spacing w:before="0" w:after="0"/>
              <w:jc w:val="left"/>
              <w:rPr>
                <w:rFonts w:ascii="Arial Narrow" w:eastAsia="MS Gothic" w:hAnsi="Arial Narrow" w:cs="Times New Roman"/>
                <w:bCs/>
                <w:sz w:val="20"/>
                <w:szCs w:val="24"/>
                <w:lang w:eastAsia="en-AU"/>
              </w:rPr>
            </w:pPr>
            <w:r w:rsidRPr="002B1871">
              <w:rPr>
                <w:rFonts w:ascii="Arial Narrow" w:eastAsia="MS Gothic" w:hAnsi="Arial Narrow" w:cs="Times New Roman"/>
                <w:bCs/>
                <w:sz w:val="20"/>
                <w:szCs w:val="24"/>
                <w:lang w:eastAsia="en-AU"/>
              </w:rPr>
              <w:t>Median PFS, months (95% CI)</w:t>
            </w:r>
          </w:p>
        </w:tc>
        <w:tc>
          <w:tcPr>
            <w:tcW w:w="865" w:type="pct"/>
            <w:shd w:val="clear" w:color="auto" w:fill="auto"/>
            <w:vAlign w:val="center"/>
          </w:tcPr>
          <w:p w:rsidR="00095E93" w:rsidRPr="002B1871" w:rsidRDefault="00095E93" w:rsidP="00095E93">
            <w:pPr>
              <w:keepNext/>
              <w:spacing w:before="0" w:after="0"/>
              <w:jc w:val="center"/>
              <w:rPr>
                <w:rFonts w:ascii="Arial Narrow" w:eastAsia="MS Gothic" w:hAnsi="Arial Narrow" w:cs="Times New Roman"/>
                <w:bCs/>
                <w:sz w:val="20"/>
                <w:szCs w:val="24"/>
                <w:lang w:eastAsia="en-AU"/>
              </w:rPr>
            </w:pPr>
            <w:r w:rsidRPr="00FF73BD">
              <w:rPr>
                <w:rFonts w:ascii="Arial Narrow" w:eastAsia="MS Gothic" w:hAnsi="Arial Narrow" w:cs="Times New Roman"/>
                <w:bCs/>
                <w:sz w:val="20"/>
                <w:szCs w:val="24"/>
                <w:lang w:eastAsia="en-AU"/>
              </w:rPr>
              <w:t>7.16 (5.55, 7.43)</w:t>
            </w:r>
          </w:p>
        </w:tc>
        <w:tc>
          <w:tcPr>
            <w:tcW w:w="864" w:type="pct"/>
            <w:shd w:val="clear" w:color="auto" w:fill="auto"/>
            <w:vAlign w:val="center"/>
          </w:tcPr>
          <w:p w:rsidR="00095E93" w:rsidRPr="002B1871" w:rsidRDefault="00095E93" w:rsidP="00095E93">
            <w:pPr>
              <w:keepNext/>
              <w:spacing w:before="0" w:after="0"/>
              <w:jc w:val="center"/>
              <w:rPr>
                <w:rFonts w:ascii="Arial Narrow" w:eastAsia="MS Gothic" w:hAnsi="Arial Narrow" w:cs="Times New Roman"/>
                <w:bCs/>
                <w:sz w:val="20"/>
                <w:szCs w:val="24"/>
                <w:lang w:eastAsia="en-AU"/>
              </w:rPr>
            </w:pPr>
            <w:r w:rsidRPr="00FF73BD">
              <w:rPr>
                <w:rFonts w:ascii="Arial Narrow" w:eastAsia="MS Gothic" w:hAnsi="Arial Narrow" w:cs="Times New Roman"/>
                <w:bCs/>
                <w:sz w:val="20"/>
                <w:szCs w:val="24"/>
                <w:lang w:eastAsia="en-AU"/>
              </w:rPr>
              <w:t>5.49 (5.32, 5.62)</w:t>
            </w:r>
          </w:p>
        </w:tc>
        <w:tc>
          <w:tcPr>
            <w:tcW w:w="1023" w:type="pct"/>
            <w:shd w:val="clear" w:color="auto" w:fill="auto"/>
            <w:vAlign w:val="center"/>
          </w:tcPr>
          <w:p w:rsidR="00095E93" w:rsidRPr="002B1871" w:rsidRDefault="00095E93" w:rsidP="00095E93">
            <w:pPr>
              <w:keepNext/>
              <w:spacing w:before="0" w:after="0"/>
              <w:jc w:val="center"/>
              <w:rPr>
                <w:rFonts w:ascii="Arial Narrow" w:eastAsia="MS Gothic" w:hAnsi="Arial Narrow" w:cs="Times New Roman"/>
                <w:bCs/>
                <w:sz w:val="20"/>
                <w:szCs w:val="24"/>
                <w:lang w:eastAsia="en-AU"/>
              </w:rPr>
            </w:pPr>
            <w:r>
              <w:rPr>
                <w:rFonts w:ascii="Arial Narrow" w:eastAsia="MS Gothic" w:hAnsi="Arial Narrow" w:cs="Times New Roman"/>
                <w:bCs/>
                <w:sz w:val="20"/>
                <w:szCs w:val="24"/>
                <w:lang w:eastAsia="en-AU"/>
              </w:rPr>
              <w:t>1.67</w:t>
            </w:r>
          </w:p>
        </w:tc>
        <w:tc>
          <w:tcPr>
            <w:tcW w:w="836" w:type="pct"/>
            <w:shd w:val="clear" w:color="auto" w:fill="auto"/>
            <w:vAlign w:val="center"/>
          </w:tcPr>
          <w:p w:rsidR="00095E93" w:rsidRPr="002B1871" w:rsidRDefault="00095E93" w:rsidP="00095E93">
            <w:pPr>
              <w:keepNext/>
              <w:spacing w:before="0" w:after="0"/>
              <w:jc w:val="center"/>
              <w:rPr>
                <w:rFonts w:ascii="Arial Narrow" w:eastAsia="MS Gothic" w:hAnsi="Arial Narrow" w:cs="Times New Roman"/>
                <w:bCs/>
                <w:sz w:val="20"/>
                <w:szCs w:val="24"/>
                <w:lang w:eastAsia="en-AU"/>
              </w:rPr>
            </w:pPr>
            <w:r w:rsidRPr="00FF73BD">
              <w:rPr>
                <w:rFonts w:ascii="Arial Narrow" w:eastAsia="MS Gothic" w:hAnsi="Arial Narrow" w:cs="Times New Roman"/>
                <w:b/>
                <w:bCs/>
                <w:sz w:val="20"/>
                <w:szCs w:val="24"/>
                <w:lang w:eastAsia="en-AU"/>
              </w:rPr>
              <w:t>0.80 (0.69, 0.92)</w:t>
            </w:r>
          </w:p>
        </w:tc>
      </w:tr>
      <w:tr w:rsidR="00095E93" w:rsidRPr="002B1871" w:rsidTr="00062C08">
        <w:trPr>
          <w:cantSplit/>
        </w:trPr>
        <w:tc>
          <w:tcPr>
            <w:tcW w:w="1412" w:type="pct"/>
            <w:shd w:val="clear" w:color="auto" w:fill="auto"/>
          </w:tcPr>
          <w:p w:rsidR="00095E93" w:rsidRPr="002B1871" w:rsidRDefault="00095E93" w:rsidP="00095E93">
            <w:pPr>
              <w:keepNext/>
              <w:spacing w:before="0" w:after="0"/>
              <w:jc w:val="left"/>
              <w:rPr>
                <w:rFonts w:ascii="Arial Narrow" w:eastAsia="MS Gothic" w:hAnsi="Arial Narrow" w:cs="Times New Roman"/>
                <w:bCs/>
                <w:sz w:val="20"/>
                <w:szCs w:val="24"/>
                <w:lang w:eastAsia="en-AU"/>
              </w:rPr>
            </w:pPr>
            <w:r w:rsidRPr="002B1871">
              <w:rPr>
                <w:rFonts w:ascii="Arial Narrow" w:eastAsia="MS Gothic" w:hAnsi="Arial Narrow" w:cs="Times New Roman"/>
                <w:bCs/>
                <w:sz w:val="20"/>
                <w:szCs w:val="24"/>
                <w:lang w:eastAsia="en-AU"/>
              </w:rPr>
              <w:t xml:space="preserve">% not progressed at </w:t>
            </w:r>
            <w:r>
              <w:rPr>
                <w:rFonts w:ascii="Arial Narrow" w:eastAsia="MS Gothic" w:hAnsi="Arial Narrow" w:cs="Times New Roman"/>
                <w:bCs/>
                <w:sz w:val="20"/>
                <w:szCs w:val="24"/>
                <w:lang w:eastAsia="en-AU"/>
              </w:rPr>
              <w:t xml:space="preserve">12 </w:t>
            </w:r>
            <w:r w:rsidRPr="002B1871">
              <w:rPr>
                <w:rFonts w:ascii="Arial Narrow" w:eastAsia="MS Gothic" w:hAnsi="Arial Narrow" w:cs="Times New Roman"/>
                <w:bCs/>
                <w:sz w:val="20"/>
                <w:szCs w:val="24"/>
                <w:lang w:eastAsia="en-AU"/>
              </w:rPr>
              <w:t>months (95% CI)</w:t>
            </w:r>
          </w:p>
        </w:tc>
        <w:tc>
          <w:tcPr>
            <w:tcW w:w="865" w:type="pct"/>
            <w:shd w:val="clear" w:color="auto" w:fill="auto"/>
          </w:tcPr>
          <w:p w:rsidR="00095E93" w:rsidRDefault="00095E93" w:rsidP="00095E93">
            <w:pPr>
              <w:keepNext/>
              <w:spacing w:before="0" w:after="0"/>
              <w:jc w:val="center"/>
              <w:rPr>
                <w:rFonts w:ascii="Arial Narrow" w:eastAsia="MS Gothic" w:hAnsi="Arial Narrow" w:cs="Times New Roman"/>
                <w:bCs/>
                <w:sz w:val="20"/>
                <w:szCs w:val="24"/>
                <w:lang w:eastAsia="en-AU"/>
              </w:rPr>
            </w:pPr>
            <w:r w:rsidRPr="00FE1D6A">
              <w:rPr>
                <w:rFonts w:ascii="Arial Narrow" w:eastAsia="MS Gothic" w:hAnsi="Arial Narrow" w:cs="Times New Roman"/>
                <w:bCs/>
                <w:sz w:val="20"/>
                <w:szCs w:val="24"/>
                <w:lang w:eastAsia="en-AU"/>
              </w:rPr>
              <w:t>24.73</w:t>
            </w:r>
            <w:r>
              <w:rPr>
                <w:rFonts w:ascii="Arial Narrow" w:eastAsia="MS Gothic" w:hAnsi="Arial Narrow" w:cs="Times New Roman"/>
                <w:bCs/>
                <w:sz w:val="20"/>
                <w:szCs w:val="24"/>
                <w:lang w:eastAsia="en-AU"/>
              </w:rPr>
              <w:t>%</w:t>
            </w:r>
            <w:r w:rsidRPr="00FE1D6A">
              <w:rPr>
                <w:rFonts w:ascii="Arial Narrow" w:eastAsia="MS Gothic" w:hAnsi="Arial Narrow" w:cs="Times New Roman"/>
                <w:bCs/>
                <w:sz w:val="20"/>
                <w:szCs w:val="24"/>
                <w:lang w:eastAsia="en-AU"/>
              </w:rPr>
              <w:t xml:space="preserve"> </w:t>
            </w:r>
          </w:p>
          <w:p w:rsidR="00095E93" w:rsidRPr="00FE1D6A" w:rsidRDefault="00095E93" w:rsidP="00095E93">
            <w:pPr>
              <w:keepNext/>
              <w:spacing w:before="0" w:after="0"/>
              <w:jc w:val="center"/>
              <w:rPr>
                <w:rFonts w:ascii="Arial Narrow" w:eastAsia="MS Gothic" w:hAnsi="Arial Narrow" w:cs="Times New Roman"/>
                <w:bCs/>
                <w:sz w:val="20"/>
                <w:szCs w:val="24"/>
                <w:lang w:eastAsia="en-AU"/>
              </w:rPr>
            </w:pPr>
            <w:r w:rsidRPr="00FE1D6A">
              <w:rPr>
                <w:rFonts w:ascii="Arial Narrow" w:eastAsia="MS Gothic" w:hAnsi="Arial Narrow" w:cs="Times New Roman"/>
                <w:bCs/>
                <w:sz w:val="20"/>
                <w:szCs w:val="24"/>
                <w:lang w:eastAsia="en-AU"/>
              </w:rPr>
              <w:t>(20.60, 28.86)</w:t>
            </w:r>
          </w:p>
        </w:tc>
        <w:tc>
          <w:tcPr>
            <w:tcW w:w="864" w:type="pct"/>
            <w:shd w:val="clear" w:color="auto" w:fill="auto"/>
          </w:tcPr>
          <w:p w:rsidR="00095E93" w:rsidRDefault="00095E93" w:rsidP="00095E93">
            <w:pPr>
              <w:keepNext/>
              <w:spacing w:before="0" w:after="0"/>
              <w:jc w:val="center"/>
              <w:rPr>
                <w:rFonts w:ascii="Arial Narrow" w:eastAsia="MS Gothic" w:hAnsi="Arial Narrow" w:cs="Times New Roman"/>
                <w:bCs/>
                <w:sz w:val="20"/>
                <w:szCs w:val="24"/>
                <w:lang w:eastAsia="en-AU"/>
              </w:rPr>
            </w:pPr>
            <w:r w:rsidRPr="00FE1D6A">
              <w:rPr>
                <w:rFonts w:ascii="Arial Narrow" w:eastAsia="MS Gothic" w:hAnsi="Arial Narrow" w:cs="Times New Roman"/>
                <w:bCs/>
                <w:sz w:val="20"/>
                <w:szCs w:val="24"/>
                <w:lang w:eastAsia="en-AU"/>
              </w:rPr>
              <w:t>18.67</w:t>
            </w:r>
            <w:r>
              <w:rPr>
                <w:rFonts w:ascii="Arial Narrow" w:eastAsia="MS Gothic" w:hAnsi="Arial Narrow" w:cs="Times New Roman"/>
                <w:bCs/>
                <w:sz w:val="20"/>
                <w:szCs w:val="24"/>
                <w:lang w:eastAsia="en-AU"/>
              </w:rPr>
              <w:t>%</w:t>
            </w:r>
            <w:r w:rsidRPr="00FE1D6A">
              <w:rPr>
                <w:rFonts w:ascii="Arial Narrow" w:eastAsia="MS Gothic" w:hAnsi="Arial Narrow" w:cs="Times New Roman"/>
                <w:bCs/>
                <w:sz w:val="20"/>
                <w:szCs w:val="24"/>
                <w:lang w:eastAsia="en-AU"/>
              </w:rPr>
              <w:t xml:space="preserve"> </w:t>
            </w:r>
          </w:p>
          <w:p w:rsidR="00095E93" w:rsidRPr="00FE1D6A" w:rsidRDefault="00095E93" w:rsidP="00095E93">
            <w:pPr>
              <w:keepNext/>
              <w:spacing w:before="0" w:after="0"/>
              <w:jc w:val="center"/>
              <w:rPr>
                <w:rFonts w:ascii="Arial Narrow" w:eastAsia="MS Gothic" w:hAnsi="Arial Narrow" w:cs="Times New Roman"/>
                <w:bCs/>
                <w:sz w:val="20"/>
                <w:szCs w:val="24"/>
                <w:lang w:eastAsia="en-AU"/>
              </w:rPr>
            </w:pPr>
            <w:r w:rsidRPr="00FE1D6A">
              <w:rPr>
                <w:rFonts w:ascii="Arial Narrow" w:eastAsia="MS Gothic" w:hAnsi="Arial Narrow" w:cs="Times New Roman"/>
                <w:bCs/>
                <w:sz w:val="20"/>
                <w:szCs w:val="24"/>
                <w:lang w:eastAsia="en-AU"/>
              </w:rPr>
              <w:t>(14.97, 22.37)</w:t>
            </w:r>
          </w:p>
        </w:tc>
        <w:tc>
          <w:tcPr>
            <w:tcW w:w="1023" w:type="pct"/>
            <w:shd w:val="clear" w:color="auto" w:fill="auto"/>
            <w:vAlign w:val="center"/>
          </w:tcPr>
          <w:p w:rsidR="00095E93" w:rsidRPr="002B1871" w:rsidRDefault="00095E93" w:rsidP="00095E93">
            <w:pPr>
              <w:keepNext/>
              <w:spacing w:before="0" w:after="0"/>
              <w:jc w:val="center"/>
              <w:rPr>
                <w:rFonts w:ascii="Arial Narrow" w:eastAsia="MS Gothic" w:hAnsi="Arial Narrow" w:cs="Arial"/>
                <w:bCs/>
                <w:sz w:val="20"/>
                <w:szCs w:val="24"/>
                <w:lang w:eastAsia="en-AU"/>
              </w:rPr>
            </w:pPr>
            <w:r>
              <w:rPr>
                <w:rFonts w:ascii="Arial Narrow" w:eastAsia="MS Gothic" w:hAnsi="Arial Narrow" w:cs="Arial"/>
                <w:bCs/>
                <w:sz w:val="20"/>
                <w:szCs w:val="24"/>
                <w:lang w:eastAsia="en-AU"/>
              </w:rPr>
              <w:t>6.06%</w:t>
            </w:r>
          </w:p>
        </w:tc>
        <w:tc>
          <w:tcPr>
            <w:tcW w:w="836" w:type="pct"/>
            <w:shd w:val="clear" w:color="auto" w:fill="auto"/>
            <w:vAlign w:val="center"/>
          </w:tcPr>
          <w:p w:rsidR="00095E93" w:rsidRPr="002B1871" w:rsidDel="0061549B" w:rsidRDefault="00095E93" w:rsidP="00095E93">
            <w:pPr>
              <w:keepNext/>
              <w:spacing w:before="0" w:after="0"/>
              <w:jc w:val="center"/>
              <w:rPr>
                <w:rFonts w:ascii="Arial Narrow" w:eastAsia="MS Gothic" w:hAnsi="Arial Narrow" w:cs="Times New Roman"/>
                <w:bCs/>
                <w:sz w:val="20"/>
                <w:szCs w:val="24"/>
                <w:lang w:eastAsia="en-AU"/>
              </w:rPr>
            </w:pPr>
            <w:r>
              <w:rPr>
                <w:rFonts w:ascii="Arial Narrow" w:eastAsia="MS Gothic" w:hAnsi="Arial Narrow" w:cs="Times New Roman"/>
                <w:bCs/>
                <w:sz w:val="20"/>
                <w:szCs w:val="24"/>
                <w:lang w:eastAsia="en-AU"/>
              </w:rPr>
              <w:t>-</w:t>
            </w:r>
          </w:p>
        </w:tc>
      </w:tr>
      <w:tr w:rsidR="00095E93" w:rsidRPr="002B1871" w:rsidTr="00062C08">
        <w:trPr>
          <w:cantSplit/>
        </w:trPr>
        <w:tc>
          <w:tcPr>
            <w:tcW w:w="1412" w:type="pct"/>
            <w:shd w:val="clear" w:color="auto" w:fill="auto"/>
          </w:tcPr>
          <w:p w:rsidR="00095E93" w:rsidRPr="002B1871" w:rsidRDefault="00095E93" w:rsidP="00095E93">
            <w:pPr>
              <w:keepNext/>
              <w:spacing w:before="0" w:after="0"/>
              <w:jc w:val="left"/>
              <w:rPr>
                <w:rFonts w:ascii="Arial Narrow" w:eastAsia="MS Gothic" w:hAnsi="Arial Narrow" w:cs="Times New Roman"/>
                <w:bCs/>
                <w:sz w:val="20"/>
                <w:szCs w:val="24"/>
                <w:lang w:eastAsia="en-AU"/>
              </w:rPr>
            </w:pPr>
            <w:r w:rsidRPr="00474E77">
              <w:rPr>
                <w:rFonts w:ascii="Arial Narrow" w:eastAsia="MS Gothic" w:hAnsi="Arial Narrow" w:cs="Times New Roman"/>
                <w:bCs/>
                <w:sz w:val="20"/>
                <w:szCs w:val="24"/>
                <w:lang w:eastAsia="en-AU"/>
              </w:rPr>
              <w:t xml:space="preserve">% not progressed at </w:t>
            </w:r>
            <w:r>
              <w:rPr>
                <w:rFonts w:ascii="Arial Narrow" w:eastAsia="MS Gothic" w:hAnsi="Arial Narrow" w:cs="Times New Roman"/>
                <w:bCs/>
                <w:sz w:val="20"/>
                <w:szCs w:val="24"/>
                <w:lang w:eastAsia="en-AU"/>
              </w:rPr>
              <w:t>24</w:t>
            </w:r>
            <w:r w:rsidRPr="00474E77">
              <w:rPr>
                <w:rFonts w:ascii="Arial Narrow" w:eastAsia="MS Gothic" w:hAnsi="Arial Narrow" w:cs="Times New Roman"/>
                <w:bCs/>
                <w:sz w:val="20"/>
                <w:szCs w:val="24"/>
                <w:lang w:eastAsia="en-AU"/>
              </w:rPr>
              <w:t xml:space="preserve"> months (95% CI)</w:t>
            </w:r>
          </w:p>
        </w:tc>
        <w:tc>
          <w:tcPr>
            <w:tcW w:w="865" w:type="pct"/>
            <w:shd w:val="clear" w:color="auto" w:fill="auto"/>
            <w:vAlign w:val="center"/>
          </w:tcPr>
          <w:p w:rsidR="00095E93" w:rsidRDefault="00095E93" w:rsidP="00095E93">
            <w:pPr>
              <w:keepNext/>
              <w:spacing w:before="0" w:after="0"/>
              <w:jc w:val="center"/>
              <w:rPr>
                <w:rFonts w:ascii="Arial Narrow" w:eastAsia="MS Gothic" w:hAnsi="Arial Narrow" w:cs="Times New Roman"/>
                <w:bCs/>
                <w:sz w:val="20"/>
                <w:szCs w:val="24"/>
                <w:lang w:eastAsia="en-AU"/>
              </w:rPr>
            </w:pPr>
            <w:r w:rsidRPr="00FE1D6A">
              <w:rPr>
                <w:rFonts w:ascii="Arial Narrow" w:eastAsia="MS Gothic" w:hAnsi="Arial Narrow" w:cs="Times New Roman"/>
                <w:bCs/>
                <w:sz w:val="20"/>
                <w:szCs w:val="24"/>
                <w:lang w:eastAsia="en-AU"/>
              </w:rPr>
              <w:t>10.22</w:t>
            </w:r>
            <w:r>
              <w:rPr>
                <w:rFonts w:ascii="Arial Narrow" w:eastAsia="MS Gothic" w:hAnsi="Arial Narrow" w:cs="Times New Roman"/>
                <w:bCs/>
                <w:sz w:val="20"/>
                <w:szCs w:val="24"/>
                <w:lang w:eastAsia="en-AU"/>
              </w:rPr>
              <w:t>%</w:t>
            </w:r>
            <w:r w:rsidRPr="00FE1D6A">
              <w:rPr>
                <w:rFonts w:ascii="Arial Narrow" w:eastAsia="MS Gothic" w:hAnsi="Arial Narrow" w:cs="Times New Roman"/>
                <w:bCs/>
                <w:sz w:val="20"/>
                <w:szCs w:val="24"/>
                <w:lang w:eastAsia="en-AU"/>
              </w:rPr>
              <w:t xml:space="preserve"> </w:t>
            </w:r>
          </w:p>
          <w:p w:rsidR="00095E93" w:rsidRPr="00FE1D6A" w:rsidRDefault="00095E93" w:rsidP="00095E93">
            <w:pPr>
              <w:keepNext/>
              <w:spacing w:before="0" w:after="0"/>
              <w:jc w:val="center"/>
              <w:rPr>
                <w:rFonts w:ascii="Arial Narrow" w:eastAsia="MS Gothic" w:hAnsi="Arial Narrow" w:cs="Times New Roman"/>
                <w:bCs/>
                <w:sz w:val="20"/>
                <w:szCs w:val="24"/>
                <w:lang w:eastAsia="en-AU"/>
              </w:rPr>
            </w:pPr>
            <w:r w:rsidRPr="00FE1D6A">
              <w:rPr>
                <w:rFonts w:ascii="Arial Narrow" w:eastAsia="MS Gothic" w:hAnsi="Arial Narrow" w:cs="Times New Roman"/>
                <w:bCs/>
                <w:sz w:val="20"/>
                <w:szCs w:val="24"/>
                <w:lang w:eastAsia="en-AU"/>
              </w:rPr>
              <w:t>(6.96, 13.48)</w:t>
            </w:r>
          </w:p>
        </w:tc>
        <w:tc>
          <w:tcPr>
            <w:tcW w:w="864" w:type="pct"/>
            <w:shd w:val="clear" w:color="auto" w:fill="auto"/>
            <w:vAlign w:val="center"/>
          </w:tcPr>
          <w:p w:rsidR="00095E93" w:rsidRDefault="00095E93" w:rsidP="00095E93">
            <w:pPr>
              <w:keepNext/>
              <w:spacing w:before="0" w:after="0"/>
              <w:jc w:val="center"/>
              <w:rPr>
                <w:rFonts w:ascii="Arial Narrow" w:eastAsia="MS Gothic" w:hAnsi="Arial Narrow" w:cs="Times New Roman"/>
                <w:bCs/>
                <w:sz w:val="20"/>
                <w:szCs w:val="24"/>
                <w:lang w:eastAsia="en-AU"/>
              </w:rPr>
            </w:pPr>
            <w:r w:rsidRPr="00FE1D6A">
              <w:rPr>
                <w:rFonts w:ascii="Arial Narrow" w:eastAsia="MS Gothic" w:hAnsi="Arial Narrow" w:cs="Times New Roman"/>
                <w:bCs/>
                <w:sz w:val="20"/>
                <w:szCs w:val="24"/>
                <w:lang w:eastAsia="en-AU"/>
              </w:rPr>
              <w:t>6.41</w:t>
            </w:r>
            <w:r>
              <w:rPr>
                <w:rFonts w:ascii="Arial Narrow" w:eastAsia="MS Gothic" w:hAnsi="Arial Narrow" w:cs="Times New Roman"/>
                <w:bCs/>
                <w:sz w:val="20"/>
                <w:szCs w:val="24"/>
                <w:lang w:eastAsia="en-AU"/>
              </w:rPr>
              <w:t>%</w:t>
            </w:r>
            <w:r w:rsidRPr="00FE1D6A">
              <w:rPr>
                <w:rFonts w:ascii="Arial Narrow" w:eastAsia="MS Gothic" w:hAnsi="Arial Narrow" w:cs="Times New Roman"/>
                <w:bCs/>
                <w:sz w:val="20"/>
                <w:szCs w:val="24"/>
                <w:lang w:eastAsia="en-AU"/>
              </w:rPr>
              <w:t xml:space="preserve"> </w:t>
            </w:r>
          </w:p>
          <w:p w:rsidR="00095E93" w:rsidRPr="00FE1D6A" w:rsidRDefault="00095E93" w:rsidP="00095E93">
            <w:pPr>
              <w:keepNext/>
              <w:spacing w:before="0" w:after="0"/>
              <w:jc w:val="center"/>
              <w:rPr>
                <w:rFonts w:ascii="Arial Narrow" w:eastAsia="MS Gothic" w:hAnsi="Arial Narrow" w:cs="Times New Roman"/>
                <w:bCs/>
                <w:sz w:val="20"/>
                <w:szCs w:val="24"/>
                <w:lang w:eastAsia="en-AU"/>
              </w:rPr>
            </w:pPr>
            <w:r w:rsidRPr="00FE1D6A">
              <w:rPr>
                <w:rFonts w:ascii="Arial Narrow" w:eastAsia="MS Gothic" w:hAnsi="Arial Narrow" w:cs="Times New Roman"/>
                <w:bCs/>
                <w:sz w:val="20"/>
                <w:szCs w:val="24"/>
                <w:lang w:eastAsia="en-AU"/>
              </w:rPr>
              <w:t>(3.79, 9.02)</w:t>
            </w:r>
          </w:p>
        </w:tc>
        <w:tc>
          <w:tcPr>
            <w:tcW w:w="1023" w:type="pct"/>
            <w:shd w:val="clear" w:color="auto" w:fill="auto"/>
            <w:vAlign w:val="center"/>
          </w:tcPr>
          <w:p w:rsidR="00095E93" w:rsidRPr="002B1871" w:rsidRDefault="00095E93" w:rsidP="00095E93">
            <w:pPr>
              <w:keepNext/>
              <w:spacing w:before="0" w:after="0"/>
              <w:jc w:val="center"/>
              <w:rPr>
                <w:rFonts w:ascii="Arial Narrow" w:eastAsia="MS Gothic" w:hAnsi="Arial Narrow" w:cs="Arial"/>
                <w:bCs/>
                <w:sz w:val="20"/>
                <w:szCs w:val="24"/>
                <w:lang w:eastAsia="en-AU"/>
              </w:rPr>
            </w:pPr>
            <w:r>
              <w:rPr>
                <w:rFonts w:ascii="Arial Narrow" w:eastAsia="MS Gothic" w:hAnsi="Arial Narrow" w:cs="Arial"/>
                <w:bCs/>
                <w:sz w:val="20"/>
                <w:szCs w:val="24"/>
                <w:lang w:eastAsia="en-AU"/>
              </w:rPr>
              <w:t>3.81%</w:t>
            </w:r>
          </w:p>
        </w:tc>
        <w:tc>
          <w:tcPr>
            <w:tcW w:w="836" w:type="pct"/>
            <w:shd w:val="clear" w:color="auto" w:fill="auto"/>
            <w:vAlign w:val="center"/>
          </w:tcPr>
          <w:p w:rsidR="00095E93" w:rsidRPr="002B1871" w:rsidDel="0061549B" w:rsidRDefault="00095E93" w:rsidP="00095E93">
            <w:pPr>
              <w:keepNext/>
              <w:spacing w:before="0" w:after="0"/>
              <w:jc w:val="center"/>
              <w:rPr>
                <w:rFonts w:ascii="Arial Narrow" w:eastAsia="MS Gothic" w:hAnsi="Arial Narrow" w:cs="Times New Roman"/>
                <w:bCs/>
                <w:sz w:val="20"/>
                <w:szCs w:val="24"/>
                <w:lang w:eastAsia="en-AU"/>
              </w:rPr>
            </w:pPr>
            <w:r>
              <w:rPr>
                <w:rFonts w:ascii="Arial Narrow" w:eastAsia="MS Gothic" w:hAnsi="Arial Narrow" w:cs="Times New Roman"/>
                <w:bCs/>
                <w:sz w:val="20"/>
                <w:szCs w:val="24"/>
                <w:lang w:eastAsia="en-AU"/>
              </w:rPr>
              <w:t>-</w:t>
            </w:r>
          </w:p>
        </w:tc>
      </w:tr>
      <w:tr w:rsidR="00095E93" w:rsidRPr="002B1871" w:rsidTr="00657695">
        <w:trPr>
          <w:cantSplit/>
        </w:trPr>
        <w:tc>
          <w:tcPr>
            <w:tcW w:w="5000" w:type="pct"/>
            <w:gridSpan w:val="5"/>
            <w:shd w:val="clear" w:color="auto" w:fill="auto"/>
            <w:vAlign w:val="center"/>
          </w:tcPr>
          <w:p w:rsidR="00095E93" w:rsidRPr="001E6D77" w:rsidRDefault="00095E93" w:rsidP="00095E93">
            <w:pPr>
              <w:keepNext/>
              <w:spacing w:before="0" w:after="0"/>
              <w:jc w:val="left"/>
              <w:rPr>
                <w:rFonts w:ascii="Arial Narrow" w:eastAsia="MS Gothic" w:hAnsi="Arial Narrow" w:cs="Times New Roman"/>
                <w:b/>
                <w:bCs/>
                <w:sz w:val="20"/>
                <w:szCs w:val="24"/>
                <w:lang w:eastAsia="en-AU"/>
              </w:rPr>
            </w:pPr>
            <w:r w:rsidRPr="001E6D77">
              <w:rPr>
                <w:rFonts w:ascii="Arial Narrow" w:eastAsia="MS Gothic" w:hAnsi="Arial Narrow" w:cs="Times New Roman"/>
                <w:b/>
                <w:bCs/>
                <w:sz w:val="20"/>
                <w:szCs w:val="24"/>
                <w:lang w:eastAsia="en-AU"/>
              </w:rPr>
              <w:t>Overall survival (OS)</w:t>
            </w:r>
          </w:p>
        </w:tc>
      </w:tr>
      <w:tr w:rsidR="00095E93" w:rsidRPr="002B1871" w:rsidTr="00062C08">
        <w:trPr>
          <w:cantSplit/>
        </w:trPr>
        <w:tc>
          <w:tcPr>
            <w:tcW w:w="1412" w:type="pct"/>
            <w:shd w:val="clear" w:color="auto" w:fill="auto"/>
            <w:vAlign w:val="center"/>
          </w:tcPr>
          <w:p w:rsidR="00095E93" w:rsidRPr="002B1871" w:rsidRDefault="00095E93" w:rsidP="00095E93">
            <w:pPr>
              <w:keepNext/>
              <w:spacing w:before="0" w:after="0"/>
              <w:jc w:val="left"/>
              <w:rPr>
                <w:rFonts w:ascii="Arial Narrow" w:eastAsia="MS Gothic" w:hAnsi="Arial Narrow" w:cs="Times New Roman"/>
                <w:bCs/>
                <w:sz w:val="20"/>
                <w:szCs w:val="24"/>
                <w:lang w:eastAsia="en-AU"/>
              </w:rPr>
            </w:pPr>
            <w:r w:rsidRPr="002B1871">
              <w:rPr>
                <w:rFonts w:ascii="Arial Narrow" w:eastAsia="MS Gothic" w:hAnsi="Arial Narrow" w:cs="Times New Roman"/>
                <w:bCs/>
                <w:sz w:val="20"/>
                <w:szCs w:val="24"/>
                <w:lang w:eastAsia="en-AU"/>
              </w:rPr>
              <w:t>Deaths, n/N (%)</w:t>
            </w:r>
          </w:p>
        </w:tc>
        <w:tc>
          <w:tcPr>
            <w:tcW w:w="865" w:type="pct"/>
            <w:shd w:val="clear" w:color="auto" w:fill="auto"/>
            <w:vAlign w:val="center"/>
          </w:tcPr>
          <w:p w:rsidR="00095E93" w:rsidRPr="002B1871" w:rsidRDefault="00095E93" w:rsidP="00095E93">
            <w:pPr>
              <w:keepNext/>
              <w:spacing w:before="0" w:after="0"/>
              <w:jc w:val="center"/>
              <w:rPr>
                <w:rFonts w:ascii="Arial Narrow" w:eastAsia="MS Gothic" w:hAnsi="Arial Narrow" w:cs="Times New Roman"/>
                <w:bCs/>
                <w:sz w:val="20"/>
                <w:szCs w:val="24"/>
                <w:lang w:eastAsia="en-AU"/>
              </w:rPr>
            </w:pPr>
            <w:r>
              <w:rPr>
                <w:rFonts w:ascii="Arial Narrow" w:eastAsia="MS Gothic" w:hAnsi="Arial Narrow" w:cs="Times New Roman"/>
                <w:bCs/>
                <w:sz w:val="20"/>
                <w:szCs w:val="24"/>
                <w:lang w:eastAsia="en-AU"/>
              </w:rPr>
              <w:t>255/451 (56.5%)</w:t>
            </w:r>
          </w:p>
        </w:tc>
        <w:tc>
          <w:tcPr>
            <w:tcW w:w="864" w:type="pct"/>
            <w:shd w:val="clear" w:color="auto" w:fill="auto"/>
            <w:vAlign w:val="center"/>
          </w:tcPr>
          <w:p w:rsidR="00095E93" w:rsidRPr="002B1871" w:rsidRDefault="00095E93" w:rsidP="00095E93">
            <w:pPr>
              <w:keepNext/>
              <w:spacing w:before="0" w:after="0"/>
              <w:jc w:val="center"/>
              <w:rPr>
                <w:rFonts w:ascii="Arial Narrow" w:eastAsia="MS Gothic" w:hAnsi="Arial Narrow" w:cs="Times New Roman"/>
                <w:bCs/>
                <w:sz w:val="20"/>
                <w:szCs w:val="24"/>
                <w:lang w:eastAsia="en-AU"/>
              </w:rPr>
            </w:pPr>
            <w:r>
              <w:rPr>
                <w:rFonts w:ascii="Arial Narrow" w:eastAsia="MS Gothic" w:hAnsi="Arial Narrow" w:cs="Times New Roman"/>
                <w:bCs/>
                <w:sz w:val="20"/>
                <w:szCs w:val="24"/>
                <w:lang w:eastAsia="en-AU"/>
              </w:rPr>
              <w:t>279/451 (61.9%)</w:t>
            </w:r>
          </w:p>
        </w:tc>
        <w:tc>
          <w:tcPr>
            <w:tcW w:w="1023" w:type="pct"/>
            <w:shd w:val="clear" w:color="auto" w:fill="auto"/>
            <w:vAlign w:val="center"/>
          </w:tcPr>
          <w:p w:rsidR="00095E93" w:rsidRPr="002B1871" w:rsidRDefault="00095E93" w:rsidP="00095E93">
            <w:pPr>
              <w:keepNext/>
              <w:spacing w:before="0" w:after="0"/>
              <w:jc w:val="center"/>
              <w:rPr>
                <w:rFonts w:ascii="Arial Narrow" w:eastAsia="MS Gothic" w:hAnsi="Arial Narrow" w:cs="Times New Roman"/>
                <w:bCs/>
                <w:sz w:val="20"/>
                <w:szCs w:val="24"/>
                <w:lang w:eastAsia="en-AU"/>
              </w:rPr>
            </w:pPr>
          </w:p>
        </w:tc>
        <w:tc>
          <w:tcPr>
            <w:tcW w:w="836" w:type="pct"/>
            <w:shd w:val="clear" w:color="auto" w:fill="auto"/>
            <w:vAlign w:val="center"/>
          </w:tcPr>
          <w:p w:rsidR="00095E93" w:rsidRPr="002B1871" w:rsidRDefault="00095E93" w:rsidP="00095E93">
            <w:pPr>
              <w:keepNext/>
              <w:spacing w:before="0" w:after="0"/>
              <w:jc w:val="center"/>
              <w:rPr>
                <w:rFonts w:ascii="Arial Narrow" w:eastAsia="MS Gothic" w:hAnsi="Arial Narrow" w:cs="Times New Roman"/>
                <w:bCs/>
                <w:sz w:val="20"/>
                <w:szCs w:val="24"/>
                <w:lang w:eastAsia="en-AU"/>
              </w:rPr>
            </w:pPr>
          </w:p>
        </w:tc>
      </w:tr>
      <w:tr w:rsidR="00095E93" w:rsidRPr="002B1871" w:rsidTr="00062C08">
        <w:trPr>
          <w:cantSplit/>
        </w:trPr>
        <w:tc>
          <w:tcPr>
            <w:tcW w:w="1412" w:type="pct"/>
            <w:shd w:val="clear" w:color="auto" w:fill="auto"/>
          </w:tcPr>
          <w:p w:rsidR="00095E93" w:rsidRPr="002B1871" w:rsidRDefault="00095E93" w:rsidP="00095E93">
            <w:pPr>
              <w:keepNext/>
              <w:spacing w:before="0" w:after="0"/>
              <w:jc w:val="left"/>
              <w:rPr>
                <w:rFonts w:ascii="Arial Narrow" w:eastAsia="MS Gothic" w:hAnsi="Arial Narrow" w:cs="Times New Roman"/>
                <w:bCs/>
                <w:sz w:val="20"/>
                <w:szCs w:val="24"/>
                <w:lang w:eastAsia="en-AU"/>
              </w:rPr>
            </w:pPr>
            <w:r w:rsidRPr="002B1871">
              <w:rPr>
                <w:rFonts w:ascii="Arial Narrow" w:eastAsia="MS Gothic" w:hAnsi="Arial Narrow" w:cs="Times New Roman"/>
                <w:bCs/>
                <w:sz w:val="20"/>
                <w:szCs w:val="24"/>
                <w:lang w:eastAsia="en-AU"/>
              </w:rPr>
              <w:t>Median months OS (95% CI)</w:t>
            </w:r>
          </w:p>
        </w:tc>
        <w:tc>
          <w:tcPr>
            <w:tcW w:w="865" w:type="pct"/>
            <w:shd w:val="clear" w:color="auto" w:fill="auto"/>
            <w:vAlign w:val="center"/>
          </w:tcPr>
          <w:p w:rsidR="00062C08" w:rsidRDefault="00095E93" w:rsidP="00095E93">
            <w:pPr>
              <w:keepNext/>
              <w:spacing w:before="0" w:after="0"/>
              <w:jc w:val="center"/>
              <w:rPr>
                <w:rFonts w:ascii="Arial Narrow" w:eastAsia="MS Gothic" w:hAnsi="Arial Narrow" w:cs="Times New Roman"/>
                <w:bCs/>
                <w:sz w:val="20"/>
                <w:szCs w:val="24"/>
                <w:lang w:eastAsia="en-AU"/>
              </w:rPr>
            </w:pPr>
            <w:r w:rsidRPr="00FF73BD">
              <w:rPr>
                <w:rFonts w:ascii="Arial Narrow" w:eastAsia="MS Gothic" w:hAnsi="Arial Narrow" w:cs="Times New Roman"/>
                <w:bCs/>
                <w:sz w:val="20"/>
                <w:szCs w:val="24"/>
                <w:lang w:eastAsia="en-AU"/>
              </w:rPr>
              <w:t xml:space="preserve">20.99 </w:t>
            </w:r>
          </w:p>
          <w:p w:rsidR="00095E93" w:rsidRPr="002B1871" w:rsidRDefault="00095E93" w:rsidP="00095E93">
            <w:pPr>
              <w:keepNext/>
              <w:spacing w:before="0" w:after="0"/>
              <w:jc w:val="center"/>
              <w:rPr>
                <w:rFonts w:ascii="Arial Narrow" w:eastAsia="MS Gothic" w:hAnsi="Arial Narrow" w:cs="Times New Roman"/>
                <w:bCs/>
                <w:sz w:val="20"/>
                <w:szCs w:val="24"/>
                <w:lang w:eastAsia="en-AU"/>
              </w:rPr>
            </w:pPr>
            <w:r w:rsidRPr="00FF73BD">
              <w:rPr>
                <w:rFonts w:ascii="Arial Narrow" w:eastAsia="MS Gothic" w:hAnsi="Arial Narrow" w:cs="Times New Roman"/>
                <w:bCs/>
                <w:sz w:val="20"/>
                <w:szCs w:val="24"/>
                <w:lang w:eastAsia="en-AU"/>
              </w:rPr>
              <w:t>(19.02, 22.60)</w:t>
            </w:r>
          </w:p>
        </w:tc>
        <w:tc>
          <w:tcPr>
            <w:tcW w:w="864" w:type="pct"/>
            <w:shd w:val="clear" w:color="auto" w:fill="auto"/>
            <w:vAlign w:val="center"/>
          </w:tcPr>
          <w:p w:rsidR="00062C08" w:rsidRDefault="00095E93" w:rsidP="00095E93">
            <w:pPr>
              <w:keepNext/>
              <w:spacing w:before="0" w:after="0"/>
              <w:jc w:val="center"/>
              <w:rPr>
                <w:rFonts w:ascii="Arial Narrow" w:eastAsia="MS Gothic" w:hAnsi="Arial Narrow" w:cs="Times New Roman"/>
                <w:bCs/>
                <w:sz w:val="20"/>
                <w:szCs w:val="24"/>
                <w:lang w:eastAsia="en-AU"/>
              </w:rPr>
            </w:pPr>
            <w:r w:rsidRPr="00FF73BD">
              <w:rPr>
                <w:rFonts w:ascii="Arial Narrow" w:eastAsia="MS Gothic" w:hAnsi="Arial Narrow" w:cs="Times New Roman"/>
                <w:bCs/>
                <w:sz w:val="20"/>
                <w:szCs w:val="24"/>
                <w:lang w:eastAsia="en-AU"/>
              </w:rPr>
              <w:t xml:space="preserve">18.73 </w:t>
            </w:r>
          </w:p>
          <w:p w:rsidR="00095E93" w:rsidRPr="002B1871" w:rsidRDefault="00095E93" w:rsidP="00095E93">
            <w:pPr>
              <w:keepNext/>
              <w:spacing w:before="0" w:after="0"/>
              <w:jc w:val="center"/>
              <w:rPr>
                <w:rFonts w:ascii="Arial Narrow" w:eastAsia="MS Gothic" w:hAnsi="Arial Narrow" w:cs="Times New Roman"/>
                <w:bCs/>
                <w:sz w:val="20"/>
                <w:szCs w:val="24"/>
                <w:lang w:eastAsia="en-AU"/>
              </w:rPr>
            </w:pPr>
            <w:r w:rsidRPr="00FF73BD">
              <w:rPr>
                <w:rFonts w:ascii="Arial Narrow" w:eastAsia="MS Gothic" w:hAnsi="Arial Narrow" w:cs="Times New Roman"/>
                <w:bCs/>
                <w:sz w:val="20"/>
                <w:szCs w:val="24"/>
                <w:lang w:eastAsia="en-AU"/>
              </w:rPr>
              <w:t>(16.85, 20.30)</w:t>
            </w:r>
          </w:p>
        </w:tc>
        <w:tc>
          <w:tcPr>
            <w:tcW w:w="1023" w:type="pct"/>
            <w:shd w:val="clear" w:color="auto" w:fill="auto"/>
            <w:vAlign w:val="center"/>
          </w:tcPr>
          <w:p w:rsidR="00095E93" w:rsidRPr="002B1871" w:rsidRDefault="00095E93" w:rsidP="00095E93">
            <w:pPr>
              <w:keepNext/>
              <w:spacing w:before="0" w:after="0"/>
              <w:jc w:val="center"/>
              <w:rPr>
                <w:rFonts w:ascii="Arial Narrow" w:eastAsia="MS Gothic" w:hAnsi="Arial Narrow" w:cs="Times New Roman"/>
                <w:bCs/>
                <w:sz w:val="20"/>
                <w:szCs w:val="24"/>
                <w:lang w:eastAsia="en-AU"/>
              </w:rPr>
            </w:pPr>
            <w:r>
              <w:rPr>
                <w:rFonts w:ascii="Arial Narrow" w:eastAsia="MS Gothic" w:hAnsi="Arial Narrow" w:cs="Times New Roman"/>
                <w:bCs/>
                <w:sz w:val="20"/>
                <w:szCs w:val="24"/>
                <w:lang w:eastAsia="en-AU"/>
              </w:rPr>
              <w:t>2.26</w:t>
            </w:r>
          </w:p>
        </w:tc>
        <w:tc>
          <w:tcPr>
            <w:tcW w:w="836" w:type="pct"/>
            <w:shd w:val="clear" w:color="auto" w:fill="auto"/>
            <w:vAlign w:val="center"/>
          </w:tcPr>
          <w:p w:rsidR="00095E93" w:rsidRPr="002B1871" w:rsidRDefault="00095E93" w:rsidP="00095E93">
            <w:pPr>
              <w:keepNext/>
              <w:spacing w:before="0" w:after="0"/>
              <w:jc w:val="center"/>
              <w:rPr>
                <w:rFonts w:ascii="Arial Narrow" w:eastAsia="MS Gothic" w:hAnsi="Arial Narrow" w:cs="Times New Roman"/>
                <w:bCs/>
                <w:sz w:val="20"/>
                <w:szCs w:val="24"/>
                <w:lang w:eastAsia="en-AU"/>
              </w:rPr>
            </w:pPr>
            <w:r w:rsidRPr="00FF73BD">
              <w:rPr>
                <w:rFonts w:ascii="Arial Narrow" w:eastAsia="MS Gothic" w:hAnsi="Arial Narrow" w:cs="Times New Roman"/>
                <w:bCs/>
                <w:sz w:val="20"/>
                <w:szCs w:val="24"/>
                <w:lang w:eastAsia="en-AU"/>
              </w:rPr>
              <w:t>0.86 (0.72, 1.02)</w:t>
            </w:r>
          </w:p>
        </w:tc>
      </w:tr>
      <w:tr w:rsidR="00095E93" w:rsidRPr="002B1871" w:rsidTr="00062C08">
        <w:trPr>
          <w:cantSplit/>
        </w:trPr>
        <w:tc>
          <w:tcPr>
            <w:tcW w:w="1412" w:type="pct"/>
            <w:shd w:val="clear" w:color="auto" w:fill="auto"/>
          </w:tcPr>
          <w:p w:rsidR="00095E93" w:rsidRPr="002B1871" w:rsidRDefault="00095E93" w:rsidP="00095E93">
            <w:pPr>
              <w:keepNext/>
              <w:spacing w:before="0" w:after="0"/>
              <w:jc w:val="left"/>
              <w:rPr>
                <w:rFonts w:ascii="Arial Narrow" w:eastAsia="MS Gothic" w:hAnsi="Arial Narrow" w:cs="Times New Roman"/>
                <w:bCs/>
                <w:sz w:val="20"/>
                <w:szCs w:val="24"/>
                <w:lang w:eastAsia="en-AU"/>
              </w:rPr>
            </w:pPr>
            <w:r w:rsidRPr="002B1871">
              <w:rPr>
                <w:rFonts w:ascii="Arial Narrow" w:eastAsia="MS Gothic" w:hAnsi="Arial Narrow" w:cs="Times New Roman"/>
                <w:bCs/>
                <w:sz w:val="20"/>
                <w:szCs w:val="24"/>
                <w:lang w:eastAsia="en-AU"/>
              </w:rPr>
              <w:t xml:space="preserve">% alive at </w:t>
            </w:r>
            <w:r>
              <w:rPr>
                <w:rFonts w:ascii="Arial Narrow" w:eastAsia="MS Gothic" w:hAnsi="Arial Narrow" w:cs="Times New Roman"/>
                <w:bCs/>
                <w:sz w:val="20"/>
                <w:szCs w:val="24"/>
                <w:lang w:eastAsia="en-AU"/>
              </w:rPr>
              <w:t xml:space="preserve">12 </w:t>
            </w:r>
            <w:r w:rsidRPr="002B1871">
              <w:rPr>
                <w:rFonts w:ascii="Arial Narrow" w:eastAsia="MS Gothic" w:hAnsi="Arial Narrow" w:cs="Times New Roman"/>
                <w:bCs/>
                <w:sz w:val="20"/>
                <w:szCs w:val="24"/>
                <w:lang w:eastAsia="en-AU"/>
              </w:rPr>
              <w:t>months (95% CI)</w:t>
            </w:r>
          </w:p>
        </w:tc>
        <w:tc>
          <w:tcPr>
            <w:tcW w:w="865" w:type="pct"/>
            <w:shd w:val="clear" w:color="auto" w:fill="auto"/>
          </w:tcPr>
          <w:p w:rsidR="00095E93" w:rsidRDefault="00095E93" w:rsidP="00095E93">
            <w:pPr>
              <w:keepNext/>
              <w:spacing w:before="0" w:after="0"/>
              <w:jc w:val="center"/>
              <w:rPr>
                <w:rFonts w:ascii="Arial Narrow" w:eastAsia="MS Gothic" w:hAnsi="Arial Narrow" w:cs="Times New Roman"/>
                <w:bCs/>
                <w:sz w:val="20"/>
                <w:szCs w:val="24"/>
                <w:lang w:eastAsia="en-AU"/>
              </w:rPr>
            </w:pPr>
            <w:r w:rsidRPr="00FE1D6A">
              <w:rPr>
                <w:rFonts w:ascii="Arial Narrow" w:eastAsia="MS Gothic" w:hAnsi="Arial Narrow" w:cs="Times New Roman"/>
                <w:bCs/>
                <w:sz w:val="20"/>
                <w:szCs w:val="24"/>
                <w:lang w:eastAsia="en-AU"/>
              </w:rPr>
              <w:t>72.12</w:t>
            </w:r>
            <w:r>
              <w:rPr>
                <w:rFonts w:ascii="Arial Narrow" w:eastAsia="MS Gothic" w:hAnsi="Arial Narrow" w:cs="Times New Roman"/>
                <w:bCs/>
                <w:sz w:val="20"/>
                <w:szCs w:val="24"/>
                <w:lang w:eastAsia="en-AU"/>
              </w:rPr>
              <w:t>%</w:t>
            </w:r>
            <w:r w:rsidRPr="00FE1D6A">
              <w:rPr>
                <w:rFonts w:ascii="Arial Narrow" w:eastAsia="MS Gothic" w:hAnsi="Arial Narrow" w:cs="Times New Roman"/>
                <w:bCs/>
                <w:sz w:val="20"/>
                <w:szCs w:val="24"/>
                <w:lang w:eastAsia="en-AU"/>
              </w:rPr>
              <w:t xml:space="preserve"> </w:t>
            </w:r>
          </w:p>
          <w:p w:rsidR="00095E93" w:rsidRPr="00FE1D6A" w:rsidRDefault="00095E93" w:rsidP="00095E93">
            <w:pPr>
              <w:keepNext/>
              <w:spacing w:before="0" w:after="0"/>
              <w:jc w:val="center"/>
              <w:rPr>
                <w:rFonts w:ascii="Arial Narrow" w:eastAsia="MS Gothic" w:hAnsi="Arial Narrow" w:cs="Times New Roman"/>
                <w:bCs/>
                <w:sz w:val="20"/>
                <w:szCs w:val="24"/>
                <w:lang w:eastAsia="en-AU"/>
              </w:rPr>
            </w:pPr>
            <w:r w:rsidRPr="00FE1D6A">
              <w:rPr>
                <w:rFonts w:ascii="Arial Narrow" w:eastAsia="MS Gothic" w:hAnsi="Arial Narrow" w:cs="Times New Roman"/>
                <w:bCs/>
                <w:sz w:val="20"/>
                <w:szCs w:val="24"/>
                <w:lang w:eastAsia="en-AU"/>
              </w:rPr>
              <w:t>(67.91, 76.33)</w:t>
            </w:r>
          </w:p>
        </w:tc>
        <w:tc>
          <w:tcPr>
            <w:tcW w:w="864" w:type="pct"/>
            <w:shd w:val="clear" w:color="auto" w:fill="auto"/>
          </w:tcPr>
          <w:p w:rsidR="00095E93" w:rsidRDefault="00095E93" w:rsidP="00095E93">
            <w:pPr>
              <w:keepNext/>
              <w:spacing w:before="0" w:after="0"/>
              <w:jc w:val="center"/>
              <w:rPr>
                <w:rFonts w:ascii="Arial Narrow" w:eastAsia="MS Gothic" w:hAnsi="Arial Narrow" w:cs="Times New Roman"/>
                <w:bCs/>
                <w:sz w:val="20"/>
                <w:szCs w:val="24"/>
                <w:lang w:eastAsia="en-AU"/>
              </w:rPr>
            </w:pPr>
            <w:r w:rsidRPr="00FE1D6A">
              <w:rPr>
                <w:rFonts w:ascii="Arial Narrow" w:eastAsia="MS Gothic" w:hAnsi="Arial Narrow" w:cs="Times New Roman"/>
                <w:bCs/>
                <w:sz w:val="20"/>
                <w:szCs w:val="24"/>
                <w:lang w:eastAsia="en-AU"/>
              </w:rPr>
              <w:t>68.05</w:t>
            </w:r>
            <w:r>
              <w:rPr>
                <w:rFonts w:ascii="Arial Narrow" w:eastAsia="MS Gothic" w:hAnsi="Arial Narrow" w:cs="Times New Roman"/>
                <w:bCs/>
                <w:sz w:val="20"/>
                <w:szCs w:val="24"/>
                <w:lang w:eastAsia="en-AU"/>
              </w:rPr>
              <w:t>%</w:t>
            </w:r>
            <w:r w:rsidRPr="00FE1D6A">
              <w:rPr>
                <w:rFonts w:ascii="Arial Narrow" w:eastAsia="MS Gothic" w:hAnsi="Arial Narrow" w:cs="Times New Roman"/>
                <w:bCs/>
                <w:sz w:val="20"/>
                <w:szCs w:val="24"/>
                <w:lang w:eastAsia="en-AU"/>
              </w:rPr>
              <w:t xml:space="preserve"> </w:t>
            </w:r>
          </w:p>
          <w:p w:rsidR="00095E93" w:rsidRPr="00FE1D6A" w:rsidRDefault="00095E93" w:rsidP="00095E93">
            <w:pPr>
              <w:keepNext/>
              <w:spacing w:before="0" w:after="0"/>
              <w:jc w:val="center"/>
              <w:rPr>
                <w:rFonts w:ascii="Arial Narrow" w:eastAsia="MS Gothic" w:hAnsi="Arial Narrow" w:cs="Times New Roman"/>
                <w:bCs/>
                <w:sz w:val="20"/>
                <w:szCs w:val="24"/>
                <w:lang w:eastAsia="en-AU"/>
              </w:rPr>
            </w:pPr>
            <w:r w:rsidRPr="00FE1D6A">
              <w:rPr>
                <w:rFonts w:ascii="Arial Narrow" w:eastAsia="MS Gothic" w:hAnsi="Arial Narrow" w:cs="Times New Roman"/>
                <w:bCs/>
                <w:sz w:val="20"/>
                <w:szCs w:val="24"/>
                <w:lang w:eastAsia="en-AU"/>
              </w:rPr>
              <w:t>(63.68, 72.43)</w:t>
            </w:r>
          </w:p>
        </w:tc>
        <w:tc>
          <w:tcPr>
            <w:tcW w:w="1023" w:type="pct"/>
            <w:shd w:val="clear" w:color="auto" w:fill="auto"/>
            <w:vAlign w:val="center"/>
          </w:tcPr>
          <w:p w:rsidR="00095E93" w:rsidRDefault="00095E93" w:rsidP="00095E93">
            <w:pPr>
              <w:keepNext/>
              <w:spacing w:before="0" w:after="0"/>
              <w:jc w:val="center"/>
              <w:rPr>
                <w:rFonts w:ascii="Arial Narrow" w:eastAsia="MS Gothic" w:hAnsi="Arial Narrow" w:cs="Arial"/>
                <w:bCs/>
                <w:sz w:val="20"/>
                <w:szCs w:val="24"/>
                <w:lang w:eastAsia="en-AU"/>
              </w:rPr>
            </w:pPr>
            <w:r>
              <w:rPr>
                <w:rFonts w:ascii="Arial Narrow" w:eastAsia="MS Gothic" w:hAnsi="Arial Narrow" w:cs="Arial"/>
                <w:bCs/>
                <w:sz w:val="20"/>
                <w:szCs w:val="24"/>
                <w:lang w:eastAsia="en-AU"/>
              </w:rPr>
              <w:t>4.07%</w:t>
            </w:r>
          </w:p>
        </w:tc>
        <w:tc>
          <w:tcPr>
            <w:tcW w:w="836" w:type="pct"/>
            <w:shd w:val="clear" w:color="auto" w:fill="auto"/>
            <w:vAlign w:val="center"/>
          </w:tcPr>
          <w:p w:rsidR="00095E93" w:rsidRPr="002B1871" w:rsidRDefault="00095E93" w:rsidP="00095E93">
            <w:pPr>
              <w:keepNext/>
              <w:spacing w:before="0" w:after="0"/>
              <w:jc w:val="center"/>
              <w:rPr>
                <w:rFonts w:ascii="Arial Narrow" w:eastAsia="MS Gothic" w:hAnsi="Arial Narrow" w:cs="Arial"/>
                <w:bCs/>
                <w:sz w:val="20"/>
                <w:szCs w:val="24"/>
                <w:lang w:eastAsia="en-AU"/>
              </w:rPr>
            </w:pPr>
            <w:r>
              <w:rPr>
                <w:rFonts w:ascii="Arial Narrow" w:eastAsia="MS Gothic" w:hAnsi="Arial Narrow" w:cs="Arial"/>
                <w:bCs/>
                <w:sz w:val="20"/>
                <w:szCs w:val="24"/>
                <w:lang w:eastAsia="en-AU"/>
              </w:rPr>
              <w:t>-</w:t>
            </w:r>
          </w:p>
        </w:tc>
      </w:tr>
      <w:tr w:rsidR="00095E93" w:rsidRPr="002B1871" w:rsidTr="00062C08">
        <w:trPr>
          <w:cantSplit/>
        </w:trPr>
        <w:tc>
          <w:tcPr>
            <w:tcW w:w="1412" w:type="pct"/>
            <w:shd w:val="clear" w:color="auto" w:fill="auto"/>
          </w:tcPr>
          <w:p w:rsidR="00095E93" w:rsidRPr="002B1871" w:rsidRDefault="00095E93" w:rsidP="00095E93">
            <w:pPr>
              <w:keepNext/>
              <w:spacing w:before="0" w:after="0"/>
              <w:jc w:val="left"/>
              <w:rPr>
                <w:rFonts w:ascii="Arial Narrow" w:eastAsia="MS Gothic" w:hAnsi="Arial Narrow" w:cs="Times New Roman"/>
                <w:bCs/>
                <w:sz w:val="20"/>
                <w:szCs w:val="24"/>
                <w:lang w:eastAsia="en-AU"/>
              </w:rPr>
            </w:pPr>
            <w:r w:rsidRPr="002B1871">
              <w:rPr>
                <w:rFonts w:ascii="Arial Narrow" w:eastAsia="MS Gothic" w:hAnsi="Arial Narrow" w:cs="Times New Roman"/>
                <w:bCs/>
                <w:sz w:val="20"/>
                <w:szCs w:val="24"/>
                <w:lang w:eastAsia="en-AU"/>
              </w:rPr>
              <w:t xml:space="preserve">% alive at </w:t>
            </w:r>
            <w:r>
              <w:rPr>
                <w:rFonts w:ascii="Arial Narrow" w:eastAsia="MS Gothic" w:hAnsi="Arial Narrow" w:cs="Times New Roman"/>
                <w:bCs/>
                <w:sz w:val="20"/>
                <w:szCs w:val="24"/>
                <w:lang w:eastAsia="en-AU"/>
              </w:rPr>
              <w:t xml:space="preserve">24 </w:t>
            </w:r>
            <w:r w:rsidRPr="002B1871">
              <w:rPr>
                <w:rFonts w:ascii="Arial Narrow" w:eastAsia="MS Gothic" w:hAnsi="Arial Narrow" w:cs="Times New Roman"/>
                <w:bCs/>
                <w:sz w:val="20"/>
                <w:szCs w:val="24"/>
                <w:lang w:eastAsia="en-AU"/>
              </w:rPr>
              <w:t>months (95% CI)</w:t>
            </w:r>
          </w:p>
        </w:tc>
        <w:tc>
          <w:tcPr>
            <w:tcW w:w="865" w:type="pct"/>
            <w:shd w:val="clear" w:color="auto" w:fill="auto"/>
            <w:vAlign w:val="center"/>
          </w:tcPr>
          <w:p w:rsidR="00095E93" w:rsidRPr="002B1871" w:rsidRDefault="00095E93" w:rsidP="00095E93">
            <w:pPr>
              <w:keepNext/>
              <w:spacing w:before="0" w:after="0"/>
              <w:jc w:val="center"/>
              <w:rPr>
                <w:rFonts w:ascii="Arial Narrow" w:eastAsia="MS Gothic" w:hAnsi="Arial Narrow" w:cs="Arial"/>
                <w:bCs/>
                <w:sz w:val="20"/>
                <w:szCs w:val="24"/>
                <w:lang w:eastAsia="en-AU"/>
              </w:rPr>
            </w:pPr>
            <w:r>
              <w:rPr>
                <w:rFonts w:ascii="Arial Narrow" w:eastAsia="MS Gothic" w:hAnsi="Arial Narrow" w:cs="Arial"/>
                <w:bCs/>
                <w:sz w:val="20"/>
                <w:szCs w:val="24"/>
                <w:lang w:eastAsia="en-AU"/>
              </w:rPr>
              <w:t>42.35</w:t>
            </w:r>
            <w:r w:rsidRPr="002B1871">
              <w:rPr>
                <w:rFonts w:ascii="Arial Narrow" w:eastAsia="MS Gothic" w:hAnsi="Arial Narrow" w:cs="Arial"/>
                <w:bCs/>
                <w:sz w:val="20"/>
                <w:szCs w:val="24"/>
                <w:lang w:eastAsia="en-AU"/>
              </w:rPr>
              <w:t xml:space="preserve">% </w:t>
            </w:r>
            <w:r>
              <w:rPr>
                <w:rFonts w:ascii="Arial Narrow" w:eastAsia="MS Gothic" w:hAnsi="Arial Narrow" w:cs="Arial"/>
                <w:bCs/>
                <w:sz w:val="20"/>
                <w:szCs w:val="24"/>
                <w:lang w:eastAsia="en-AU"/>
              </w:rPr>
              <w:br/>
            </w:r>
            <w:r w:rsidRPr="002B1871">
              <w:rPr>
                <w:rFonts w:ascii="Arial Narrow" w:eastAsia="MS Gothic" w:hAnsi="Arial Narrow" w:cs="Arial"/>
                <w:bCs/>
                <w:sz w:val="20"/>
                <w:szCs w:val="24"/>
                <w:lang w:eastAsia="en-AU"/>
              </w:rPr>
              <w:t>(</w:t>
            </w:r>
            <w:r>
              <w:rPr>
                <w:rFonts w:ascii="Arial Narrow" w:eastAsia="MS Gothic" w:hAnsi="Arial Narrow" w:cs="Arial"/>
                <w:bCs/>
                <w:sz w:val="20"/>
                <w:szCs w:val="24"/>
                <w:lang w:eastAsia="en-AU"/>
              </w:rPr>
              <w:t>37.29%, 47.42%</w:t>
            </w:r>
            <w:r w:rsidRPr="002B1871">
              <w:rPr>
                <w:rFonts w:ascii="Arial Narrow" w:eastAsia="MS Gothic" w:hAnsi="Arial Narrow" w:cs="Arial"/>
                <w:bCs/>
                <w:sz w:val="20"/>
                <w:szCs w:val="24"/>
                <w:lang w:eastAsia="en-AU"/>
              </w:rPr>
              <w:t>)</w:t>
            </w:r>
          </w:p>
        </w:tc>
        <w:tc>
          <w:tcPr>
            <w:tcW w:w="864" w:type="pct"/>
            <w:shd w:val="clear" w:color="auto" w:fill="auto"/>
            <w:vAlign w:val="center"/>
          </w:tcPr>
          <w:p w:rsidR="00095E93" w:rsidRPr="002B1871" w:rsidRDefault="00095E93" w:rsidP="00095E93">
            <w:pPr>
              <w:keepNext/>
              <w:spacing w:before="0" w:after="0"/>
              <w:jc w:val="center"/>
              <w:rPr>
                <w:rFonts w:ascii="Arial Narrow" w:eastAsia="MS Gothic" w:hAnsi="Arial Narrow" w:cs="Arial"/>
                <w:bCs/>
                <w:sz w:val="20"/>
                <w:szCs w:val="24"/>
                <w:lang w:eastAsia="en-AU"/>
              </w:rPr>
            </w:pPr>
            <w:r>
              <w:rPr>
                <w:rFonts w:ascii="Arial Narrow" w:eastAsia="MS Gothic" w:hAnsi="Arial Narrow" w:cs="Arial"/>
                <w:bCs/>
                <w:sz w:val="20"/>
                <w:szCs w:val="24"/>
                <w:lang w:eastAsia="en-AU"/>
              </w:rPr>
              <w:t>38.67</w:t>
            </w:r>
            <w:r w:rsidRPr="002B1871">
              <w:rPr>
                <w:rFonts w:ascii="Arial Narrow" w:eastAsia="MS Gothic" w:hAnsi="Arial Narrow" w:cs="Arial"/>
                <w:bCs/>
                <w:sz w:val="20"/>
                <w:szCs w:val="24"/>
                <w:lang w:eastAsia="en-AU"/>
              </w:rPr>
              <w:t xml:space="preserve">% </w:t>
            </w:r>
            <w:r>
              <w:rPr>
                <w:rFonts w:ascii="Arial Narrow" w:eastAsia="MS Gothic" w:hAnsi="Arial Narrow" w:cs="Arial"/>
                <w:bCs/>
                <w:sz w:val="20"/>
                <w:szCs w:val="24"/>
                <w:lang w:eastAsia="en-AU"/>
              </w:rPr>
              <w:br/>
            </w:r>
            <w:r w:rsidRPr="002B1871">
              <w:rPr>
                <w:rFonts w:ascii="Arial Narrow" w:eastAsia="MS Gothic" w:hAnsi="Arial Narrow" w:cs="Arial"/>
                <w:bCs/>
                <w:sz w:val="20"/>
                <w:szCs w:val="24"/>
                <w:lang w:eastAsia="en-AU"/>
              </w:rPr>
              <w:t>(</w:t>
            </w:r>
            <w:r>
              <w:rPr>
                <w:rFonts w:ascii="Arial Narrow" w:eastAsia="MS Gothic" w:hAnsi="Arial Narrow" w:cs="Arial"/>
                <w:bCs/>
                <w:sz w:val="20"/>
                <w:szCs w:val="24"/>
                <w:lang w:eastAsia="en-AU"/>
              </w:rPr>
              <w:t>33.74%, 43.60%</w:t>
            </w:r>
            <w:r w:rsidRPr="002B1871">
              <w:rPr>
                <w:rFonts w:ascii="Arial Narrow" w:eastAsia="MS Gothic" w:hAnsi="Arial Narrow" w:cs="Arial"/>
                <w:bCs/>
                <w:sz w:val="20"/>
                <w:szCs w:val="24"/>
                <w:lang w:eastAsia="en-AU"/>
              </w:rPr>
              <w:t>)</w:t>
            </w:r>
          </w:p>
        </w:tc>
        <w:tc>
          <w:tcPr>
            <w:tcW w:w="1023" w:type="pct"/>
            <w:shd w:val="clear" w:color="auto" w:fill="auto"/>
            <w:vAlign w:val="center"/>
          </w:tcPr>
          <w:p w:rsidR="00095E93" w:rsidRPr="002B1871" w:rsidRDefault="00095E93" w:rsidP="00095E93">
            <w:pPr>
              <w:keepNext/>
              <w:spacing w:before="0" w:after="0"/>
              <w:jc w:val="center"/>
              <w:rPr>
                <w:rFonts w:ascii="Arial Narrow" w:eastAsia="MS Gothic" w:hAnsi="Arial Narrow" w:cs="Arial"/>
                <w:bCs/>
                <w:sz w:val="20"/>
                <w:szCs w:val="24"/>
                <w:lang w:eastAsia="en-AU"/>
              </w:rPr>
            </w:pPr>
            <w:r>
              <w:rPr>
                <w:rFonts w:ascii="Arial Narrow" w:eastAsia="MS Gothic" w:hAnsi="Arial Narrow" w:cs="Arial"/>
                <w:bCs/>
                <w:sz w:val="20"/>
                <w:szCs w:val="24"/>
                <w:lang w:eastAsia="en-AU"/>
              </w:rPr>
              <w:t>3.68</w:t>
            </w:r>
            <w:r w:rsidRPr="002B1871">
              <w:rPr>
                <w:rFonts w:ascii="Arial Narrow" w:eastAsia="MS Gothic" w:hAnsi="Arial Narrow" w:cs="Arial"/>
                <w:bCs/>
                <w:sz w:val="20"/>
                <w:szCs w:val="24"/>
                <w:lang w:eastAsia="en-AU"/>
              </w:rPr>
              <w:t>%</w:t>
            </w:r>
          </w:p>
        </w:tc>
        <w:tc>
          <w:tcPr>
            <w:tcW w:w="836" w:type="pct"/>
            <w:shd w:val="clear" w:color="auto" w:fill="auto"/>
            <w:vAlign w:val="center"/>
          </w:tcPr>
          <w:p w:rsidR="00095E93" w:rsidRPr="002B1871" w:rsidRDefault="00095E93" w:rsidP="00095E93">
            <w:pPr>
              <w:keepNext/>
              <w:spacing w:before="0" w:after="0"/>
              <w:jc w:val="center"/>
              <w:rPr>
                <w:rFonts w:ascii="Arial Narrow" w:eastAsia="MS Gothic" w:hAnsi="Arial Narrow" w:cs="Arial"/>
                <w:bCs/>
                <w:sz w:val="20"/>
                <w:szCs w:val="24"/>
                <w:lang w:eastAsia="en-AU"/>
              </w:rPr>
            </w:pPr>
            <w:r w:rsidRPr="002B1871">
              <w:rPr>
                <w:rFonts w:ascii="Arial Narrow" w:eastAsia="MS Gothic" w:hAnsi="Arial Narrow" w:cs="Arial"/>
                <w:bCs/>
                <w:sz w:val="20"/>
                <w:szCs w:val="24"/>
                <w:lang w:eastAsia="en-AU"/>
              </w:rPr>
              <w:t>-</w:t>
            </w:r>
          </w:p>
        </w:tc>
      </w:tr>
    </w:tbl>
    <w:p w:rsidR="00340547" w:rsidRDefault="00340547" w:rsidP="00340547">
      <w:pPr>
        <w:pStyle w:val="TableFooter"/>
      </w:pPr>
      <w:r w:rsidRPr="00FF73BD">
        <w:rPr>
          <w:b/>
        </w:rPr>
        <w:t>Bold</w:t>
      </w:r>
      <w:r w:rsidRPr="00FF73BD">
        <w:t xml:space="preserve"> indicates statistically significant results.</w:t>
      </w:r>
    </w:p>
    <w:p w:rsidR="00340547" w:rsidRDefault="00340547" w:rsidP="00340547">
      <w:pPr>
        <w:pStyle w:val="TableFooter"/>
      </w:pPr>
      <w:r>
        <w:t>*investigator assessed progression-free survival</w:t>
      </w:r>
    </w:p>
    <w:p w:rsidR="00340547" w:rsidRPr="00FF73BD" w:rsidRDefault="00340547" w:rsidP="00340547">
      <w:pPr>
        <w:pStyle w:val="TableFooter"/>
      </w:pPr>
      <w:r w:rsidRPr="00FF73BD">
        <w:t xml:space="preserve">ATZ+nab-P = </w:t>
      </w:r>
      <w:r w:rsidR="00072D1D">
        <w:t>a</w:t>
      </w:r>
      <w:r w:rsidRPr="00FF73BD">
        <w:t xml:space="preserve">tezolizumab + nab-paclitaxel; INV = Investigator-assessed; ITT = Intention-to-treat population; PBO+nab-P = </w:t>
      </w:r>
      <w:r w:rsidR="00072D1D">
        <w:t>p</w:t>
      </w:r>
      <w:r w:rsidRPr="00FF73BD">
        <w:t xml:space="preserve">lacebo + nab-paclitaxel; CI = confidence interval; N = total </w:t>
      </w:r>
      <w:r>
        <w:t xml:space="preserve">number of </w:t>
      </w:r>
      <w:r w:rsidRPr="00FF73BD">
        <w:t xml:space="preserve">participants in </w:t>
      </w:r>
      <w:r>
        <w:t xml:space="preserve">the </w:t>
      </w:r>
      <w:r w:rsidRPr="00FF73BD">
        <w:t>group; n = number of participants r</w:t>
      </w:r>
      <w:r w:rsidR="00072D1D">
        <w:t>eporting data.</w:t>
      </w:r>
    </w:p>
    <w:p w:rsidR="00095E93" w:rsidRDefault="00095E93" w:rsidP="00095E93">
      <w:pPr>
        <w:pStyle w:val="TableFooter"/>
      </w:pPr>
      <w:r>
        <w:t xml:space="preserve">Source: Table 2.5.1, p80 and Table 2.5.3, p84 of the </w:t>
      </w:r>
      <w:r w:rsidR="008D006C">
        <w:t>s</w:t>
      </w:r>
      <w:r w:rsidRPr="00960360">
        <w:t>ubmission</w:t>
      </w:r>
      <w:r w:rsidRPr="00FF73BD">
        <w:t>.</w:t>
      </w:r>
    </w:p>
    <w:p w:rsidR="00095E93" w:rsidRDefault="00095E93" w:rsidP="00095E93">
      <w:pPr>
        <w:pStyle w:val="ListParagraph"/>
        <w:numPr>
          <w:ilvl w:val="4"/>
          <w:numId w:val="1"/>
        </w:numPr>
      </w:pPr>
      <w:r>
        <w:t>The Kaplan-Meier plot</w:t>
      </w:r>
      <w:r w:rsidR="00787153">
        <w:t>s</w:t>
      </w:r>
      <w:r>
        <w:t xml:space="preserve"> of </w:t>
      </w:r>
      <w:r w:rsidR="007F655D">
        <w:t xml:space="preserve">PFS and </w:t>
      </w:r>
      <w:r>
        <w:t>OS</w:t>
      </w:r>
      <w:r w:rsidR="00787153">
        <w:t xml:space="preserve"> </w:t>
      </w:r>
      <w:r w:rsidR="00EB6CB7">
        <w:t xml:space="preserve">in the ITT population </w:t>
      </w:r>
      <w:r w:rsidR="00787153">
        <w:t>are</w:t>
      </w:r>
      <w:r w:rsidR="0087572F">
        <w:t xml:space="preserve"> presented below.</w:t>
      </w:r>
    </w:p>
    <w:p w:rsidR="00787153" w:rsidRDefault="00787153" w:rsidP="00EF5451">
      <w:pPr>
        <w:pStyle w:val="Caption"/>
        <w:ind w:left="0" w:firstLine="0"/>
        <w:jc w:val="left"/>
      </w:pPr>
      <w:r>
        <w:lastRenderedPageBreak/>
        <w:t xml:space="preserve">Figure </w:t>
      </w:r>
      <w:r w:rsidR="00074BE0">
        <w:rPr>
          <w:noProof/>
        </w:rPr>
        <w:t>1</w:t>
      </w:r>
      <w:r w:rsidR="00EF5451">
        <w:rPr>
          <w:noProof/>
        </w:rPr>
        <w:t xml:space="preserve">: </w:t>
      </w:r>
      <w:r w:rsidRPr="00787153">
        <w:t>Kaplan-Meier plot of investigator-assessed progression-free su</w:t>
      </w:r>
      <w:r w:rsidR="00EF5451">
        <w:t xml:space="preserve">rvival in the ITT population in </w:t>
      </w:r>
      <w:r w:rsidRPr="00787153">
        <w:t>IMpassion130 (</w:t>
      </w:r>
      <w:r w:rsidR="00922D70">
        <w:t>data cut-off</w:t>
      </w:r>
      <w:r w:rsidRPr="00787153">
        <w:t xml:space="preserve"> 2 January 2019)</w:t>
      </w:r>
    </w:p>
    <w:p w:rsidR="00787153" w:rsidRPr="00B22903" w:rsidRDefault="00787153" w:rsidP="00787153">
      <w:pPr>
        <w:keepNext/>
        <w:tabs>
          <w:tab w:val="left" w:pos="0"/>
        </w:tabs>
        <w:jc w:val="center"/>
      </w:pPr>
      <w:r w:rsidRPr="00B22903">
        <w:rPr>
          <w:noProof/>
          <w:lang w:eastAsia="en-AU"/>
        </w:rPr>
        <w:drawing>
          <wp:inline distT="0" distB="0" distL="0" distR="0" wp14:anchorId="449873FC" wp14:editId="27A674A6">
            <wp:extent cx="5943600" cy="3526790"/>
            <wp:effectExtent l="0" t="0" r="0" b="0"/>
            <wp:docPr id="2054" name="Picture 2054" title="Figure 1: Kaplan-Meier plot of investigator-assessed progression-free survival in the ITT population in IMpassion130 (data cut-off 2 January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526790"/>
                    </a:xfrm>
                    <a:prstGeom prst="rect">
                      <a:avLst/>
                    </a:prstGeom>
                    <a:noFill/>
                    <a:ln>
                      <a:noFill/>
                    </a:ln>
                  </pic:spPr>
                </pic:pic>
              </a:graphicData>
            </a:graphic>
          </wp:inline>
        </w:drawing>
      </w:r>
    </w:p>
    <w:p w:rsidR="00787153" w:rsidRPr="00B22903" w:rsidRDefault="00787153" w:rsidP="00787153">
      <w:pPr>
        <w:widowControl w:val="0"/>
        <w:spacing w:after="240"/>
        <w:contextualSpacing/>
        <w:rPr>
          <w:rFonts w:ascii="Arial Narrow" w:eastAsia="Times New Roman" w:hAnsi="Arial Narrow" w:cs="Arial"/>
          <w:snapToGrid w:val="0"/>
          <w:sz w:val="18"/>
          <w:szCs w:val="20"/>
        </w:rPr>
      </w:pPr>
      <w:r w:rsidRPr="00B22903">
        <w:rPr>
          <w:rFonts w:ascii="Arial Narrow" w:eastAsia="Times New Roman" w:hAnsi="Arial Narrow" w:cs="Arial"/>
          <w:snapToGrid w:val="0"/>
          <w:sz w:val="18"/>
          <w:szCs w:val="20"/>
        </w:rPr>
        <w:t>ITT = intention-to-treat; N = total participants in group.</w:t>
      </w:r>
    </w:p>
    <w:p w:rsidR="00787153" w:rsidRPr="00B22903" w:rsidRDefault="00787153" w:rsidP="00787153">
      <w:pPr>
        <w:widowControl w:val="0"/>
        <w:spacing w:after="240"/>
        <w:contextualSpacing/>
        <w:rPr>
          <w:rFonts w:ascii="Arial Narrow" w:eastAsia="Times New Roman" w:hAnsi="Arial Narrow" w:cs="Arial"/>
          <w:snapToGrid w:val="0"/>
          <w:sz w:val="18"/>
          <w:szCs w:val="20"/>
        </w:rPr>
      </w:pPr>
      <w:r w:rsidRPr="00B22903">
        <w:rPr>
          <w:rFonts w:ascii="Arial Narrow" w:eastAsia="Times New Roman" w:hAnsi="Arial Narrow" w:cs="Arial"/>
          <w:snapToGrid w:val="0"/>
          <w:sz w:val="18"/>
          <w:szCs w:val="20"/>
        </w:rPr>
        <w:t>Source: Figure 2.5.1, p 81 of the submission.</w:t>
      </w:r>
    </w:p>
    <w:p w:rsidR="00787153" w:rsidRDefault="00787153" w:rsidP="00787153">
      <w:pPr>
        <w:pStyle w:val="ListParagraph"/>
        <w:numPr>
          <w:ilvl w:val="0"/>
          <w:numId w:val="0"/>
        </w:numPr>
        <w:ind w:left="720"/>
      </w:pPr>
    </w:p>
    <w:p w:rsidR="00095E93" w:rsidRDefault="00095E93" w:rsidP="00095E93">
      <w:pPr>
        <w:pStyle w:val="Caption"/>
      </w:pPr>
      <w:r>
        <w:lastRenderedPageBreak/>
        <w:t xml:space="preserve">Figure </w:t>
      </w:r>
      <w:r w:rsidR="00074BE0">
        <w:rPr>
          <w:noProof/>
        </w:rPr>
        <w:t>2</w:t>
      </w:r>
      <w:r w:rsidR="00EF5451">
        <w:rPr>
          <w:noProof/>
        </w:rPr>
        <w:t xml:space="preserve">: </w:t>
      </w:r>
      <w:r w:rsidRPr="00CB012F">
        <w:t>Kaplan-Meier plot of overall survival in the ITT population in IMpassion130 (</w:t>
      </w:r>
      <w:r w:rsidR="00922D70">
        <w:t>data cut-off</w:t>
      </w:r>
      <w:r w:rsidRPr="00CB012F">
        <w:t xml:space="preserve"> 2 January 2019)</w:t>
      </w:r>
    </w:p>
    <w:p w:rsidR="00095E93" w:rsidRDefault="00095E93" w:rsidP="00787153">
      <w:pPr>
        <w:pStyle w:val="ListParagraph"/>
        <w:numPr>
          <w:ilvl w:val="0"/>
          <w:numId w:val="0"/>
        </w:numPr>
      </w:pPr>
      <w:r>
        <w:rPr>
          <w:noProof/>
          <w:lang w:eastAsia="en-AU"/>
        </w:rPr>
        <w:drawing>
          <wp:inline distT="0" distB="0" distL="0" distR="0" wp14:anchorId="095B7898" wp14:editId="152E2581">
            <wp:extent cx="5937885" cy="3676015"/>
            <wp:effectExtent l="0" t="0" r="5715" b="635"/>
            <wp:docPr id="57" name="Picture 57" title="Figure 2: Kaplan-Meier plot of overall survival in the ITT population in IMpassion130 (data cut-off 2 January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7885" cy="3676015"/>
                    </a:xfrm>
                    <a:prstGeom prst="rect">
                      <a:avLst/>
                    </a:prstGeom>
                    <a:noFill/>
                  </pic:spPr>
                </pic:pic>
              </a:graphicData>
            </a:graphic>
          </wp:inline>
        </w:drawing>
      </w:r>
    </w:p>
    <w:p w:rsidR="00340547" w:rsidRPr="00340547" w:rsidRDefault="00340547" w:rsidP="00340547">
      <w:pPr>
        <w:pStyle w:val="TableFooter"/>
      </w:pPr>
      <w:r w:rsidRPr="00340547">
        <w:t>ITT = intention-to-treat; NE = not evaluable</w:t>
      </w:r>
      <w:r w:rsidR="00922D70">
        <w:t>.</w:t>
      </w:r>
    </w:p>
    <w:p w:rsidR="00095E93" w:rsidRPr="00340547" w:rsidRDefault="00095E93" w:rsidP="00095E93">
      <w:pPr>
        <w:pStyle w:val="TableFooter"/>
      </w:pPr>
      <w:r w:rsidRPr="00340547">
        <w:t xml:space="preserve">Source: Figure 2.5.3, p85 of the </w:t>
      </w:r>
      <w:r w:rsidR="008D006C" w:rsidRPr="00340547">
        <w:t>s</w:t>
      </w:r>
      <w:r w:rsidRPr="00340547">
        <w:t>ubmission.</w:t>
      </w:r>
    </w:p>
    <w:p w:rsidR="00095E93" w:rsidRDefault="00095E93" w:rsidP="00095E93">
      <w:pPr>
        <w:pStyle w:val="ListParagraph"/>
        <w:numPr>
          <w:ilvl w:val="4"/>
          <w:numId w:val="1"/>
        </w:numPr>
      </w:pPr>
      <w:r>
        <w:t>The summary of survival outcomes from the PD-L1</w:t>
      </w:r>
      <w:r w:rsidR="00666CF6">
        <w:t>-</w:t>
      </w:r>
      <w:r>
        <w:t xml:space="preserve">positive and </w:t>
      </w:r>
      <w:r w:rsidR="00666CF6">
        <w:t>PD-L1-</w:t>
      </w:r>
      <w:r>
        <w:t xml:space="preserve">negative subgroups </w:t>
      </w:r>
      <w:r w:rsidR="00F8289C">
        <w:t>is</w:t>
      </w:r>
      <w:r w:rsidR="00955B9D">
        <w:t xml:space="preserve"> presented below.</w:t>
      </w:r>
    </w:p>
    <w:p w:rsidR="00095E93" w:rsidRDefault="00095E93" w:rsidP="00EF5451">
      <w:pPr>
        <w:pStyle w:val="Caption"/>
        <w:ind w:left="0" w:firstLine="0"/>
      </w:pPr>
      <w:bookmarkStart w:id="21" w:name="_Ref30151300"/>
      <w:r>
        <w:lastRenderedPageBreak/>
        <w:t xml:space="preserve">Table </w:t>
      </w:r>
      <w:r w:rsidR="00074BE0">
        <w:rPr>
          <w:noProof/>
        </w:rPr>
        <w:t>7</w:t>
      </w:r>
      <w:bookmarkEnd w:id="21"/>
      <w:r w:rsidR="00EF5451">
        <w:rPr>
          <w:noProof/>
        </w:rPr>
        <w:t xml:space="preserve">: </w:t>
      </w:r>
      <w:r>
        <w:rPr>
          <w:rStyle w:val="CommentReference"/>
          <w:b/>
          <w:szCs w:val="24"/>
        </w:rPr>
        <w:t>Summary of survival outcomes from IMpassion130 in the PD-L1</w:t>
      </w:r>
      <w:r w:rsidR="00666CF6">
        <w:rPr>
          <w:rStyle w:val="CommentReference"/>
          <w:b/>
          <w:szCs w:val="24"/>
        </w:rPr>
        <w:t>-</w:t>
      </w:r>
      <w:r>
        <w:rPr>
          <w:rStyle w:val="CommentReference"/>
          <w:b/>
          <w:szCs w:val="24"/>
        </w:rPr>
        <w:t xml:space="preserve">positive or </w:t>
      </w:r>
      <w:r w:rsidR="00666CF6">
        <w:rPr>
          <w:rStyle w:val="CommentReference"/>
          <w:b/>
          <w:szCs w:val="24"/>
        </w:rPr>
        <w:t>PD-LI-</w:t>
      </w:r>
      <w:r>
        <w:rPr>
          <w:rStyle w:val="CommentReference"/>
          <w:b/>
          <w:szCs w:val="24"/>
        </w:rPr>
        <w:t xml:space="preserve">negative population (data </w:t>
      </w:r>
      <w:r w:rsidR="00B510AF">
        <w:rPr>
          <w:rStyle w:val="CommentReference"/>
          <w:b/>
          <w:szCs w:val="24"/>
        </w:rPr>
        <w:t>cut-off</w:t>
      </w:r>
      <w:r>
        <w:rPr>
          <w:rStyle w:val="CommentReference"/>
          <w:b/>
          <w:szCs w:val="24"/>
        </w:rPr>
        <w:t xml:space="preserve"> </w:t>
      </w:r>
      <w:r w:rsidR="00922D70">
        <w:rPr>
          <w:rStyle w:val="CommentReference"/>
          <w:b/>
          <w:szCs w:val="24"/>
        </w:rPr>
        <w:t xml:space="preserve">2 </w:t>
      </w:r>
      <w:r>
        <w:rPr>
          <w:rStyle w:val="CommentReference"/>
          <w:b/>
          <w:szCs w:val="24"/>
        </w:rPr>
        <w:t>January 2019)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6"/>
        <w:gridCol w:w="1560"/>
        <w:gridCol w:w="1558"/>
        <w:gridCol w:w="1845"/>
        <w:gridCol w:w="1507"/>
      </w:tblGrid>
      <w:tr w:rsidR="00095E93" w:rsidRPr="002B1871" w:rsidTr="00062C08">
        <w:trPr>
          <w:cantSplit/>
          <w:tblHeader/>
        </w:trPr>
        <w:tc>
          <w:tcPr>
            <w:tcW w:w="1412" w:type="pct"/>
            <w:shd w:val="clear" w:color="auto" w:fill="auto"/>
            <w:vAlign w:val="center"/>
          </w:tcPr>
          <w:p w:rsidR="00095E93" w:rsidRPr="002B1871" w:rsidRDefault="00095E93" w:rsidP="00095E93">
            <w:pPr>
              <w:keepNext/>
              <w:spacing w:before="0" w:after="0"/>
              <w:jc w:val="center"/>
              <w:rPr>
                <w:rFonts w:ascii="Arial Narrow" w:eastAsia="MS Gothic" w:hAnsi="Arial Narrow" w:cs="Times New Roman"/>
                <w:b/>
                <w:sz w:val="20"/>
                <w:szCs w:val="24"/>
                <w:lang w:val="en-US" w:eastAsia="en-AU"/>
              </w:rPr>
            </w:pPr>
          </w:p>
        </w:tc>
        <w:tc>
          <w:tcPr>
            <w:tcW w:w="865" w:type="pct"/>
            <w:shd w:val="clear" w:color="auto" w:fill="auto"/>
            <w:vAlign w:val="center"/>
          </w:tcPr>
          <w:p w:rsidR="00095E93" w:rsidRPr="002B1871" w:rsidRDefault="00095E93" w:rsidP="00062C08">
            <w:pPr>
              <w:keepNext/>
              <w:spacing w:before="0" w:after="0"/>
              <w:jc w:val="center"/>
              <w:rPr>
                <w:rFonts w:ascii="Arial Narrow" w:eastAsia="MS Gothic" w:hAnsi="Arial Narrow" w:cs="Times New Roman"/>
                <w:b/>
                <w:sz w:val="20"/>
                <w:szCs w:val="24"/>
                <w:lang w:val="en-US" w:eastAsia="en-AU"/>
              </w:rPr>
            </w:pPr>
            <w:r>
              <w:rPr>
                <w:rFonts w:ascii="Arial Narrow" w:eastAsia="MS Gothic" w:hAnsi="Arial Narrow" w:cs="Times New Roman"/>
                <w:b/>
                <w:sz w:val="20"/>
                <w:szCs w:val="24"/>
                <w:lang w:val="en-US" w:eastAsia="en-AU"/>
              </w:rPr>
              <w:t>ATZ+nab-P</w:t>
            </w:r>
          </w:p>
        </w:tc>
        <w:tc>
          <w:tcPr>
            <w:tcW w:w="864" w:type="pct"/>
            <w:shd w:val="clear" w:color="auto" w:fill="auto"/>
            <w:vAlign w:val="center"/>
          </w:tcPr>
          <w:p w:rsidR="00095E93" w:rsidRPr="002B1871" w:rsidRDefault="00095E93" w:rsidP="00062C08">
            <w:pPr>
              <w:keepNext/>
              <w:spacing w:before="0" w:after="0"/>
              <w:jc w:val="center"/>
              <w:rPr>
                <w:rFonts w:ascii="Arial Narrow" w:eastAsia="MS Gothic" w:hAnsi="Arial Narrow" w:cs="Times New Roman"/>
                <w:b/>
                <w:sz w:val="20"/>
                <w:szCs w:val="24"/>
                <w:lang w:val="en-US" w:eastAsia="en-AU"/>
              </w:rPr>
            </w:pPr>
            <w:r>
              <w:rPr>
                <w:rFonts w:ascii="Arial Narrow" w:eastAsia="MS Gothic" w:hAnsi="Arial Narrow" w:cs="Times New Roman"/>
                <w:b/>
                <w:sz w:val="20"/>
                <w:szCs w:val="24"/>
                <w:lang w:val="en-US" w:eastAsia="en-AU"/>
              </w:rPr>
              <w:t>PBO+nab-P</w:t>
            </w:r>
          </w:p>
        </w:tc>
        <w:tc>
          <w:tcPr>
            <w:tcW w:w="1023" w:type="pct"/>
            <w:shd w:val="clear" w:color="auto" w:fill="auto"/>
            <w:vAlign w:val="center"/>
          </w:tcPr>
          <w:p w:rsidR="00095E93" w:rsidRPr="002B1871" w:rsidRDefault="00095E93" w:rsidP="00095E93">
            <w:pPr>
              <w:keepNext/>
              <w:spacing w:before="0" w:after="0"/>
              <w:jc w:val="center"/>
              <w:rPr>
                <w:rFonts w:ascii="Arial Narrow" w:eastAsia="MS Gothic" w:hAnsi="Arial Narrow" w:cs="Times New Roman"/>
                <w:b/>
                <w:sz w:val="20"/>
                <w:szCs w:val="24"/>
                <w:lang w:val="en-US" w:eastAsia="en-AU"/>
              </w:rPr>
            </w:pPr>
            <w:r w:rsidRPr="002B1871">
              <w:rPr>
                <w:rFonts w:ascii="Arial Narrow" w:eastAsia="MS Gothic" w:hAnsi="Arial Narrow" w:cs="Times New Roman"/>
                <w:b/>
                <w:sz w:val="20"/>
                <w:szCs w:val="24"/>
                <w:lang w:val="en-US" w:eastAsia="en-AU"/>
              </w:rPr>
              <w:t>Absolute difference</w:t>
            </w:r>
          </w:p>
        </w:tc>
        <w:tc>
          <w:tcPr>
            <w:tcW w:w="836" w:type="pct"/>
            <w:shd w:val="clear" w:color="auto" w:fill="auto"/>
            <w:vAlign w:val="center"/>
          </w:tcPr>
          <w:p w:rsidR="00095E93" w:rsidRPr="002B1871" w:rsidRDefault="00095E93" w:rsidP="00095E93">
            <w:pPr>
              <w:keepNext/>
              <w:spacing w:before="0" w:after="0"/>
              <w:jc w:val="center"/>
              <w:rPr>
                <w:rFonts w:ascii="Arial Narrow" w:eastAsia="MS Gothic" w:hAnsi="Arial Narrow" w:cs="Times New Roman"/>
                <w:b/>
                <w:sz w:val="20"/>
                <w:szCs w:val="24"/>
                <w:lang w:val="en-US" w:eastAsia="en-AU"/>
              </w:rPr>
            </w:pPr>
            <w:r w:rsidRPr="002B1871">
              <w:rPr>
                <w:rFonts w:ascii="Arial Narrow" w:eastAsia="MS Gothic" w:hAnsi="Arial Narrow" w:cs="Times New Roman"/>
                <w:b/>
                <w:sz w:val="20"/>
                <w:szCs w:val="24"/>
                <w:lang w:val="en-US" w:eastAsia="en-AU"/>
              </w:rPr>
              <w:t>HR (95% CI)</w:t>
            </w:r>
          </w:p>
        </w:tc>
      </w:tr>
      <w:tr w:rsidR="00095E93" w:rsidRPr="002B1871" w:rsidTr="00657695">
        <w:trPr>
          <w:cantSplit/>
        </w:trPr>
        <w:tc>
          <w:tcPr>
            <w:tcW w:w="5000" w:type="pct"/>
            <w:gridSpan w:val="5"/>
            <w:shd w:val="clear" w:color="auto" w:fill="auto"/>
            <w:vAlign w:val="center"/>
          </w:tcPr>
          <w:p w:rsidR="00095E93" w:rsidRPr="002B1871" w:rsidRDefault="00666CF6" w:rsidP="00095E93">
            <w:pPr>
              <w:keepNext/>
              <w:spacing w:before="0" w:after="0"/>
              <w:jc w:val="left"/>
              <w:rPr>
                <w:rFonts w:ascii="Arial Narrow" w:eastAsia="MS Gothic" w:hAnsi="Arial Narrow" w:cs="Times New Roman"/>
                <w:b/>
                <w:sz w:val="20"/>
                <w:szCs w:val="24"/>
                <w:lang w:val="en-US" w:eastAsia="en-AU"/>
              </w:rPr>
            </w:pPr>
            <w:r>
              <w:rPr>
                <w:rFonts w:ascii="Arial Narrow" w:eastAsia="MS Gothic" w:hAnsi="Arial Narrow" w:cs="Times New Roman"/>
                <w:b/>
                <w:sz w:val="20"/>
                <w:szCs w:val="24"/>
                <w:lang w:val="en-US" w:eastAsia="en-AU"/>
              </w:rPr>
              <w:t>PD-L1-</w:t>
            </w:r>
            <w:r w:rsidR="00062C08">
              <w:rPr>
                <w:rFonts w:ascii="Arial Narrow" w:eastAsia="MS Gothic" w:hAnsi="Arial Narrow" w:cs="Times New Roman"/>
                <w:b/>
                <w:sz w:val="20"/>
                <w:szCs w:val="24"/>
                <w:lang w:val="en-US" w:eastAsia="en-AU"/>
              </w:rPr>
              <w:t>positive</w:t>
            </w:r>
            <w:r>
              <w:rPr>
                <w:rFonts w:ascii="Arial Narrow" w:eastAsia="MS Gothic" w:hAnsi="Arial Narrow" w:cs="Times New Roman"/>
                <w:b/>
                <w:sz w:val="20"/>
                <w:szCs w:val="24"/>
                <w:lang w:val="en-US" w:eastAsia="en-AU"/>
              </w:rPr>
              <w:t xml:space="preserve"> population</w:t>
            </w:r>
          </w:p>
        </w:tc>
      </w:tr>
      <w:tr w:rsidR="00095E93" w:rsidRPr="002B1871" w:rsidTr="00657695">
        <w:trPr>
          <w:cantSplit/>
        </w:trPr>
        <w:tc>
          <w:tcPr>
            <w:tcW w:w="5000" w:type="pct"/>
            <w:gridSpan w:val="5"/>
            <w:shd w:val="clear" w:color="auto" w:fill="auto"/>
            <w:vAlign w:val="center"/>
          </w:tcPr>
          <w:p w:rsidR="00095E93" w:rsidRPr="00B832A8" w:rsidRDefault="00095E93" w:rsidP="00095E93">
            <w:pPr>
              <w:keepNext/>
              <w:spacing w:before="0" w:after="0"/>
              <w:jc w:val="left"/>
              <w:rPr>
                <w:rFonts w:ascii="Arial Narrow" w:eastAsia="MS Gothic" w:hAnsi="Arial Narrow" w:cs="Times New Roman"/>
                <w:b/>
                <w:sz w:val="20"/>
                <w:szCs w:val="24"/>
                <w:vertAlign w:val="superscript"/>
                <w:lang w:val="en-US" w:eastAsia="en-AU"/>
              </w:rPr>
            </w:pPr>
            <w:r w:rsidRPr="002B1871">
              <w:rPr>
                <w:rFonts w:ascii="Arial Narrow" w:eastAsia="MS Gothic" w:hAnsi="Arial Narrow" w:cs="Times New Roman"/>
                <w:b/>
                <w:sz w:val="20"/>
                <w:szCs w:val="24"/>
                <w:lang w:val="en-US" w:eastAsia="en-AU"/>
              </w:rPr>
              <w:t>Progression-free survival</w:t>
            </w:r>
            <w:r w:rsidR="00B832A8">
              <w:rPr>
                <w:rFonts w:ascii="Arial Narrow" w:eastAsia="MS Gothic" w:hAnsi="Arial Narrow" w:cs="Times New Roman"/>
                <w:b/>
                <w:sz w:val="20"/>
                <w:szCs w:val="24"/>
                <w:lang w:val="en-US" w:eastAsia="en-AU"/>
              </w:rPr>
              <w:t xml:space="preserve"> (PFS)</w:t>
            </w:r>
            <w:r w:rsidR="00B832A8">
              <w:rPr>
                <w:rFonts w:ascii="Arial Narrow" w:eastAsia="MS Gothic" w:hAnsi="Arial Narrow" w:cs="Times New Roman"/>
                <w:b/>
                <w:sz w:val="20"/>
                <w:szCs w:val="24"/>
                <w:vertAlign w:val="superscript"/>
                <w:lang w:val="en-US" w:eastAsia="en-AU"/>
              </w:rPr>
              <w:t>a</w:t>
            </w:r>
          </w:p>
        </w:tc>
      </w:tr>
      <w:tr w:rsidR="00095E93" w:rsidRPr="002B1871" w:rsidTr="00062C08">
        <w:trPr>
          <w:cantSplit/>
        </w:trPr>
        <w:tc>
          <w:tcPr>
            <w:tcW w:w="1412" w:type="pct"/>
            <w:shd w:val="clear" w:color="auto" w:fill="auto"/>
            <w:vAlign w:val="center"/>
          </w:tcPr>
          <w:p w:rsidR="00095E93" w:rsidRPr="002B1871" w:rsidRDefault="00095E93" w:rsidP="00095E93">
            <w:pPr>
              <w:keepNext/>
              <w:spacing w:before="0" w:after="0"/>
              <w:jc w:val="left"/>
              <w:rPr>
                <w:rFonts w:ascii="Arial Narrow" w:eastAsia="MS Gothic" w:hAnsi="Arial Narrow" w:cs="Times New Roman"/>
                <w:bCs/>
                <w:sz w:val="20"/>
                <w:szCs w:val="24"/>
                <w:lang w:eastAsia="en-AU"/>
              </w:rPr>
            </w:pPr>
            <w:r w:rsidRPr="002B1871">
              <w:rPr>
                <w:rFonts w:ascii="Arial Narrow" w:eastAsia="MS Gothic" w:hAnsi="Arial Narrow" w:cs="Times New Roman"/>
                <w:bCs/>
                <w:sz w:val="20"/>
                <w:szCs w:val="24"/>
                <w:lang w:eastAsia="en-AU"/>
              </w:rPr>
              <w:t>Progressed, n</w:t>
            </w:r>
            <w:r>
              <w:rPr>
                <w:rFonts w:ascii="Arial Narrow" w:eastAsia="MS Gothic" w:hAnsi="Arial Narrow" w:cs="Times New Roman"/>
                <w:bCs/>
                <w:sz w:val="20"/>
                <w:szCs w:val="24"/>
                <w:lang w:eastAsia="en-AU"/>
              </w:rPr>
              <w:t>/N</w:t>
            </w:r>
            <w:r w:rsidRPr="002B1871">
              <w:rPr>
                <w:rFonts w:ascii="Arial Narrow" w:eastAsia="MS Gothic" w:hAnsi="Arial Narrow" w:cs="Times New Roman"/>
                <w:bCs/>
                <w:sz w:val="20"/>
                <w:szCs w:val="24"/>
                <w:lang w:eastAsia="en-AU"/>
              </w:rPr>
              <w:t xml:space="preserve"> (%)</w:t>
            </w:r>
          </w:p>
        </w:tc>
        <w:tc>
          <w:tcPr>
            <w:tcW w:w="865" w:type="pct"/>
            <w:shd w:val="clear" w:color="auto" w:fill="auto"/>
            <w:vAlign w:val="center"/>
          </w:tcPr>
          <w:p w:rsidR="00095E93" w:rsidRPr="00E63B6F" w:rsidRDefault="00095E93" w:rsidP="00095E93">
            <w:pPr>
              <w:keepNext/>
              <w:spacing w:before="0" w:after="0"/>
              <w:jc w:val="center"/>
              <w:rPr>
                <w:rFonts w:ascii="Arial Narrow" w:eastAsia="MS Gothic" w:hAnsi="Arial Narrow" w:cs="Arial"/>
                <w:bCs/>
                <w:sz w:val="20"/>
                <w:szCs w:val="24"/>
                <w:lang w:eastAsia="en-AU"/>
              </w:rPr>
            </w:pPr>
            <w:r w:rsidRPr="003A7B74">
              <w:rPr>
                <w:rFonts w:ascii="Arial Narrow" w:eastAsia="MS Gothic" w:hAnsi="Arial Narrow" w:cs="Arial"/>
                <w:bCs/>
                <w:sz w:val="20"/>
                <w:szCs w:val="24"/>
                <w:lang w:eastAsia="en-AU"/>
              </w:rPr>
              <w:t>149/185 (80.5%)</w:t>
            </w:r>
          </w:p>
        </w:tc>
        <w:tc>
          <w:tcPr>
            <w:tcW w:w="864" w:type="pct"/>
            <w:shd w:val="clear" w:color="auto" w:fill="auto"/>
            <w:vAlign w:val="center"/>
          </w:tcPr>
          <w:p w:rsidR="00095E93" w:rsidRPr="00E63B6F" w:rsidRDefault="00095E93" w:rsidP="00095E93">
            <w:pPr>
              <w:keepNext/>
              <w:spacing w:before="0" w:after="0"/>
              <w:jc w:val="center"/>
              <w:rPr>
                <w:rFonts w:ascii="Arial Narrow" w:eastAsia="MS Gothic" w:hAnsi="Arial Narrow" w:cs="Arial"/>
                <w:bCs/>
                <w:sz w:val="20"/>
                <w:szCs w:val="24"/>
                <w:lang w:eastAsia="en-AU"/>
              </w:rPr>
            </w:pPr>
            <w:r w:rsidRPr="00E63B6F">
              <w:rPr>
                <w:rFonts w:ascii="Arial Narrow" w:eastAsia="MS Gothic" w:hAnsi="Arial Narrow" w:cs="Arial"/>
                <w:bCs/>
                <w:sz w:val="20"/>
                <w:szCs w:val="24"/>
                <w:lang w:eastAsia="en-AU"/>
              </w:rPr>
              <w:t>163</w:t>
            </w:r>
            <w:r>
              <w:rPr>
                <w:rFonts w:ascii="Arial Narrow" w:eastAsia="MS Gothic" w:hAnsi="Arial Narrow" w:cs="Arial"/>
                <w:bCs/>
                <w:sz w:val="20"/>
                <w:szCs w:val="24"/>
                <w:lang w:eastAsia="en-AU"/>
              </w:rPr>
              <w:t>/184</w:t>
            </w:r>
            <w:r w:rsidRPr="00E63B6F">
              <w:rPr>
                <w:rFonts w:ascii="Arial Narrow" w:eastAsia="MS Gothic" w:hAnsi="Arial Narrow" w:cs="Arial"/>
                <w:bCs/>
                <w:sz w:val="20"/>
                <w:szCs w:val="24"/>
                <w:lang w:eastAsia="en-AU"/>
              </w:rPr>
              <w:t xml:space="preserve"> (88.6%)</w:t>
            </w:r>
          </w:p>
        </w:tc>
        <w:tc>
          <w:tcPr>
            <w:tcW w:w="1023" w:type="pct"/>
            <w:shd w:val="clear" w:color="auto" w:fill="auto"/>
            <w:vAlign w:val="center"/>
          </w:tcPr>
          <w:p w:rsidR="00095E93" w:rsidRPr="00E63B6F" w:rsidRDefault="00095E93" w:rsidP="00095E93">
            <w:pPr>
              <w:keepNext/>
              <w:spacing w:before="0" w:after="0"/>
              <w:jc w:val="center"/>
              <w:rPr>
                <w:rFonts w:ascii="Arial Narrow" w:eastAsia="MS Gothic" w:hAnsi="Arial Narrow" w:cs="Arial"/>
                <w:bCs/>
                <w:sz w:val="20"/>
                <w:szCs w:val="24"/>
                <w:lang w:eastAsia="en-AU"/>
              </w:rPr>
            </w:pPr>
          </w:p>
        </w:tc>
        <w:tc>
          <w:tcPr>
            <w:tcW w:w="836" w:type="pct"/>
            <w:shd w:val="clear" w:color="auto" w:fill="auto"/>
            <w:vAlign w:val="center"/>
          </w:tcPr>
          <w:p w:rsidR="00095E93" w:rsidRPr="00E63B6F" w:rsidRDefault="00095E93" w:rsidP="00095E93">
            <w:pPr>
              <w:keepNext/>
              <w:spacing w:before="0" w:after="0"/>
              <w:jc w:val="center"/>
              <w:rPr>
                <w:rFonts w:ascii="Arial Narrow" w:eastAsia="MS Gothic" w:hAnsi="Arial Narrow" w:cs="Arial"/>
                <w:bCs/>
                <w:sz w:val="20"/>
                <w:szCs w:val="24"/>
                <w:lang w:eastAsia="en-AU"/>
              </w:rPr>
            </w:pPr>
          </w:p>
        </w:tc>
      </w:tr>
      <w:tr w:rsidR="00095E93" w:rsidRPr="002B1871" w:rsidTr="00062C08">
        <w:trPr>
          <w:cantSplit/>
        </w:trPr>
        <w:tc>
          <w:tcPr>
            <w:tcW w:w="1412" w:type="pct"/>
            <w:shd w:val="clear" w:color="auto" w:fill="auto"/>
            <w:vAlign w:val="center"/>
          </w:tcPr>
          <w:p w:rsidR="00095E93" w:rsidRPr="002B1871" w:rsidRDefault="00095E93" w:rsidP="00095E93">
            <w:pPr>
              <w:keepNext/>
              <w:spacing w:before="0" w:after="0"/>
              <w:jc w:val="left"/>
              <w:rPr>
                <w:rFonts w:ascii="Arial Narrow" w:eastAsia="MS Gothic" w:hAnsi="Arial Narrow" w:cs="Times New Roman"/>
                <w:bCs/>
                <w:sz w:val="20"/>
                <w:szCs w:val="24"/>
                <w:lang w:eastAsia="en-AU"/>
              </w:rPr>
            </w:pPr>
            <w:r w:rsidRPr="002B1871">
              <w:rPr>
                <w:rFonts w:ascii="Arial Narrow" w:eastAsia="MS Gothic" w:hAnsi="Arial Narrow" w:cs="Times New Roman"/>
                <w:bCs/>
                <w:sz w:val="20"/>
                <w:szCs w:val="24"/>
                <w:lang w:eastAsia="en-AU"/>
              </w:rPr>
              <w:t>Median PFS, months (95% CI)</w:t>
            </w:r>
          </w:p>
        </w:tc>
        <w:tc>
          <w:tcPr>
            <w:tcW w:w="865" w:type="pct"/>
            <w:shd w:val="clear" w:color="auto" w:fill="auto"/>
            <w:vAlign w:val="center"/>
          </w:tcPr>
          <w:p w:rsidR="00095E93" w:rsidRPr="00E63B6F" w:rsidRDefault="00095E93" w:rsidP="00095E93">
            <w:pPr>
              <w:keepNext/>
              <w:spacing w:before="0" w:after="0"/>
              <w:jc w:val="center"/>
              <w:rPr>
                <w:rFonts w:ascii="Arial Narrow" w:eastAsia="MS Gothic" w:hAnsi="Arial Narrow" w:cs="Arial"/>
                <w:bCs/>
                <w:sz w:val="20"/>
                <w:szCs w:val="24"/>
                <w:lang w:eastAsia="en-AU"/>
              </w:rPr>
            </w:pPr>
            <w:r w:rsidRPr="003A7B74">
              <w:rPr>
                <w:rFonts w:ascii="Arial Narrow" w:eastAsia="MS Gothic" w:hAnsi="Arial Narrow" w:cs="Arial"/>
                <w:bCs/>
                <w:sz w:val="20"/>
                <w:szCs w:val="24"/>
                <w:lang w:eastAsia="en-AU"/>
              </w:rPr>
              <w:t>7.46 (6.70, 9.23)</w:t>
            </w:r>
          </w:p>
        </w:tc>
        <w:tc>
          <w:tcPr>
            <w:tcW w:w="864" w:type="pct"/>
            <w:shd w:val="clear" w:color="auto" w:fill="auto"/>
            <w:vAlign w:val="center"/>
          </w:tcPr>
          <w:p w:rsidR="00095E93" w:rsidRPr="00E63B6F" w:rsidRDefault="00095E93" w:rsidP="00095E93">
            <w:pPr>
              <w:keepNext/>
              <w:spacing w:before="0" w:after="0"/>
              <w:jc w:val="center"/>
              <w:rPr>
                <w:rFonts w:ascii="Arial Narrow" w:eastAsia="MS Gothic" w:hAnsi="Arial Narrow" w:cs="Arial"/>
                <w:bCs/>
                <w:sz w:val="20"/>
                <w:szCs w:val="24"/>
                <w:lang w:eastAsia="en-AU"/>
              </w:rPr>
            </w:pPr>
            <w:r w:rsidRPr="003A7B74">
              <w:rPr>
                <w:rFonts w:ascii="Arial Narrow" w:eastAsia="MS Gothic" w:hAnsi="Arial Narrow" w:cs="Arial"/>
                <w:bCs/>
                <w:sz w:val="20"/>
                <w:szCs w:val="24"/>
                <w:lang w:eastAsia="en-AU"/>
              </w:rPr>
              <w:t>5.29 (3.81, 5.55)</w:t>
            </w:r>
          </w:p>
        </w:tc>
        <w:tc>
          <w:tcPr>
            <w:tcW w:w="1023" w:type="pct"/>
            <w:shd w:val="clear" w:color="auto" w:fill="auto"/>
            <w:vAlign w:val="center"/>
          </w:tcPr>
          <w:p w:rsidR="00095E93" w:rsidRPr="00E63B6F" w:rsidRDefault="00095E93" w:rsidP="00095E93">
            <w:pPr>
              <w:keepNext/>
              <w:spacing w:before="0" w:after="0"/>
              <w:jc w:val="center"/>
              <w:rPr>
                <w:rFonts w:ascii="Arial Narrow" w:eastAsia="MS Gothic" w:hAnsi="Arial Narrow" w:cs="Arial"/>
                <w:bCs/>
                <w:sz w:val="20"/>
                <w:szCs w:val="24"/>
                <w:lang w:eastAsia="en-AU"/>
              </w:rPr>
            </w:pPr>
            <w:r>
              <w:rPr>
                <w:rFonts w:ascii="Arial Narrow" w:eastAsia="MS Gothic" w:hAnsi="Arial Narrow" w:cs="Arial"/>
                <w:bCs/>
                <w:sz w:val="20"/>
                <w:szCs w:val="24"/>
                <w:lang w:eastAsia="en-AU"/>
              </w:rPr>
              <w:t>2.17</w:t>
            </w:r>
          </w:p>
        </w:tc>
        <w:tc>
          <w:tcPr>
            <w:tcW w:w="836" w:type="pct"/>
            <w:shd w:val="clear" w:color="auto" w:fill="auto"/>
            <w:vAlign w:val="center"/>
          </w:tcPr>
          <w:p w:rsidR="00095E93" w:rsidRPr="002501CD" w:rsidRDefault="00095E93" w:rsidP="00540E53">
            <w:pPr>
              <w:keepNext/>
              <w:spacing w:before="0" w:after="0"/>
              <w:jc w:val="center"/>
              <w:rPr>
                <w:rFonts w:ascii="Arial Narrow" w:eastAsia="MS Gothic" w:hAnsi="Arial Narrow" w:cs="Arial"/>
                <w:b/>
                <w:bCs/>
                <w:sz w:val="20"/>
                <w:szCs w:val="24"/>
                <w:lang w:eastAsia="en-AU"/>
              </w:rPr>
            </w:pPr>
            <w:r w:rsidRPr="002501CD">
              <w:rPr>
                <w:rFonts w:ascii="Arial Narrow" w:eastAsia="MS Gothic" w:hAnsi="Arial Narrow" w:cs="Arial"/>
                <w:b/>
                <w:bCs/>
                <w:sz w:val="20"/>
                <w:szCs w:val="24"/>
                <w:lang w:eastAsia="en-AU"/>
              </w:rPr>
              <w:t>0.63 (</w:t>
            </w:r>
            <w:r w:rsidR="00540E53">
              <w:rPr>
                <w:rFonts w:ascii="Arial Narrow" w:eastAsia="MS Gothic" w:hAnsi="Arial Narrow" w:cs="Arial"/>
                <w:b/>
                <w:bCs/>
                <w:sz w:val="20"/>
                <w:szCs w:val="24"/>
                <w:lang w:eastAsia="en-AU"/>
              </w:rPr>
              <w:t>0</w:t>
            </w:r>
            <w:r w:rsidRPr="002501CD">
              <w:rPr>
                <w:rFonts w:ascii="Arial Narrow" w:eastAsia="MS Gothic" w:hAnsi="Arial Narrow" w:cs="Arial"/>
                <w:b/>
                <w:bCs/>
                <w:sz w:val="20"/>
                <w:szCs w:val="24"/>
                <w:lang w:eastAsia="en-AU"/>
              </w:rPr>
              <w:t>.50</w:t>
            </w:r>
            <w:r w:rsidR="00540E53">
              <w:rPr>
                <w:rFonts w:ascii="Arial Narrow" w:eastAsia="MS Gothic" w:hAnsi="Arial Narrow" w:cs="Arial"/>
                <w:b/>
                <w:bCs/>
                <w:sz w:val="20"/>
                <w:szCs w:val="24"/>
                <w:lang w:eastAsia="en-AU"/>
              </w:rPr>
              <w:t>,</w:t>
            </w:r>
            <w:r w:rsidRPr="002501CD">
              <w:rPr>
                <w:rFonts w:ascii="Arial Narrow" w:eastAsia="MS Gothic" w:hAnsi="Arial Narrow" w:cs="Arial"/>
                <w:b/>
                <w:bCs/>
                <w:sz w:val="20"/>
                <w:szCs w:val="24"/>
                <w:lang w:eastAsia="en-AU"/>
              </w:rPr>
              <w:t xml:space="preserve"> 0.80)</w:t>
            </w:r>
          </w:p>
        </w:tc>
      </w:tr>
      <w:tr w:rsidR="00095E93" w:rsidRPr="002B1871" w:rsidTr="00062C08">
        <w:trPr>
          <w:cantSplit/>
        </w:trPr>
        <w:tc>
          <w:tcPr>
            <w:tcW w:w="1412" w:type="pct"/>
            <w:shd w:val="clear" w:color="auto" w:fill="auto"/>
          </w:tcPr>
          <w:p w:rsidR="00095E93" w:rsidRPr="002B1871" w:rsidRDefault="00095E93" w:rsidP="00095E93">
            <w:pPr>
              <w:keepNext/>
              <w:spacing w:before="0" w:after="0"/>
              <w:jc w:val="left"/>
              <w:rPr>
                <w:rFonts w:ascii="Arial Narrow" w:eastAsia="MS Gothic" w:hAnsi="Arial Narrow" w:cs="Times New Roman"/>
                <w:bCs/>
                <w:sz w:val="20"/>
                <w:szCs w:val="24"/>
                <w:lang w:eastAsia="en-AU"/>
              </w:rPr>
            </w:pPr>
            <w:r w:rsidRPr="002B1871">
              <w:rPr>
                <w:rFonts w:ascii="Arial Narrow" w:eastAsia="MS Gothic" w:hAnsi="Arial Narrow" w:cs="Times New Roman"/>
                <w:bCs/>
                <w:sz w:val="20"/>
                <w:szCs w:val="24"/>
                <w:lang w:eastAsia="en-AU"/>
              </w:rPr>
              <w:t xml:space="preserve">% not progressed at </w:t>
            </w:r>
            <w:r>
              <w:rPr>
                <w:rFonts w:ascii="Arial Narrow" w:eastAsia="MS Gothic" w:hAnsi="Arial Narrow" w:cs="Times New Roman"/>
                <w:bCs/>
                <w:sz w:val="20"/>
                <w:szCs w:val="24"/>
                <w:lang w:eastAsia="en-AU"/>
              </w:rPr>
              <w:t xml:space="preserve">12 </w:t>
            </w:r>
            <w:r w:rsidRPr="002B1871">
              <w:rPr>
                <w:rFonts w:ascii="Arial Narrow" w:eastAsia="MS Gothic" w:hAnsi="Arial Narrow" w:cs="Times New Roman"/>
                <w:bCs/>
                <w:sz w:val="20"/>
                <w:szCs w:val="24"/>
                <w:lang w:eastAsia="en-AU"/>
              </w:rPr>
              <w:t>months (95% CI)</w:t>
            </w:r>
            <w:r w:rsidR="0023698A" w:rsidRPr="0023698A">
              <w:rPr>
                <w:rFonts w:ascii="Arial Narrow" w:eastAsia="MS Gothic" w:hAnsi="Arial Narrow" w:cs="Times New Roman"/>
                <w:bCs/>
                <w:sz w:val="20"/>
                <w:szCs w:val="24"/>
                <w:vertAlign w:val="superscript"/>
                <w:lang w:eastAsia="en-AU"/>
              </w:rPr>
              <w:t>b</w:t>
            </w:r>
          </w:p>
        </w:tc>
        <w:tc>
          <w:tcPr>
            <w:tcW w:w="865" w:type="pct"/>
            <w:shd w:val="clear" w:color="auto" w:fill="auto"/>
            <w:vAlign w:val="center"/>
          </w:tcPr>
          <w:p w:rsidR="00095E93" w:rsidRPr="002B1871" w:rsidRDefault="00095E93" w:rsidP="00095E93">
            <w:pPr>
              <w:keepNext/>
              <w:spacing w:before="0" w:after="0"/>
              <w:jc w:val="center"/>
              <w:rPr>
                <w:rFonts w:ascii="Arial Narrow" w:eastAsia="MS Gothic" w:hAnsi="Arial Narrow" w:cs="Arial"/>
                <w:bCs/>
                <w:sz w:val="20"/>
                <w:szCs w:val="24"/>
                <w:lang w:eastAsia="en-AU"/>
              </w:rPr>
            </w:pPr>
            <w:r>
              <w:rPr>
                <w:rFonts w:ascii="Arial Narrow" w:eastAsia="MS Gothic" w:hAnsi="Arial Narrow" w:cs="Arial"/>
                <w:bCs/>
                <w:sz w:val="20"/>
                <w:szCs w:val="24"/>
                <w:lang w:eastAsia="en-AU"/>
              </w:rPr>
              <w:t>30.31</w:t>
            </w:r>
            <w:r w:rsidR="00051615">
              <w:rPr>
                <w:rFonts w:ascii="Arial Narrow" w:eastAsia="MS Gothic" w:hAnsi="Arial Narrow" w:cs="Arial"/>
                <w:bCs/>
                <w:sz w:val="20"/>
                <w:szCs w:val="24"/>
                <w:lang w:eastAsia="en-AU"/>
              </w:rPr>
              <w:t xml:space="preserve">% </w:t>
            </w:r>
            <w:r>
              <w:rPr>
                <w:rFonts w:ascii="Arial Narrow" w:eastAsia="MS Gothic" w:hAnsi="Arial Narrow" w:cs="Arial"/>
                <w:bCs/>
                <w:sz w:val="20"/>
                <w:szCs w:val="24"/>
                <w:lang w:eastAsia="en-AU"/>
              </w:rPr>
              <w:br/>
              <w:t>(23.47%, 37.15%)</w:t>
            </w:r>
          </w:p>
        </w:tc>
        <w:tc>
          <w:tcPr>
            <w:tcW w:w="864" w:type="pct"/>
            <w:shd w:val="clear" w:color="auto" w:fill="auto"/>
            <w:vAlign w:val="center"/>
          </w:tcPr>
          <w:p w:rsidR="00095E93" w:rsidRPr="002B1871" w:rsidRDefault="00095E93" w:rsidP="00095E93">
            <w:pPr>
              <w:keepNext/>
              <w:spacing w:before="0" w:after="0"/>
              <w:jc w:val="center"/>
              <w:rPr>
                <w:rFonts w:ascii="Arial Narrow" w:eastAsia="MS Gothic" w:hAnsi="Arial Narrow" w:cs="Arial"/>
                <w:bCs/>
                <w:sz w:val="20"/>
                <w:szCs w:val="24"/>
                <w:lang w:eastAsia="en-AU"/>
              </w:rPr>
            </w:pPr>
            <w:r>
              <w:rPr>
                <w:rFonts w:ascii="Arial Narrow" w:eastAsia="MS Gothic" w:hAnsi="Arial Narrow" w:cs="Arial"/>
                <w:bCs/>
                <w:sz w:val="20"/>
                <w:szCs w:val="24"/>
                <w:lang w:eastAsia="en-AU"/>
              </w:rPr>
              <w:t>17.32</w:t>
            </w:r>
            <w:r w:rsidR="00051615">
              <w:rPr>
                <w:rFonts w:ascii="Arial Narrow" w:eastAsia="MS Gothic" w:hAnsi="Arial Narrow" w:cs="Arial"/>
                <w:bCs/>
                <w:sz w:val="20"/>
                <w:szCs w:val="24"/>
                <w:lang w:eastAsia="en-AU"/>
              </w:rPr>
              <w:t xml:space="preserve">% </w:t>
            </w:r>
            <w:r>
              <w:rPr>
                <w:rFonts w:ascii="Arial Narrow" w:eastAsia="MS Gothic" w:hAnsi="Arial Narrow" w:cs="Arial"/>
                <w:bCs/>
                <w:sz w:val="20"/>
                <w:szCs w:val="24"/>
                <w:lang w:eastAsia="en-AU"/>
              </w:rPr>
              <w:br/>
              <w:t>(11.71%, 22.93%)</w:t>
            </w:r>
          </w:p>
        </w:tc>
        <w:tc>
          <w:tcPr>
            <w:tcW w:w="1023" w:type="pct"/>
            <w:shd w:val="clear" w:color="auto" w:fill="auto"/>
            <w:vAlign w:val="center"/>
          </w:tcPr>
          <w:p w:rsidR="00095E93" w:rsidRPr="002B1871" w:rsidRDefault="00095E93" w:rsidP="00095E93">
            <w:pPr>
              <w:keepNext/>
              <w:spacing w:before="0" w:after="0"/>
              <w:jc w:val="center"/>
              <w:rPr>
                <w:rFonts w:ascii="Arial Narrow" w:eastAsia="MS Gothic" w:hAnsi="Arial Narrow" w:cs="Arial"/>
                <w:bCs/>
                <w:sz w:val="20"/>
                <w:szCs w:val="24"/>
                <w:lang w:eastAsia="en-AU"/>
              </w:rPr>
            </w:pPr>
            <w:r>
              <w:rPr>
                <w:rFonts w:ascii="Arial Narrow" w:eastAsia="MS Gothic" w:hAnsi="Arial Narrow" w:cs="Arial"/>
                <w:bCs/>
                <w:sz w:val="20"/>
                <w:szCs w:val="24"/>
                <w:lang w:eastAsia="en-AU"/>
              </w:rPr>
              <w:t>12.99%</w:t>
            </w:r>
          </w:p>
        </w:tc>
        <w:tc>
          <w:tcPr>
            <w:tcW w:w="836" w:type="pct"/>
            <w:shd w:val="clear" w:color="auto" w:fill="auto"/>
            <w:vAlign w:val="center"/>
          </w:tcPr>
          <w:p w:rsidR="00095E93" w:rsidRPr="00E63B6F" w:rsidDel="0061549B" w:rsidRDefault="00095E93" w:rsidP="00095E93">
            <w:pPr>
              <w:keepNext/>
              <w:spacing w:before="0" w:after="0"/>
              <w:jc w:val="center"/>
              <w:rPr>
                <w:rFonts w:ascii="Arial Narrow" w:eastAsia="MS Gothic" w:hAnsi="Arial Narrow" w:cs="Arial"/>
                <w:bCs/>
                <w:sz w:val="20"/>
                <w:szCs w:val="24"/>
                <w:lang w:eastAsia="en-AU"/>
              </w:rPr>
            </w:pPr>
          </w:p>
        </w:tc>
      </w:tr>
      <w:tr w:rsidR="00095E93" w:rsidRPr="002B1871" w:rsidTr="00657695">
        <w:trPr>
          <w:cantSplit/>
        </w:trPr>
        <w:tc>
          <w:tcPr>
            <w:tcW w:w="5000" w:type="pct"/>
            <w:gridSpan w:val="5"/>
            <w:shd w:val="clear" w:color="auto" w:fill="auto"/>
            <w:vAlign w:val="center"/>
          </w:tcPr>
          <w:p w:rsidR="00095E93" w:rsidRPr="00A50976" w:rsidRDefault="00095E93" w:rsidP="00095E93">
            <w:pPr>
              <w:keepNext/>
              <w:spacing w:before="0" w:after="0"/>
              <w:jc w:val="left"/>
              <w:rPr>
                <w:rFonts w:ascii="Arial Narrow" w:eastAsia="MS Gothic" w:hAnsi="Arial Narrow" w:cs="Arial"/>
                <w:b/>
                <w:bCs/>
                <w:sz w:val="20"/>
                <w:szCs w:val="24"/>
                <w:lang w:eastAsia="en-AU"/>
              </w:rPr>
            </w:pPr>
            <w:r w:rsidRPr="00A50976">
              <w:rPr>
                <w:rFonts w:ascii="Arial Narrow" w:eastAsia="MS Gothic" w:hAnsi="Arial Narrow" w:cs="Arial"/>
                <w:b/>
                <w:bCs/>
                <w:sz w:val="20"/>
                <w:szCs w:val="24"/>
                <w:lang w:eastAsia="en-AU"/>
              </w:rPr>
              <w:t>Overall survival (OS)</w:t>
            </w:r>
          </w:p>
        </w:tc>
      </w:tr>
      <w:tr w:rsidR="00095E93" w:rsidRPr="002B1871" w:rsidTr="00062C08">
        <w:trPr>
          <w:cantSplit/>
        </w:trPr>
        <w:tc>
          <w:tcPr>
            <w:tcW w:w="1412" w:type="pct"/>
            <w:shd w:val="clear" w:color="auto" w:fill="auto"/>
            <w:vAlign w:val="center"/>
          </w:tcPr>
          <w:p w:rsidR="00095E93" w:rsidRPr="002B1871" w:rsidRDefault="00095E93" w:rsidP="00095E93">
            <w:pPr>
              <w:keepNext/>
              <w:spacing w:before="0" w:after="0"/>
              <w:jc w:val="left"/>
              <w:rPr>
                <w:rFonts w:ascii="Arial Narrow" w:eastAsia="MS Gothic" w:hAnsi="Arial Narrow" w:cs="Times New Roman"/>
                <w:bCs/>
                <w:sz w:val="20"/>
                <w:szCs w:val="24"/>
                <w:lang w:eastAsia="en-AU"/>
              </w:rPr>
            </w:pPr>
            <w:r w:rsidRPr="002B1871">
              <w:rPr>
                <w:rFonts w:ascii="Arial Narrow" w:eastAsia="MS Gothic" w:hAnsi="Arial Narrow" w:cs="Times New Roman"/>
                <w:bCs/>
                <w:sz w:val="20"/>
                <w:szCs w:val="24"/>
                <w:lang w:eastAsia="en-AU"/>
              </w:rPr>
              <w:t>Deaths, n/N (%)</w:t>
            </w:r>
          </w:p>
        </w:tc>
        <w:tc>
          <w:tcPr>
            <w:tcW w:w="865" w:type="pct"/>
            <w:shd w:val="clear" w:color="auto" w:fill="auto"/>
            <w:vAlign w:val="center"/>
          </w:tcPr>
          <w:p w:rsidR="00095E93" w:rsidRPr="00E63B6F" w:rsidRDefault="00095E93" w:rsidP="00095E93">
            <w:pPr>
              <w:keepNext/>
              <w:spacing w:before="0" w:after="0"/>
              <w:jc w:val="center"/>
              <w:rPr>
                <w:rFonts w:ascii="Arial Narrow" w:eastAsia="MS Gothic" w:hAnsi="Arial Narrow" w:cs="Arial"/>
                <w:bCs/>
                <w:sz w:val="20"/>
                <w:szCs w:val="24"/>
                <w:lang w:eastAsia="en-AU"/>
              </w:rPr>
            </w:pPr>
            <w:r w:rsidRPr="003A7B74">
              <w:rPr>
                <w:rFonts w:ascii="Arial Narrow" w:eastAsia="MS Gothic" w:hAnsi="Arial Narrow" w:cs="Arial"/>
                <w:bCs/>
                <w:sz w:val="20"/>
                <w:szCs w:val="24"/>
                <w:lang w:eastAsia="en-AU"/>
              </w:rPr>
              <w:t>94 (50.8%)</w:t>
            </w:r>
          </w:p>
        </w:tc>
        <w:tc>
          <w:tcPr>
            <w:tcW w:w="864" w:type="pct"/>
            <w:shd w:val="clear" w:color="auto" w:fill="auto"/>
            <w:vAlign w:val="center"/>
          </w:tcPr>
          <w:p w:rsidR="00095E93" w:rsidRPr="00E63B6F" w:rsidRDefault="00095E93" w:rsidP="00095E93">
            <w:pPr>
              <w:keepNext/>
              <w:spacing w:before="0" w:after="0"/>
              <w:jc w:val="center"/>
              <w:rPr>
                <w:rFonts w:ascii="Arial Narrow" w:eastAsia="MS Gothic" w:hAnsi="Arial Narrow" w:cs="Arial"/>
                <w:bCs/>
                <w:sz w:val="20"/>
                <w:szCs w:val="24"/>
                <w:lang w:eastAsia="en-AU"/>
              </w:rPr>
            </w:pPr>
            <w:r w:rsidRPr="003A7B74">
              <w:rPr>
                <w:rFonts w:ascii="Arial Narrow" w:eastAsia="MS Gothic" w:hAnsi="Arial Narrow" w:cs="Arial"/>
                <w:bCs/>
                <w:sz w:val="20"/>
                <w:szCs w:val="24"/>
                <w:lang w:eastAsia="en-AU"/>
              </w:rPr>
              <w:t>110 (59.8%)</w:t>
            </w:r>
          </w:p>
        </w:tc>
        <w:tc>
          <w:tcPr>
            <w:tcW w:w="1023" w:type="pct"/>
            <w:shd w:val="clear" w:color="auto" w:fill="auto"/>
            <w:vAlign w:val="center"/>
          </w:tcPr>
          <w:p w:rsidR="00095E93" w:rsidRPr="00E63B6F" w:rsidRDefault="00095E93" w:rsidP="00095E93">
            <w:pPr>
              <w:keepNext/>
              <w:spacing w:before="0" w:after="0"/>
              <w:jc w:val="center"/>
              <w:rPr>
                <w:rFonts w:ascii="Arial Narrow" w:eastAsia="MS Gothic" w:hAnsi="Arial Narrow" w:cs="Arial"/>
                <w:bCs/>
                <w:sz w:val="20"/>
                <w:szCs w:val="24"/>
                <w:lang w:eastAsia="en-AU"/>
              </w:rPr>
            </w:pPr>
          </w:p>
        </w:tc>
        <w:tc>
          <w:tcPr>
            <w:tcW w:w="836" w:type="pct"/>
            <w:shd w:val="clear" w:color="auto" w:fill="auto"/>
            <w:vAlign w:val="center"/>
          </w:tcPr>
          <w:p w:rsidR="00095E93" w:rsidRPr="00E63B6F" w:rsidRDefault="00095E93" w:rsidP="00095E93">
            <w:pPr>
              <w:keepNext/>
              <w:spacing w:before="0" w:after="0"/>
              <w:jc w:val="center"/>
              <w:rPr>
                <w:rFonts w:ascii="Arial Narrow" w:eastAsia="MS Gothic" w:hAnsi="Arial Narrow" w:cs="Arial"/>
                <w:bCs/>
                <w:sz w:val="20"/>
                <w:szCs w:val="24"/>
                <w:lang w:eastAsia="en-AU"/>
              </w:rPr>
            </w:pPr>
          </w:p>
        </w:tc>
      </w:tr>
      <w:tr w:rsidR="00E911F9" w:rsidRPr="002B1871" w:rsidTr="00062C08">
        <w:trPr>
          <w:cantSplit/>
        </w:trPr>
        <w:tc>
          <w:tcPr>
            <w:tcW w:w="1412" w:type="pct"/>
            <w:shd w:val="clear" w:color="auto" w:fill="auto"/>
          </w:tcPr>
          <w:p w:rsidR="00E911F9" w:rsidRPr="002B1871" w:rsidRDefault="00E911F9" w:rsidP="00E911F9">
            <w:pPr>
              <w:keepNext/>
              <w:spacing w:before="0" w:after="0"/>
              <w:jc w:val="left"/>
              <w:rPr>
                <w:rFonts w:ascii="Arial Narrow" w:eastAsia="MS Gothic" w:hAnsi="Arial Narrow" w:cs="Times New Roman"/>
                <w:bCs/>
                <w:sz w:val="20"/>
                <w:szCs w:val="24"/>
                <w:lang w:eastAsia="en-AU"/>
              </w:rPr>
            </w:pPr>
            <w:r w:rsidRPr="002B1871">
              <w:rPr>
                <w:rFonts w:ascii="Arial Narrow" w:eastAsia="MS Gothic" w:hAnsi="Arial Narrow" w:cs="Times New Roman"/>
                <w:bCs/>
                <w:sz w:val="20"/>
                <w:szCs w:val="24"/>
                <w:lang w:eastAsia="en-AU"/>
              </w:rPr>
              <w:t>Median months OS (95% CI)</w:t>
            </w:r>
          </w:p>
        </w:tc>
        <w:tc>
          <w:tcPr>
            <w:tcW w:w="865" w:type="pct"/>
            <w:shd w:val="clear" w:color="auto" w:fill="auto"/>
            <w:vAlign w:val="center"/>
          </w:tcPr>
          <w:p w:rsidR="00062C08" w:rsidRDefault="00E911F9" w:rsidP="00E911F9">
            <w:pPr>
              <w:keepNext/>
              <w:spacing w:before="0" w:after="0"/>
              <w:jc w:val="center"/>
              <w:rPr>
                <w:rFonts w:ascii="Arial Narrow" w:eastAsia="MS Gothic" w:hAnsi="Arial Narrow" w:cs="Arial"/>
                <w:bCs/>
                <w:sz w:val="20"/>
                <w:szCs w:val="24"/>
                <w:lang w:eastAsia="en-AU"/>
              </w:rPr>
            </w:pPr>
            <w:r w:rsidRPr="00E911F9">
              <w:rPr>
                <w:rFonts w:ascii="Arial Narrow" w:eastAsia="MS Gothic" w:hAnsi="Arial Narrow" w:cs="Arial"/>
                <w:bCs/>
                <w:sz w:val="20"/>
                <w:szCs w:val="24"/>
                <w:lang w:eastAsia="en-AU"/>
              </w:rPr>
              <w:t xml:space="preserve">25.03 </w:t>
            </w:r>
          </w:p>
          <w:p w:rsidR="00E911F9" w:rsidRPr="00E63B6F" w:rsidRDefault="00E911F9" w:rsidP="00E911F9">
            <w:pPr>
              <w:keepNext/>
              <w:spacing w:before="0" w:after="0"/>
              <w:jc w:val="center"/>
              <w:rPr>
                <w:rFonts w:ascii="Arial Narrow" w:eastAsia="MS Gothic" w:hAnsi="Arial Narrow" w:cs="Arial"/>
                <w:bCs/>
                <w:sz w:val="20"/>
                <w:szCs w:val="24"/>
                <w:lang w:eastAsia="en-AU"/>
              </w:rPr>
            </w:pPr>
            <w:r w:rsidRPr="00E911F9">
              <w:rPr>
                <w:rFonts w:ascii="Arial Narrow" w:eastAsia="MS Gothic" w:hAnsi="Arial Narrow" w:cs="Arial"/>
                <w:bCs/>
                <w:sz w:val="20"/>
                <w:szCs w:val="24"/>
                <w:lang w:eastAsia="en-AU"/>
              </w:rPr>
              <w:t>(19.55, 30.65)</w:t>
            </w:r>
          </w:p>
        </w:tc>
        <w:tc>
          <w:tcPr>
            <w:tcW w:w="864" w:type="pct"/>
            <w:shd w:val="clear" w:color="auto" w:fill="auto"/>
            <w:vAlign w:val="center"/>
          </w:tcPr>
          <w:p w:rsidR="00062C08" w:rsidRDefault="00E911F9" w:rsidP="00E911F9">
            <w:pPr>
              <w:keepNext/>
              <w:spacing w:before="0" w:after="0"/>
              <w:jc w:val="center"/>
              <w:rPr>
                <w:rFonts w:ascii="Arial Narrow" w:eastAsia="MS Gothic" w:hAnsi="Arial Narrow" w:cs="Arial"/>
                <w:bCs/>
                <w:sz w:val="20"/>
                <w:szCs w:val="24"/>
                <w:lang w:eastAsia="en-AU"/>
              </w:rPr>
            </w:pPr>
            <w:r w:rsidRPr="00E911F9">
              <w:rPr>
                <w:rFonts w:ascii="Arial Narrow" w:eastAsia="MS Gothic" w:hAnsi="Arial Narrow" w:cs="Arial"/>
                <w:bCs/>
                <w:sz w:val="20"/>
                <w:szCs w:val="24"/>
                <w:lang w:eastAsia="en-AU"/>
              </w:rPr>
              <w:t xml:space="preserve">17.97 </w:t>
            </w:r>
          </w:p>
          <w:p w:rsidR="00E911F9" w:rsidRPr="00E63B6F" w:rsidRDefault="00E911F9" w:rsidP="00E911F9">
            <w:pPr>
              <w:keepNext/>
              <w:spacing w:before="0" w:after="0"/>
              <w:jc w:val="center"/>
              <w:rPr>
                <w:rFonts w:ascii="Arial Narrow" w:eastAsia="MS Gothic" w:hAnsi="Arial Narrow" w:cs="Arial"/>
                <w:bCs/>
                <w:sz w:val="20"/>
                <w:szCs w:val="24"/>
                <w:lang w:eastAsia="en-AU"/>
              </w:rPr>
            </w:pPr>
            <w:r w:rsidRPr="00E911F9">
              <w:rPr>
                <w:rFonts w:ascii="Arial Narrow" w:eastAsia="MS Gothic" w:hAnsi="Arial Narrow" w:cs="Arial"/>
                <w:bCs/>
                <w:sz w:val="20"/>
                <w:szCs w:val="24"/>
                <w:lang w:eastAsia="en-AU"/>
              </w:rPr>
              <w:t>(13.63, 20.07)</w:t>
            </w:r>
          </w:p>
        </w:tc>
        <w:tc>
          <w:tcPr>
            <w:tcW w:w="1023" w:type="pct"/>
            <w:shd w:val="clear" w:color="auto" w:fill="auto"/>
            <w:vAlign w:val="center"/>
          </w:tcPr>
          <w:p w:rsidR="00E911F9" w:rsidRPr="00E63B6F" w:rsidRDefault="00E911F9" w:rsidP="00E911F9">
            <w:pPr>
              <w:keepNext/>
              <w:spacing w:before="0" w:after="0"/>
              <w:jc w:val="center"/>
              <w:rPr>
                <w:rFonts w:ascii="Arial Narrow" w:eastAsia="MS Gothic" w:hAnsi="Arial Narrow" w:cs="Arial"/>
                <w:bCs/>
                <w:sz w:val="20"/>
                <w:szCs w:val="24"/>
                <w:lang w:eastAsia="en-AU"/>
              </w:rPr>
            </w:pPr>
            <w:r>
              <w:rPr>
                <w:rFonts w:ascii="Arial Narrow" w:eastAsia="MS Gothic" w:hAnsi="Arial Narrow" w:cs="Arial"/>
                <w:bCs/>
                <w:sz w:val="20"/>
                <w:szCs w:val="24"/>
                <w:lang w:eastAsia="en-AU"/>
              </w:rPr>
              <w:t>7.06</w:t>
            </w:r>
          </w:p>
        </w:tc>
        <w:tc>
          <w:tcPr>
            <w:tcW w:w="836" w:type="pct"/>
            <w:shd w:val="clear" w:color="auto" w:fill="auto"/>
            <w:vAlign w:val="center"/>
          </w:tcPr>
          <w:p w:rsidR="00E911F9" w:rsidRPr="007D28A7" w:rsidRDefault="00E911F9" w:rsidP="00E911F9">
            <w:pPr>
              <w:keepNext/>
              <w:spacing w:before="0" w:after="0"/>
              <w:jc w:val="center"/>
              <w:rPr>
                <w:rFonts w:ascii="Arial Narrow" w:eastAsia="MS Gothic" w:hAnsi="Arial Narrow" w:cs="Arial"/>
                <w:bCs/>
                <w:sz w:val="20"/>
                <w:szCs w:val="24"/>
                <w:lang w:eastAsia="en-AU"/>
              </w:rPr>
            </w:pPr>
            <w:r w:rsidRPr="00E911F9">
              <w:rPr>
                <w:rFonts w:ascii="Arial Narrow" w:eastAsia="MS Gothic" w:hAnsi="Arial Narrow" w:cs="Arial"/>
                <w:bCs/>
                <w:sz w:val="20"/>
                <w:szCs w:val="24"/>
                <w:lang w:eastAsia="en-AU"/>
              </w:rPr>
              <w:t>0.71 (0.54, 0.93)</w:t>
            </w:r>
            <w:r w:rsidR="007D28A7">
              <w:rPr>
                <w:rFonts w:ascii="Arial Narrow" w:eastAsia="MS Gothic" w:hAnsi="Arial Narrow" w:cs="Arial"/>
                <w:bCs/>
                <w:sz w:val="20"/>
                <w:szCs w:val="24"/>
                <w:vertAlign w:val="superscript"/>
                <w:lang w:eastAsia="en-AU"/>
              </w:rPr>
              <w:t>e</w:t>
            </w:r>
          </w:p>
        </w:tc>
      </w:tr>
      <w:tr w:rsidR="00095E93" w:rsidRPr="002B1871" w:rsidTr="00062C08">
        <w:trPr>
          <w:cantSplit/>
        </w:trPr>
        <w:tc>
          <w:tcPr>
            <w:tcW w:w="1412" w:type="pct"/>
            <w:shd w:val="clear" w:color="auto" w:fill="auto"/>
          </w:tcPr>
          <w:p w:rsidR="00095E93" w:rsidRPr="003A7B74" w:rsidRDefault="00095E93" w:rsidP="00095E93">
            <w:pPr>
              <w:keepNext/>
              <w:spacing w:before="0" w:after="0"/>
              <w:jc w:val="left"/>
              <w:rPr>
                <w:rFonts w:ascii="Arial Narrow" w:eastAsia="MS Gothic" w:hAnsi="Arial Narrow" w:cs="Times New Roman"/>
                <w:bCs/>
                <w:sz w:val="20"/>
                <w:szCs w:val="24"/>
                <w:lang w:eastAsia="en-AU"/>
              </w:rPr>
            </w:pPr>
            <w:r w:rsidRPr="002B1871">
              <w:rPr>
                <w:rFonts w:ascii="Arial Narrow" w:eastAsia="MS Gothic" w:hAnsi="Arial Narrow" w:cs="Times New Roman"/>
                <w:bCs/>
                <w:sz w:val="20"/>
                <w:szCs w:val="24"/>
                <w:lang w:eastAsia="en-AU"/>
              </w:rPr>
              <w:t xml:space="preserve">% alive at </w:t>
            </w:r>
            <w:r>
              <w:rPr>
                <w:rFonts w:ascii="Arial Narrow" w:eastAsia="MS Gothic" w:hAnsi="Arial Narrow" w:cs="Times New Roman"/>
                <w:bCs/>
                <w:sz w:val="20"/>
                <w:szCs w:val="24"/>
                <w:lang w:eastAsia="en-AU"/>
              </w:rPr>
              <w:t xml:space="preserve">24 </w:t>
            </w:r>
            <w:r w:rsidRPr="002B1871">
              <w:rPr>
                <w:rFonts w:ascii="Arial Narrow" w:eastAsia="MS Gothic" w:hAnsi="Arial Narrow" w:cs="Times New Roman"/>
                <w:bCs/>
                <w:sz w:val="20"/>
                <w:szCs w:val="24"/>
                <w:lang w:eastAsia="en-AU"/>
              </w:rPr>
              <w:t>months (95% CI)</w:t>
            </w:r>
            <w:r w:rsidR="00B832A8" w:rsidRPr="00B832A8">
              <w:rPr>
                <w:rFonts w:ascii="Arial Narrow" w:eastAsia="MS Gothic" w:hAnsi="Arial Narrow" w:cs="Times New Roman"/>
                <w:bCs/>
                <w:sz w:val="20"/>
                <w:szCs w:val="24"/>
                <w:vertAlign w:val="superscript"/>
                <w:lang w:eastAsia="en-AU"/>
              </w:rPr>
              <w:t>c</w:t>
            </w:r>
          </w:p>
        </w:tc>
        <w:tc>
          <w:tcPr>
            <w:tcW w:w="865" w:type="pct"/>
            <w:shd w:val="clear" w:color="auto" w:fill="auto"/>
          </w:tcPr>
          <w:p w:rsidR="00095E93" w:rsidRDefault="00095E93" w:rsidP="00095E93">
            <w:pPr>
              <w:keepNext/>
              <w:spacing w:before="0" w:after="0"/>
              <w:jc w:val="center"/>
              <w:rPr>
                <w:rFonts w:ascii="Arial Narrow" w:eastAsia="MS Gothic" w:hAnsi="Arial Narrow" w:cs="Arial"/>
                <w:bCs/>
                <w:sz w:val="20"/>
                <w:szCs w:val="24"/>
                <w:lang w:eastAsia="en-AU"/>
              </w:rPr>
            </w:pPr>
            <w:r w:rsidRPr="00E63B6F">
              <w:rPr>
                <w:rFonts w:ascii="Arial Narrow" w:eastAsia="MS Gothic" w:hAnsi="Arial Narrow" w:cs="Arial"/>
                <w:bCs/>
                <w:sz w:val="20"/>
                <w:szCs w:val="24"/>
                <w:lang w:eastAsia="en-AU"/>
              </w:rPr>
              <w:t>50.70</w:t>
            </w:r>
            <w:r>
              <w:rPr>
                <w:rFonts w:ascii="Arial Narrow" w:eastAsia="MS Gothic" w:hAnsi="Arial Narrow" w:cs="Arial"/>
                <w:bCs/>
                <w:sz w:val="20"/>
                <w:szCs w:val="24"/>
                <w:lang w:eastAsia="en-AU"/>
              </w:rPr>
              <w:t>%</w:t>
            </w:r>
            <w:r w:rsidRPr="00E63B6F">
              <w:rPr>
                <w:rFonts w:ascii="Arial Narrow" w:eastAsia="MS Gothic" w:hAnsi="Arial Narrow" w:cs="Arial"/>
                <w:bCs/>
                <w:sz w:val="20"/>
                <w:szCs w:val="24"/>
                <w:lang w:eastAsia="en-AU"/>
              </w:rPr>
              <w:t xml:space="preserve"> </w:t>
            </w:r>
          </w:p>
          <w:p w:rsidR="00095E93" w:rsidRPr="002B1871" w:rsidRDefault="00095E93" w:rsidP="00095E93">
            <w:pPr>
              <w:keepNext/>
              <w:spacing w:before="0" w:after="0"/>
              <w:jc w:val="center"/>
              <w:rPr>
                <w:rFonts w:ascii="Arial Narrow" w:eastAsia="MS Gothic" w:hAnsi="Arial Narrow" w:cs="Arial"/>
                <w:bCs/>
                <w:sz w:val="20"/>
                <w:szCs w:val="24"/>
                <w:lang w:eastAsia="en-AU"/>
              </w:rPr>
            </w:pPr>
            <w:r w:rsidRPr="00E63B6F">
              <w:rPr>
                <w:rFonts w:ascii="Arial Narrow" w:eastAsia="MS Gothic" w:hAnsi="Arial Narrow" w:cs="Arial"/>
                <w:bCs/>
                <w:sz w:val="20"/>
                <w:szCs w:val="24"/>
                <w:lang w:eastAsia="en-AU"/>
              </w:rPr>
              <w:t>(42.89, 58.52)</w:t>
            </w:r>
          </w:p>
        </w:tc>
        <w:tc>
          <w:tcPr>
            <w:tcW w:w="864" w:type="pct"/>
            <w:shd w:val="clear" w:color="auto" w:fill="auto"/>
          </w:tcPr>
          <w:p w:rsidR="00095E93" w:rsidRDefault="00095E93" w:rsidP="00095E93">
            <w:pPr>
              <w:keepNext/>
              <w:spacing w:before="0" w:after="0"/>
              <w:jc w:val="center"/>
              <w:rPr>
                <w:rFonts w:ascii="Arial Narrow" w:eastAsia="MS Gothic" w:hAnsi="Arial Narrow" w:cs="Arial"/>
                <w:bCs/>
                <w:sz w:val="20"/>
                <w:szCs w:val="24"/>
                <w:lang w:eastAsia="en-AU"/>
              </w:rPr>
            </w:pPr>
            <w:r w:rsidRPr="00E63B6F">
              <w:rPr>
                <w:rFonts w:ascii="Arial Narrow" w:eastAsia="MS Gothic" w:hAnsi="Arial Narrow" w:cs="Arial"/>
                <w:bCs/>
                <w:sz w:val="20"/>
                <w:szCs w:val="24"/>
                <w:lang w:eastAsia="en-AU"/>
              </w:rPr>
              <w:t>36.90</w:t>
            </w:r>
            <w:r>
              <w:rPr>
                <w:rFonts w:ascii="Arial Narrow" w:eastAsia="MS Gothic" w:hAnsi="Arial Narrow" w:cs="Arial"/>
                <w:bCs/>
                <w:sz w:val="20"/>
                <w:szCs w:val="24"/>
                <w:lang w:eastAsia="en-AU"/>
              </w:rPr>
              <w:t>%</w:t>
            </w:r>
            <w:r w:rsidRPr="00E63B6F">
              <w:rPr>
                <w:rFonts w:ascii="Arial Narrow" w:eastAsia="MS Gothic" w:hAnsi="Arial Narrow" w:cs="Arial"/>
                <w:bCs/>
                <w:sz w:val="20"/>
                <w:szCs w:val="24"/>
                <w:lang w:eastAsia="en-AU"/>
              </w:rPr>
              <w:t xml:space="preserve"> </w:t>
            </w:r>
          </w:p>
          <w:p w:rsidR="00095E93" w:rsidRPr="002B1871" w:rsidRDefault="00095E93" w:rsidP="00095E93">
            <w:pPr>
              <w:keepNext/>
              <w:spacing w:before="0" w:after="0"/>
              <w:jc w:val="center"/>
              <w:rPr>
                <w:rFonts w:ascii="Arial Narrow" w:eastAsia="MS Gothic" w:hAnsi="Arial Narrow" w:cs="Arial"/>
                <w:bCs/>
                <w:sz w:val="20"/>
                <w:szCs w:val="24"/>
                <w:lang w:eastAsia="en-AU"/>
              </w:rPr>
            </w:pPr>
            <w:r w:rsidRPr="00E63B6F">
              <w:rPr>
                <w:rFonts w:ascii="Arial Narrow" w:eastAsia="MS Gothic" w:hAnsi="Arial Narrow" w:cs="Arial"/>
                <w:bCs/>
                <w:sz w:val="20"/>
                <w:szCs w:val="24"/>
                <w:lang w:eastAsia="en-AU"/>
              </w:rPr>
              <w:t>(28.96, 44.85)</w:t>
            </w:r>
          </w:p>
        </w:tc>
        <w:tc>
          <w:tcPr>
            <w:tcW w:w="1023" w:type="pct"/>
            <w:shd w:val="clear" w:color="auto" w:fill="auto"/>
            <w:vAlign w:val="center"/>
          </w:tcPr>
          <w:p w:rsidR="00095E93" w:rsidRPr="002B1871" w:rsidRDefault="00095E93" w:rsidP="00095E93">
            <w:pPr>
              <w:keepNext/>
              <w:spacing w:before="0" w:after="0"/>
              <w:jc w:val="center"/>
              <w:rPr>
                <w:rFonts w:ascii="Arial Narrow" w:eastAsia="MS Gothic" w:hAnsi="Arial Narrow" w:cs="Arial"/>
                <w:bCs/>
                <w:sz w:val="20"/>
                <w:szCs w:val="24"/>
                <w:lang w:eastAsia="en-AU"/>
              </w:rPr>
            </w:pPr>
            <w:r>
              <w:rPr>
                <w:rFonts w:ascii="Arial Narrow" w:eastAsia="MS Gothic" w:hAnsi="Arial Narrow" w:cs="Arial"/>
                <w:bCs/>
                <w:sz w:val="20"/>
                <w:szCs w:val="24"/>
                <w:lang w:eastAsia="en-AU"/>
              </w:rPr>
              <w:t>13.8%</w:t>
            </w:r>
          </w:p>
        </w:tc>
        <w:tc>
          <w:tcPr>
            <w:tcW w:w="836" w:type="pct"/>
            <w:shd w:val="clear" w:color="auto" w:fill="auto"/>
            <w:vAlign w:val="center"/>
          </w:tcPr>
          <w:p w:rsidR="00095E93" w:rsidRPr="002B1871" w:rsidRDefault="00095E93" w:rsidP="00095E93">
            <w:pPr>
              <w:keepNext/>
              <w:spacing w:before="0" w:after="0"/>
              <w:jc w:val="center"/>
              <w:rPr>
                <w:rFonts w:ascii="Arial Narrow" w:eastAsia="MS Gothic" w:hAnsi="Arial Narrow" w:cs="Arial"/>
                <w:bCs/>
                <w:sz w:val="20"/>
                <w:szCs w:val="24"/>
                <w:lang w:eastAsia="en-AU"/>
              </w:rPr>
            </w:pPr>
          </w:p>
        </w:tc>
      </w:tr>
      <w:tr w:rsidR="00EB6CB7" w:rsidRPr="008F6F21" w:rsidTr="004E6F0A">
        <w:trPr>
          <w:cantSplit/>
        </w:trPr>
        <w:tc>
          <w:tcPr>
            <w:tcW w:w="5000" w:type="pct"/>
            <w:gridSpan w:val="5"/>
            <w:shd w:val="clear" w:color="auto" w:fill="auto"/>
            <w:vAlign w:val="center"/>
          </w:tcPr>
          <w:p w:rsidR="00EB6CB7" w:rsidRPr="008F6F21" w:rsidRDefault="00EB6CB7" w:rsidP="00666CF6">
            <w:pPr>
              <w:keepNext/>
              <w:spacing w:before="0" w:after="0"/>
              <w:jc w:val="left"/>
              <w:rPr>
                <w:rFonts w:ascii="Arial Narrow" w:eastAsia="MS Gothic" w:hAnsi="Arial Narrow" w:cs="Arial"/>
                <w:bCs/>
                <w:sz w:val="20"/>
                <w:szCs w:val="24"/>
                <w:lang w:eastAsia="en-AU"/>
              </w:rPr>
            </w:pPr>
            <w:r w:rsidRPr="008F6F21">
              <w:rPr>
                <w:rFonts w:ascii="Arial Narrow" w:eastAsia="MS Gothic" w:hAnsi="Arial Narrow" w:cs="Arial"/>
                <w:b/>
                <w:bCs/>
                <w:sz w:val="20"/>
                <w:szCs w:val="24"/>
                <w:lang w:eastAsia="en-AU"/>
              </w:rPr>
              <w:t>PD-L1</w:t>
            </w:r>
            <w:r w:rsidR="00666CF6">
              <w:rPr>
                <w:rFonts w:ascii="Arial Narrow" w:eastAsia="MS Gothic" w:hAnsi="Arial Narrow" w:cs="Arial"/>
                <w:b/>
                <w:bCs/>
                <w:sz w:val="20"/>
                <w:szCs w:val="24"/>
                <w:lang w:eastAsia="en-AU"/>
              </w:rPr>
              <w:t>-</w:t>
            </w:r>
            <w:r w:rsidRPr="008F6F21">
              <w:rPr>
                <w:rFonts w:ascii="Arial Narrow" w:eastAsia="MS Gothic" w:hAnsi="Arial Narrow" w:cs="Arial"/>
                <w:b/>
                <w:bCs/>
                <w:sz w:val="20"/>
                <w:szCs w:val="24"/>
                <w:lang w:eastAsia="en-AU"/>
              </w:rPr>
              <w:t>negative</w:t>
            </w:r>
            <w:r w:rsidR="00666CF6">
              <w:rPr>
                <w:rFonts w:ascii="Arial Narrow" w:eastAsia="MS Gothic" w:hAnsi="Arial Narrow" w:cs="Arial"/>
                <w:b/>
                <w:bCs/>
                <w:sz w:val="20"/>
                <w:szCs w:val="24"/>
                <w:lang w:eastAsia="en-AU"/>
              </w:rPr>
              <w:t xml:space="preserve"> population</w:t>
            </w:r>
            <w:r w:rsidRPr="008F6F21">
              <w:rPr>
                <w:rFonts w:ascii="Arial Narrow" w:eastAsia="MS Gothic" w:hAnsi="Arial Narrow" w:cs="Arial"/>
                <w:b/>
                <w:bCs/>
                <w:sz w:val="20"/>
                <w:szCs w:val="24"/>
                <w:vertAlign w:val="superscript"/>
                <w:lang w:eastAsia="en-AU"/>
              </w:rPr>
              <w:t>d</w:t>
            </w:r>
          </w:p>
        </w:tc>
      </w:tr>
      <w:tr w:rsidR="00EB6CB7" w:rsidRPr="008F6F21" w:rsidTr="004E6F0A">
        <w:trPr>
          <w:cantSplit/>
        </w:trPr>
        <w:tc>
          <w:tcPr>
            <w:tcW w:w="5000" w:type="pct"/>
            <w:gridSpan w:val="5"/>
            <w:shd w:val="clear" w:color="auto" w:fill="auto"/>
            <w:vAlign w:val="center"/>
          </w:tcPr>
          <w:p w:rsidR="00EB6CB7" w:rsidRPr="008F6F21" w:rsidRDefault="00EB6CB7" w:rsidP="004E6F0A">
            <w:pPr>
              <w:keepNext/>
              <w:spacing w:before="0" w:after="0"/>
              <w:jc w:val="left"/>
              <w:rPr>
                <w:rFonts w:ascii="Arial Narrow" w:eastAsia="MS Gothic" w:hAnsi="Arial Narrow" w:cs="Arial"/>
                <w:bCs/>
                <w:sz w:val="20"/>
                <w:szCs w:val="24"/>
                <w:lang w:eastAsia="en-AU"/>
              </w:rPr>
            </w:pPr>
            <w:r w:rsidRPr="008F6F21">
              <w:rPr>
                <w:rFonts w:ascii="Arial Narrow" w:eastAsia="MS Gothic" w:hAnsi="Arial Narrow" w:cs="Times New Roman"/>
                <w:b/>
                <w:sz w:val="20"/>
                <w:szCs w:val="24"/>
                <w:lang w:val="en-US" w:eastAsia="en-AU"/>
              </w:rPr>
              <w:t>Progression-free survival (PFS)</w:t>
            </w:r>
            <w:r w:rsidR="00C85E5F" w:rsidRPr="008F6F21">
              <w:rPr>
                <w:rFonts w:ascii="Arial Narrow" w:eastAsia="MS Gothic" w:hAnsi="Arial Narrow" w:cs="Times New Roman"/>
                <w:b/>
                <w:sz w:val="20"/>
                <w:szCs w:val="24"/>
                <w:vertAlign w:val="superscript"/>
                <w:lang w:val="en-US" w:eastAsia="en-AU"/>
              </w:rPr>
              <w:t xml:space="preserve"> </w:t>
            </w:r>
            <w:r w:rsidR="00C85E5F" w:rsidRPr="008F6F21">
              <w:rPr>
                <w:rFonts w:ascii="Arial Narrow" w:eastAsia="MS Gothic" w:hAnsi="Arial Narrow" w:cs="Arial"/>
                <w:bCs/>
                <w:sz w:val="20"/>
                <w:szCs w:val="24"/>
                <w:vertAlign w:val="superscript"/>
                <w:lang w:eastAsia="en-AU"/>
              </w:rPr>
              <w:t>f</w:t>
            </w:r>
          </w:p>
        </w:tc>
      </w:tr>
      <w:tr w:rsidR="00EB6CB7" w:rsidRPr="008F6F21" w:rsidTr="00062C08">
        <w:trPr>
          <w:cantSplit/>
        </w:trPr>
        <w:tc>
          <w:tcPr>
            <w:tcW w:w="1412" w:type="pct"/>
            <w:shd w:val="clear" w:color="auto" w:fill="auto"/>
            <w:vAlign w:val="center"/>
          </w:tcPr>
          <w:p w:rsidR="00EB6CB7" w:rsidRPr="008F6F21" w:rsidRDefault="00EB6CB7" w:rsidP="00EB6CB7">
            <w:pPr>
              <w:keepNext/>
              <w:spacing w:before="0" w:after="0"/>
              <w:jc w:val="left"/>
              <w:rPr>
                <w:rFonts w:ascii="Arial Narrow" w:eastAsia="MS Gothic" w:hAnsi="Arial Narrow" w:cs="Times New Roman"/>
                <w:bCs/>
                <w:sz w:val="20"/>
                <w:szCs w:val="24"/>
                <w:lang w:eastAsia="en-AU"/>
              </w:rPr>
            </w:pPr>
            <w:r w:rsidRPr="008F6F21">
              <w:rPr>
                <w:rFonts w:ascii="Arial Narrow" w:eastAsia="MS Gothic" w:hAnsi="Arial Narrow" w:cs="Times New Roman"/>
                <w:bCs/>
                <w:sz w:val="20"/>
                <w:szCs w:val="24"/>
                <w:lang w:eastAsia="en-AU"/>
              </w:rPr>
              <w:t>Progressed, n/N (%)</w:t>
            </w:r>
          </w:p>
        </w:tc>
        <w:tc>
          <w:tcPr>
            <w:tcW w:w="865" w:type="pct"/>
            <w:shd w:val="clear" w:color="auto" w:fill="auto"/>
            <w:vAlign w:val="center"/>
          </w:tcPr>
          <w:p w:rsidR="00EB6CB7" w:rsidRPr="008F6F21" w:rsidRDefault="00EB6CB7" w:rsidP="00EB6CB7">
            <w:pPr>
              <w:keepNext/>
              <w:spacing w:before="0" w:after="0"/>
              <w:jc w:val="center"/>
              <w:rPr>
                <w:rFonts w:ascii="Arial Narrow" w:eastAsia="MS Gothic" w:hAnsi="Arial Narrow" w:cs="Arial"/>
                <w:bCs/>
                <w:sz w:val="20"/>
                <w:szCs w:val="24"/>
                <w:lang w:eastAsia="en-AU"/>
              </w:rPr>
            </w:pPr>
            <w:r w:rsidRPr="008F6F21">
              <w:rPr>
                <w:rFonts w:ascii="Arial Narrow" w:eastAsia="MS Gothic" w:hAnsi="Arial Narrow" w:cs="Arial"/>
                <w:bCs/>
                <w:sz w:val="20"/>
                <w:szCs w:val="24"/>
                <w:lang w:eastAsia="en-AU"/>
              </w:rPr>
              <w:t>241/266 (90.3%)</w:t>
            </w:r>
          </w:p>
        </w:tc>
        <w:tc>
          <w:tcPr>
            <w:tcW w:w="864" w:type="pct"/>
            <w:shd w:val="clear" w:color="auto" w:fill="auto"/>
            <w:vAlign w:val="center"/>
          </w:tcPr>
          <w:p w:rsidR="00EB6CB7" w:rsidRPr="008F6F21" w:rsidRDefault="00EB6CB7" w:rsidP="00EB6CB7">
            <w:pPr>
              <w:keepNext/>
              <w:spacing w:before="0" w:after="0"/>
              <w:jc w:val="center"/>
              <w:rPr>
                <w:rFonts w:ascii="Arial Narrow" w:eastAsia="MS Gothic" w:hAnsi="Arial Narrow" w:cs="Arial"/>
                <w:bCs/>
                <w:sz w:val="20"/>
                <w:szCs w:val="24"/>
                <w:lang w:eastAsia="en-AU"/>
              </w:rPr>
            </w:pPr>
            <w:r w:rsidRPr="008F6F21">
              <w:rPr>
                <w:rFonts w:ascii="Arial Narrow" w:eastAsia="MS Gothic" w:hAnsi="Arial Narrow" w:cs="Arial"/>
                <w:bCs/>
                <w:sz w:val="20"/>
                <w:szCs w:val="24"/>
                <w:lang w:eastAsia="en-AU"/>
              </w:rPr>
              <w:t>230/267 (86.5%)</w:t>
            </w:r>
          </w:p>
        </w:tc>
        <w:tc>
          <w:tcPr>
            <w:tcW w:w="1023" w:type="pct"/>
            <w:shd w:val="clear" w:color="auto" w:fill="auto"/>
            <w:vAlign w:val="center"/>
          </w:tcPr>
          <w:p w:rsidR="00EB6CB7" w:rsidRPr="008F6F21" w:rsidRDefault="00EB6CB7" w:rsidP="00EB6CB7">
            <w:pPr>
              <w:keepNext/>
              <w:spacing w:before="0" w:after="0"/>
              <w:jc w:val="center"/>
              <w:rPr>
                <w:rFonts w:ascii="Arial Narrow" w:eastAsia="MS Gothic" w:hAnsi="Arial Narrow" w:cs="Arial"/>
                <w:bCs/>
                <w:sz w:val="20"/>
                <w:szCs w:val="24"/>
                <w:lang w:eastAsia="en-AU"/>
              </w:rPr>
            </w:pPr>
          </w:p>
        </w:tc>
        <w:tc>
          <w:tcPr>
            <w:tcW w:w="836" w:type="pct"/>
            <w:shd w:val="clear" w:color="auto" w:fill="auto"/>
            <w:vAlign w:val="center"/>
          </w:tcPr>
          <w:p w:rsidR="00EB6CB7" w:rsidRPr="008F6F21" w:rsidRDefault="00EB6CB7" w:rsidP="00EB6CB7">
            <w:pPr>
              <w:keepNext/>
              <w:spacing w:before="0" w:after="0"/>
              <w:jc w:val="center"/>
              <w:rPr>
                <w:rFonts w:ascii="Arial Narrow" w:eastAsia="MS Gothic" w:hAnsi="Arial Narrow" w:cs="Arial"/>
                <w:bCs/>
                <w:sz w:val="20"/>
                <w:szCs w:val="24"/>
                <w:lang w:eastAsia="en-AU"/>
              </w:rPr>
            </w:pPr>
          </w:p>
        </w:tc>
      </w:tr>
      <w:tr w:rsidR="00EB6CB7" w:rsidRPr="008F6F21" w:rsidTr="00062C08">
        <w:trPr>
          <w:cantSplit/>
        </w:trPr>
        <w:tc>
          <w:tcPr>
            <w:tcW w:w="1412" w:type="pct"/>
            <w:shd w:val="clear" w:color="auto" w:fill="auto"/>
            <w:vAlign w:val="center"/>
          </w:tcPr>
          <w:p w:rsidR="00EB6CB7" w:rsidRPr="008F6F21" w:rsidRDefault="00EB6CB7" w:rsidP="00EB6CB7">
            <w:pPr>
              <w:keepNext/>
              <w:spacing w:before="0" w:after="0"/>
              <w:jc w:val="left"/>
              <w:rPr>
                <w:rFonts w:ascii="Arial Narrow" w:eastAsia="MS Gothic" w:hAnsi="Arial Narrow" w:cs="Times New Roman"/>
                <w:bCs/>
                <w:sz w:val="20"/>
                <w:szCs w:val="24"/>
                <w:lang w:eastAsia="en-AU"/>
              </w:rPr>
            </w:pPr>
            <w:r w:rsidRPr="008F6F21">
              <w:rPr>
                <w:rFonts w:ascii="Arial Narrow" w:eastAsia="MS Gothic" w:hAnsi="Arial Narrow" w:cs="Times New Roman"/>
                <w:bCs/>
                <w:sz w:val="20"/>
                <w:szCs w:val="24"/>
                <w:lang w:eastAsia="en-AU"/>
              </w:rPr>
              <w:t>Median PFS, months (95% CI)</w:t>
            </w:r>
          </w:p>
        </w:tc>
        <w:tc>
          <w:tcPr>
            <w:tcW w:w="865" w:type="pct"/>
            <w:shd w:val="clear" w:color="auto" w:fill="auto"/>
            <w:vAlign w:val="center"/>
          </w:tcPr>
          <w:p w:rsidR="00EB6CB7" w:rsidRPr="008F6F21" w:rsidRDefault="00EB6CB7" w:rsidP="00EB6CB7">
            <w:pPr>
              <w:keepNext/>
              <w:spacing w:before="0" w:after="0"/>
              <w:jc w:val="center"/>
              <w:rPr>
                <w:rFonts w:ascii="Arial Narrow" w:eastAsia="MS Gothic" w:hAnsi="Arial Narrow" w:cs="Arial"/>
                <w:bCs/>
                <w:sz w:val="20"/>
                <w:szCs w:val="24"/>
                <w:lang w:eastAsia="en-AU"/>
              </w:rPr>
            </w:pPr>
            <w:r w:rsidRPr="008F6F21">
              <w:rPr>
                <w:rFonts w:ascii="Arial Narrow" w:eastAsia="MS Gothic" w:hAnsi="Arial Narrow" w:cs="Arial"/>
                <w:bCs/>
                <w:sz w:val="20"/>
                <w:szCs w:val="24"/>
                <w:lang w:eastAsia="en-AU"/>
              </w:rPr>
              <w:t>5.59 (5.39, 7.26)</w:t>
            </w:r>
          </w:p>
        </w:tc>
        <w:tc>
          <w:tcPr>
            <w:tcW w:w="864" w:type="pct"/>
            <w:shd w:val="clear" w:color="auto" w:fill="auto"/>
            <w:vAlign w:val="center"/>
          </w:tcPr>
          <w:p w:rsidR="00EB6CB7" w:rsidRPr="008F6F21" w:rsidRDefault="00EB6CB7" w:rsidP="00EB6CB7">
            <w:pPr>
              <w:keepNext/>
              <w:spacing w:before="0" w:after="0"/>
              <w:jc w:val="center"/>
              <w:rPr>
                <w:rFonts w:ascii="Arial Narrow" w:eastAsia="MS Gothic" w:hAnsi="Arial Narrow" w:cs="Arial"/>
                <w:bCs/>
                <w:sz w:val="20"/>
                <w:szCs w:val="24"/>
                <w:lang w:eastAsia="en-AU"/>
              </w:rPr>
            </w:pPr>
            <w:r w:rsidRPr="008F6F21">
              <w:rPr>
                <w:rFonts w:ascii="Arial Narrow" w:eastAsia="MS Gothic" w:hAnsi="Arial Narrow" w:cs="Arial"/>
                <w:bCs/>
                <w:sz w:val="20"/>
                <w:szCs w:val="24"/>
                <w:lang w:eastAsia="en-AU"/>
              </w:rPr>
              <w:t>5.59 (5.45, 7.26)</w:t>
            </w:r>
          </w:p>
        </w:tc>
        <w:tc>
          <w:tcPr>
            <w:tcW w:w="1023" w:type="pct"/>
            <w:shd w:val="clear" w:color="auto" w:fill="auto"/>
            <w:vAlign w:val="center"/>
          </w:tcPr>
          <w:p w:rsidR="00EB6CB7" w:rsidRPr="008F6F21" w:rsidRDefault="00EB6CB7" w:rsidP="00EB6CB7">
            <w:pPr>
              <w:keepNext/>
              <w:spacing w:before="0" w:after="0"/>
              <w:jc w:val="center"/>
              <w:rPr>
                <w:rFonts w:ascii="Arial Narrow" w:eastAsia="MS Gothic" w:hAnsi="Arial Narrow" w:cs="Arial"/>
                <w:bCs/>
                <w:sz w:val="20"/>
                <w:szCs w:val="24"/>
                <w:lang w:eastAsia="en-AU"/>
              </w:rPr>
            </w:pPr>
            <w:r w:rsidRPr="008F6F21">
              <w:rPr>
                <w:rFonts w:ascii="Arial Narrow" w:eastAsia="MS Gothic" w:hAnsi="Arial Narrow" w:cs="Arial"/>
                <w:bCs/>
                <w:sz w:val="20"/>
                <w:szCs w:val="24"/>
                <w:lang w:eastAsia="en-AU"/>
              </w:rPr>
              <w:t>0</w:t>
            </w:r>
          </w:p>
        </w:tc>
        <w:tc>
          <w:tcPr>
            <w:tcW w:w="836" w:type="pct"/>
            <w:shd w:val="clear" w:color="auto" w:fill="auto"/>
            <w:vAlign w:val="center"/>
          </w:tcPr>
          <w:p w:rsidR="00EB6CB7" w:rsidRPr="008F6F21" w:rsidRDefault="00EB6CB7" w:rsidP="00EB6CB7">
            <w:pPr>
              <w:keepNext/>
              <w:spacing w:before="0" w:after="0"/>
              <w:jc w:val="center"/>
              <w:rPr>
                <w:rFonts w:ascii="Arial Narrow" w:eastAsia="MS Gothic" w:hAnsi="Arial Narrow" w:cs="Arial"/>
                <w:bCs/>
                <w:sz w:val="20"/>
                <w:szCs w:val="24"/>
                <w:lang w:eastAsia="en-AU"/>
              </w:rPr>
            </w:pPr>
            <w:r w:rsidRPr="008F6F21">
              <w:rPr>
                <w:rFonts w:ascii="Arial Narrow" w:eastAsia="MS Gothic" w:hAnsi="Arial Narrow" w:cs="Arial"/>
                <w:sz w:val="20"/>
                <w:szCs w:val="24"/>
                <w:lang w:eastAsia="en-AU"/>
              </w:rPr>
              <w:t>0.93 (0.77, 1.11)</w:t>
            </w:r>
          </w:p>
        </w:tc>
      </w:tr>
      <w:tr w:rsidR="00EB6CB7" w:rsidRPr="008F6F21" w:rsidTr="00062C08">
        <w:trPr>
          <w:cantSplit/>
        </w:trPr>
        <w:tc>
          <w:tcPr>
            <w:tcW w:w="1412" w:type="pct"/>
            <w:shd w:val="clear" w:color="auto" w:fill="auto"/>
          </w:tcPr>
          <w:p w:rsidR="00EB6CB7" w:rsidRPr="008F6F21" w:rsidRDefault="00EB6CB7" w:rsidP="00EB6CB7">
            <w:pPr>
              <w:keepNext/>
              <w:spacing w:before="0" w:after="0"/>
              <w:jc w:val="left"/>
              <w:rPr>
                <w:rFonts w:ascii="Arial Narrow" w:eastAsia="MS Gothic" w:hAnsi="Arial Narrow" w:cs="Times New Roman"/>
                <w:bCs/>
                <w:sz w:val="20"/>
                <w:szCs w:val="24"/>
                <w:lang w:eastAsia="en-AU"/>
              </w:rPr>
            </w:pPr>
            <w:r w:rsidRPr="008F6F21">
              <w:rPr>
                <w:rFonts w:ascii="Arial Narrow" w:eastAsia="MS Gothic" w:hAnsi="Arial Narrow" w:cs="Times New Roman"/>
                <w:bCs/>
                <w:sz w:val="20"/>
                <w:szCs w:val="24"/>
                <w:lang w:eastAsia="en-AU"/>
              </w:rPr>
              <w:t>% not progressed at 12 months (95% CI)</w:t>
            </w:r>
          </w:p>
        </w:tc>
        <w:tc>
          <w:tcPr>
            <w:tcW w:w="865" w:type="pct"/>
            <w:shd w:val="clear" w:color="auto" w:fill="auto"/>
            <w:vAlign w:val="center"/>
          </w:tcPr>
          <w:p w:rsidR="00EB6CB7" w:rsidRPr="008F6F21" w:rsidRDefault="00EB6CB7" w:rsidP="00EB6CB7">
            <w:pPr>
              <w:keepNext/>
              <w:spacing w:before="0" w:after="0"/>
              <w:jc w:val="center"/>
              <w:rPr>
                <w:rFonts w:ascii="Arial Narrow" w:eastAsia="MS Gothic" w:hAnsi="Arial Narrow" w:cs="Arial"/>
                <w:bCs/>
                <w:sz w:val="20"/>
                <w:szCs w:val="24"/>
                <w:lang w:eastAsia="en-AU"/>
              </w:rPr>
            </w:pPr>
            <w:r w:rsidRPr="008F6F21">
              <w:rPr>
                <w:rFonts w:ascii="Arial Narrow" w:eastAsia="MS Gothic" w:hAnsi="Arial Narrow" w:cs="Arial"/>
                <w:bCs/>
                <w:sz w:val="20"/>
                <w:szCs w:val="24"/>
                <w:lang w:eastAsia="en-AU"/>
              </w:rPr>
              <w:t xml:space="preserve">19.55% </w:t>
            </w:r>
          </w:p>
          <w:p w:rsidR="00EB6CB7" w:rsidRPr="008F6F21" w:rsidRDefault="00EB6CB7" w:rsidP="00EB6CB7">
            <w:pPr>
              <w:keepNext/>
              <w:spacing w:before="0" w:after="0"/>
              <w:jc w:val="center"/>
              <w:rPr>
                <w:rFonts w:ascii="Arial Narrow" w:eastAsia="MS Gothic" w:hAnsi="Arial Narrow" w:cs="Arial"/>
                <w:bCs/>
                <w:sz w:val="20"/>
                <w:szCs w:val="24"/>
                <w:lang w:eastAsia="en-AU"/>
              </w:rPr>
            </w:pPr>
            <w:r w:rsidRPr="008F6F21">
              <w:rPr>
                <w:rFonts w:ascii="Arial Narrow" w:eastAsia="MS Gothic" w:hAnsi="Arial Narrow" w:cs="Arial"/>
                <w:bCs/>
                <w:sz w:val="20"/>
                <w:szCs w:val="24"/>
                <w:lang w:eastAsia="en-AU"/>
              </w:rPr>
              <w:t>(14.65%, 24.45%)</w:t>
            </w:r>
          </w:p>
        </w:tc>
        <w:tc>
          <w:tcPr>
            <w:tcW w:w="864" w:type="pct"/>
            <w:shd w:val="clear" w:color="auto" w:fill="auto"/>
            <w:vAlign w:val="center"/>
          </w:tcPr>
          <w:p w:rsidR="00EB6CB7" w:rsidRPr="008F6F21" w:rsidRDefault="00EB6CB7" w:rsidP="00EB6CB7">
            <w:pPr>
              <w:keepNext/>
              <w:spacing w:before="0" w:after="0"/>
              <w:jc w:val="center"/>
              <w:rPr>
                <w:rFonts w:ascii="Arial Narrow" w:eastAsia="MS Gothic" w:hAnsi="Arial Narrow" w:cs="Arial"/>
                <w:bCs/>
                <w:sz w:val="20"/>
                <w:szCs w:val="24"/>
                <w:lang w:eastAsia="en-AU"/>
              </w:rPr>
            </w:pPr>
            <w:r w:rsidRPr="008F6F21">
              <w:rPr>
                <w:rFonts w:ascii="Arial Narrow" w:eastAsia="MS Gothic" w:hAnsi="Arial Narrow" w:cs="Arial"/>
                <w:bCs/>
                <w:sz w:val="20"/>
                <w:szCs w:val="24"/>
                <w:lang w:eastAsia="en-AU"/>
              </w:rPr>
              <w:t xml:space="preserve">20.82% </w:t>
            </w:r>
          </w:p>
          <w:p w:rsidR="00EB6CB7" w:rsidRPr="008F6F21" w:rsidRDefault="00EB6CB7" w:rsidP="00EB6CB7">
            <w:pPr>
              <w:keepNext/>
              <w:spacing w:before="0" w:after="0"/>
              <w:jc w:val="center"/>
              <w:rPr>
                <w:rFonts w:ascii="Arial Narrow" w:eastAsia="MS Gothic" w:hAnsi="Arial Narrow" w:cs="Arial"/>
                <w:bCs/>
                <w:sz w:val="20"/>
                <w:szCs w:val="24"/>
                <w:lang w:eastAsia="en-AU"/>
              </w:rPr>
            </w:pPr>
            <w:r w:rsidRPr="008F6F21">
              <w:rPr>
                <w:rFonts w:ascii="Arial Narrow" w:eastAsia="MS Gothic" w:hAnsi="Arial Narrow" w:cs="Arial"/>
                <w:bCs/>
                <w:sz w:val="20"/>
                <w:szCs w:val="24"/>
                <w:lang w:eastAsia="en-AU"/>
              </w:rPr>
              <w:t>(15.74%, 25.91%)</w:t>
            </w:r>
          </w:p>
        </w:tc>
        <w:tc>
          <w:tcPr>
            <w:tcW w:w="1023" w:type="pct"/>
            <w:shd w:val="clear" w:color="auto" w:fill="auto"/>
            <w:vAlign w:val="center"/>
          </w:tcPr>
          <w:p w:rsidR="00EB6CB7" w:rsidRPr="008F6F21" w:rsidRDefault="00EB6CB7" w:rsidP="00EB6CB7">
            <w:pPr>
              <w:keepNext/>
              <w:spacing w:before="0" w:after="0"/>
              <w:jc w:val="center"/>
              <w:rPr>
                <w:rFonts w:ascii="Arial Narrow" w:eastAsia="MS Gothic" w:hAnsi="Arial Narrow" w:cs="Arial"/>
                <w:bCs/>
                <w:sz w:val="20"/>
                <w:szCs w:val="24"/>
                <w:lang w:eastAsia="en-AU"/>
              </w:rPr>
            </w:pPr>
            <w:r w:rsidRPr="008F6F21">
              <w:rPr>
                <w:rFonts w:ascii="Arial Narrow" w:eastAsia="MS Gothic" w:hAnsi="Arial Narrow" w:cs="Arial"/>
                <w:bCs/>
                <w:sz w:val="20"/>
                <w:szCs w:val="24"/>
                <w:lang w:eastAsia="en-AU"/>
              </w:rPr>
              <w:t>-1.17%</w:t>
            </w:r>
          </w:p>
        </w:tc>
        <w:tc>
          <w:tcPr>
            <w:tcW w:w="836" w:type="pct"/>
            <w:shd w:val="clear" w:color="auto" w:fill="auto"/>
            <w:vAlign w:val="center"/>
          </w:tcPr>
          <w:p w:rsidR="00EB6CB7" w:rsidRPr="008F6F21" w:rsidRDefault="00EB6CB7" w:rsidP="00EB6CB7">
            <w:pPr>
              <w:keepNext/>
              <w:spacing w:before="0" w:after="0"/>
              <w:jc w:val="center"/>
              <w:rPr>
                <w:rFonts w:ascii="Arial Narrow" w:eastAsia="MS Gothic" w:hAnsi="Arial Narrow" w:cs="Arial"/>
                <w:bCs/>
                <w:sz w:val="20"/>
                <w:szCs w:val="24"/>
                <w:lang w:eastAsia="en-AU"/>
              </w:rPr>
            </w:pPr>
          </w:p>
        </w:tc>
      </w:tr>
      <w:tr w:rsidR="00095E93" w:rsidRPr="002B1871" w:rsidTr="00657695">
        <w:trPr>
          <w:cantSplit/>
        </w:trPr>
        <w:tc>
          <w:tcPr>
            <w:tcW w:w="5000" w:type="pct"/>
            <w:gridSpan w:val="5"/>
            <w:shd w:val="clear" w:color="auto" w:fill="auto"/>
            <w:vAlign w:val="center"/>
          </w:tcPr>
          <w:p w:rsidR="00095E93" w:rsidRPr="00A50976" w:rsidRDefault="00095E93" w:rsidP="00095E93">
            <w:pPr>
              <w:keepNext/>
              <w:spacing w:before="0" w:after="0"/>
              <w:jc w:val="left"/>
              <w:rPr>
                <w:rFonts w:ascii="Arial Narrow" w:eastAsia="MS Gothic" w:hAnsi="Arial Narrow" w:cs="Arial"/>
                <w:b/>
                <w:bCs/>
                <w:sz w:val="20"/>
                <w:szCs w:val="24"/>
                <w:lang w:eastAsia="en-AU"/>
              </w:rPr>
            </w:pPr>
            <w:r w:rsidRPr="00A50976">
              <w:rPr>
                <w:rFonts w:ascii="Arial Narrow" w:eastAsia="MS Gothic" w:hAnsi="Arial Narrow" w:cs="Arial"/>
                <w:b/>
                <w:bCs/>
                <w:sz w:val="20"/>
                <w:szCs w:val="24"/>
                <w:lang w:eastAsia="en-AU"/>
              </w:rPr>
              <w:t>Overall survival (OS)</w:t>
            </w:r>
          </w:p>
        </w:tc>
      </w:tr>
      <w:tr w:rsidR="00095E93" w:rsidRPr="002B1871" w:rsidTr="00062C08">
        <w:trPr>
          <w:cantSplit/>
        </w:trPr>
        <w:tc>
          <w:tcPr>
            <w:tcW w:w="1412" w:type="pct"/>
            <w:shd w:val="clear" w:color="auto" w:fill="auto"/>
            <w:vAlign w:val="center"/>
          </w:tcPr>
          <w:p w:rsidR="00095E93" w:rsidRPr="002B1871" w:rsidRDefault="00095E93" w:rsidP="00095E93">
            <w:pPr>
              <w:keepNext/>
              <w:spacing w:before="0" w:after="0"/>
              <w:jc w:val="left"/>
              <w:rPr>
                <w:rFonts w:ascii="Arial Narrow" w:eastAsia="MS Gothic" w:hAnsi="Arial Narrow" w:cs="Times New Roman"/>
                <w:bCs/>
                <w:sz w:val="20"/>
                <w:szCs w:val="24"/>
                <w:lang w:eastAsia="en-AU"/>
              </w:rPr>
            </w:pPr>
            <w:r w:rsidRPr="002B1871">
              <w:rPr>
                <w:rFonts w:ascii="Arial Narrow" w:eastAsia="MS Gothic" w:hAnsi="Arial Narrow" w:cs="Times New Roman"/>
                <w:bCs/>
                <w:sz w:val="20"/>
                <w:szCs w:val="24"/>
                <w:lang w:eastAsia="en-AU"/>
              </w:rPr>
              <w:t>Deaths, n/N (%)</w:t>
            </w:r>
          </w:p>
        </w:tc>
        <w:tc>
          <w:tcPr>
            <w:tcW w:w="865" w:type="pct"/>
            <w:shd w:val="clear" w:color="auto" w:fill="auto"/>
            <w:vAlign w:val="center"/>
          </w:tcPr>
          <w:p w:rsidR="00095E93" w:rsidRPr="00E63B6F" w:rsidRDefault="00095E93" w:rsidP="00095E93">
            <w:pPr>
              <w:keepNext/>
              <w:spacing w:before="0" w:after="0"/>
              <w:jc w:val="center"/>
              <w:rPr>
                <w:rFonts w:ascii="Arial Narrow" w:eastAsia="MS Gothic" w:hAnsi="Arial Narrow" w:cs="Arial"/>
                <w:bCs/>
                <w:sz w:val="20"/>
                <w:szCs w:val="24"/>
                <w:lang w:eastAsia="en-AU"/>
              </w:rPr>
            </w:pPr>
            <w:r w:rsidRPr="003A7B74">
              <w:rPr>
                <w:rFonts w:ascii="Arial Narrow" w:eastAsia="MS Gothic" w:hAnsi="Arial Narrow" w:cs="Arial"/>
                <w:bCs/>
                <w:sz w:val="20"/>
                <w:szCs w:val="24"/>
                <w:lang w:eastAsia="en-AU"/>
              </w:rPr>
              <w:t>161 (60.5%)</w:t>
            </w:r>
          </w:p>
        </w:tc>
        <w:tc>
          <w:tcPr>
            <w:tcW w:w="864" w:type="pct"/>
            <w:shd w:val="clear" w:color="auto" w:fill="auto"/>
            <w:vAlign w:val="center"/>
          </w:tcPr>
          <w:p w:rsidR="00095E93" w:rsidRPr="00E63B6F" w:rsidRDefault="00095E93" w:rsidP="00095E93">
            <w:pPr>
              <w:keepNext/>
              <w:spacing w:before="0" w:after="0"/>
              <w:jc w:val="center"/>
              <w:rPr>
                <w:rFonts w:ascii="Arial Narrow" w:eastAsia="MS Gothic" w:hAnsi="Arial Narrow" w:cs="Arial"/>
                <w:bCs/>
                <w:sz w:val="20"/>
                <w:szCs w:val="24"/>
                <w:lang w:eastAsia="en-AU"/>
              </w:rPr>
            </w:pPr>
            <w:r w:rsidRPr="003A7B74">
              <w:rPr>
                <w:rFonts w:ascii="Arial Narrow" w:eastAsia="MS Gothic" w:hAnsi="Arial Narrow" w:cs="Arial"/>
                <w:bCs/>
                <w:sz w:val="20"/>
                <w:szCs w:val="24"/>
                <w:lang w:eastAsia="en-AU"/>
              </w:rPr>
              <w:t>169 (63.3%)</w:t>
            </w:r>
          </w:p>
        </w:tc>
        <w:tc>
          <w:tcPr>
            <w:tcW w:w="1023" w:type="pct"/>
            <w:shd w:val="clear" w:color="auto" w:fill="auto"/>
            <w:vAlign w:val="center"/>
          </w:tcPr>
          <w:p w:rsidR="00095E93" w:rsidRPr="00E63B6F" w:rsidRDefault="00095E93" w:rsidP="00095E93">
            <w:pPr>
              <w:keepNext/>
              <w:spacing w:before="0" w:after="0"/>
              <w:jc w:val="center"/>
              <w:rPr>
                <w:rFonts w:ascii="Arial Narrow" w:eastAsia="MS Gothic" w:hAnsi="Arial Narrow" w:cs="Arial"/>
                <w:bCs/>
                <w:sz w:val="20"/>
                <w:szCs w:val="24"/>
                <w:lang w:eastAsia="en-AU"/>
              </w:rPr>
            </w:pPr>
          </w:p>
        </w:tc>
        <w:tc>
          <w:tcPr>
            <w:tcW w:w="836" w:type="pct"/>
            <w:shd w:val="clear" w:color="auto" w:fill="auto"/>
            <w:vAlign w:val="center"/>
          </w:tcPr>
          <w:p w:rsidR="00095E93" w:rsidRPr="00E63B6F" w:rsidRDefault="00095E93" w:rsidP="00095E93">
            <w:pPr>
              <w:keepNext/>
              <w:spacing w:before="0" w:after="0"/>
              <w:jc w:val="center"/>
              <w:rPr>
                <w:rFonts w:ascii="Arial Narrow" w:eastAsia="MS Gothic" w:hAnsi="Arial Narrow" w:cs="Arial"/>
                <w:bCs/>
                <w:sz w:val="20"/>
                <w:szCs w:val="24"/>
                <w:lang w:eastAsia="en-AU"/>
              </w:rPr>
            </w:pPr>
          </w:p>
        </w:tc>
      </w:tr>
      <w:tr w:rsidR="00095E93" w:rsidRPr="002B1871" w:rsidTr="00062C08">
        <w:trPr>
          <w:cantSplit/>
        </w:trPr>
        <w:tc>
          <w:tcPr>
            <w:tcW w:w="1412" w:type="pct"/>
            <w:shd w:val="clear" w:color="auto" w:fill="auto"/>
          </w:tcPr>
          <w:p w:rsidR="00095E93" w:rsidRPr="002B1871" w:rsidRDefault="00095E93" w:rsidP="00095E93">
            <w:pPr>
              <w:keepNext/>
              <w:spacing w:before="0" w:after="0"/>
              <w:jc w:val="left"/>
              <w:rPr>
                <w:rFonts w:ascii="Arial Narrow" w:eastAsia="MS Gothic" w:hAnsi="Arial Narrow" w:cs="Times New Roman"/>
                <w:bCs/>
                <w:sz w:val="20"/>
                <w:szCs w:val="24"/>
                <w:lang w:eastAsia="en-AU"/>
              </w:rPr>
            </w:pPr>
            <w:r w:rsidRPr="002B1871">
              <w:rPr>
                <w:rFonts w:ascii="Arial Narrow" w:eastAsia="MS Gothic" w:hAnsi="Arial Narrow" w:cs="Times New Roman"/>
                <w:bCs/>
                <w:sz w:val="20"/>
                <w:szCs w:val="24"/>
                <w:lang w:eastAsia="en-AU"/>
              </w:rPr>
              <w:t>Median months OS (95% CI)</w:t>
            </w:r>
          </w:p>
        </w:tc>
        <w:tc>
          <w:tcPr>
            <w:tcW w:w="865" w:type="pct"/>
            <w:shd w:val="clear" w:color="auto" w:fill="auto"/>
            <w:vAlign w:val="center"/>
          </w:tcPr>
          <w:p w:rsidR="00062C08" w:rsidRDefault="00095E93" w:rsidP="00095E93">
            <w:pPr>
              <w:keepNext/>
              <w:spacing w:before="0" w:after="0"/>
              <w:jc w:val="center"/>
              <w:rPr>
                <w:rFonts w:ascii="Arial Narrow" w:eastAsia="MS Gothic" w:hAnsi="Arial Narrow" w:cs="Arial"/>
                <w:bCs/>
                <w:sz w:val="20"/>
                <w:szCs w:val="24"/>
                <w:lang w:eastAsia="en-AU"/>
              </w:rPr>
            </w:pPr>
            <w:r w:rsidRPr="00906056">
              <w:rPr>
                <w:rFonts w:ascii="Arial Narrow" w:eastAsia="MS Gothic" w:hAnsi="Arial Narrow" w:cs="Arial"/>
                <w:bCs/>
                <w:sz w:val="20"/>
                <w:szCs w:val="24"/>
                <w:lang w:eastAsia="en-AU"/>
              </w:rPr>
              <w:t xml:space="preserve">19.65 </w:t>
            </w:r>
          </w:p>
          <w:p w:rsidR="00095E93" w:rsidRPr="00E63B6F" w:rsidRDefault="00095E93" w:rsidP="00095E93">
            <w:pPr>
              <w:keepNext/>
              <w:spacing w:before="0" w:after="0"/>
              <w:jc w:val="center"/>
              <w:rPr>
                <w:rFonts w:ascii="Arial Narrow" w:eastAsia="MS Gothic" w:hAnsi="Arial Narrow" w:cs="Arial"/>
                <w:bCs/>
                <w:sz w:val="20"/>
                <w:szCs w:val="24"/>
                <w:lang w:eastAsia="en-AU"/>
              </w:rPr>
            </w:pPr>
            <w:r w:rsidRPr="00906056">
              <w:rPr>
                <w:rFonts w:ascii="Arial Narrow" w:eastAsia="MS Gothic" w:hAnsi="Arial Narrow" w:cs="Arial"/>
                <w:bCs/>
                <w:sz w:val="20"/>
                <w:szCs w:val="24"/>
                <w:lang w:eastAsia="en-AU"/>
              </w:rPr>
              <w:t>(16.26, 21.62)</w:t>
            </w:r>
          </w:p>
        </w:tc>
        <w:tc>
          <w:tcPr>
            <w:tcW w:w="864" w:type="pct"/>
            <w:shd w:val="clear" w:color="auto" w:fill="auto"/>
            <w:vAlign w:val="center"/>
          </w:tcPr>
          <w:p w:rsidR="00062C08" w:rsidRDefault="00095E93" w:rsidP="00095E93">
            <w:pPr>
              <w:keepNext/>
              <w:spacing w:before="0" w:after="0"/>
              <w:jc w:val="center"/>
              <w:rPr>
                <w:rFonts w:ascii="Arial Narrow" w:eastAsia="MS Gothic" w:hAnsi="Arial Narrow" w:cs="Arial"/>
                <w:bCs/>
                <w:sz w:val="20"/>
                <w:szCs w:val="24"/>
                <w:lang w:eastAsia="en-AU"/>
              </w:rPr>
            </w:pPr>
            <w:r w:rsidRPr="00906056">
              <w:rPr>
                <w:rFonts w:ascii="Arial Narrow" w:eastAsia="MS Gothic" w:hAnsi="Arial Narrow" w:cs="Arial"/>
                <w:bCs/>
                <w:sz w:val="20"/>
                <w:szCs w:val="24"/>
                <w:lang w:eastAsia="en-AU"/>
              </w:rPr>
              <w:t xml:space="preserve">19.61 </w:t>
            </w:r>
          </w:p>
          <w:p w:rsidR="00095E93" w:rsidRPr="00E63B6F" w:rsidRDefault="00095E93" w:rsidP="00095E93">
            <w:pPr>
              <w:keepNext/>
              <w:spacing w:before="0" w:after="0"/>
              <w:jc w:val="center"/>
              <w:rPr>
                <w:rFonts w:ascii="Arial Narrow" w:eastAsia="MS Gothic" w:hAnsi="Arial Narrow" w:cs="Arial"/>
                <w:bCs/>
                <w:sz w:val="20"/>
                <w:szCs w:val="24"/>
                <w:lang w:eastAsia="en-AU"/>
              </w:rPr>
            </w:pPr>
            <w:r w:rsidRPr="00906056">
              <w:rPr>
                <w:rFonts w:ascii="Arial Narrow" w:eastAsia="MS Gothic" w:hAnsi="Arial Narrow" w:cs="Arial"/>
                <w:bCs/>
                <w:sz w:val="20"/>
                <w:szCs w:val="24"/>
                <w:lang w:eastAsia="en-AU"/>
              </w:rPr>
              <w:t>(16.85, 22.18)</w:t>
            </w:r>
          </w:p>
        </w:tc>
        <w:tc>
          <w:tcPr>
            <w:tcW w:w="1023" w:type="pct"/>
            <w:shd w:val="clear" w:color="auto" w:fill="auto"/>
            <w:vAlign w:val="center"/>
          </w:tcPr>
          <w:p w:rsidR="00095E93" w:rsidRPr="00E63B6F" w:rsidRDefault="00095E93" w:rsidP="00095E93">
            <w:pPr>
              <w:keepNext/>
              <w:spacing w:before="0" w:after="0"/>
              <w:jc w:val="center"/>
              <w:rPr>
                <w:rFonts w:ascii="Arial Narrow" w:eastAsia="MS Gothic" w:hAnsi="Arial Narrow" w:cs="Arial"/>
                <w:bCs/>
                <w:sz w:val="20"/>
                <w:szCs w:val="24"/>
                <w:lang w:eastAsia="en-AU"/>
              </w:rPr>
            </w:pPr>
            <w:r>
              <w:rPr>
                <w:rFonts w:ascii="Arial Narrow" w:eastAsia="MS Gothic" w:hAnsi="Arial Narrow" w:cs="Arial"/>
                <w:bCs/>
                <w:sz w:val="20"/>
                <w:szCs w:val="24"/>
                <w:lang w:eastAsia="en-AU"/>
              </w:rPr>
              <w:t>0.04</w:t>
            </w:r>
          </w:p>
        </w:tc>
        <w:tc>
          <w:tcPr>
            <w:tcW w:w="836" w:type="pct"/>
            <w:shd w:val="clear" w:color="auto" w:fill="auto"/>
            <w:vAlign w:val="center"/>
          </w:tcPr>
          <w:p w:rsidR="00095E93" w:rsidRPr="00E63B6F" w:rsidRDefault="00095E93" w:rsidP="00095E93">
            <w:pPr>
              <w:keepNext/>
              <w:spacing w:before="0" w:after="0"/>
              <w:jc w:val="center"/>
              <w:rPr>
                <w:rFonts w:ascii="Arial Narrow" w:eastAsia="MS Gothic" w:hAnsi="Arial Narrow" w:cs="Arial"/>
                <w:bCs/>
                <w:sz w:val="20"/>
                <w:szCs w:val="24"/>
                <w:lang w:eastAsia="en-AU"/>
              </w:rPr>
            </w:pPr>
            <w:r w:rsidRPr="00906056">
              <w:rPr>
                <w:rFonts w:ascii="Arial Narrow" w:eastAsia="MS Gothic" w:hAnsi="Arial Narrow" w:cs="Arial"/>
                <w:bCs/>
                <w:sz w:val="20"/>
                <w:szCs w:val="24"/>
                <w:lang w:eastAsia="en-AU"/>
              </w:rPr>
              <w:t>0.97 (0.78, 1.20)</w:t>
            </w:r>
          </w:p>
        </w:tc>
      </w:tr>
    </w:tbl>
    <w:p w:rsidR="00340547" w:rsidRPr="00B832A8" w:rsidRDefault="00340547" w:rsidP="00340547">
      <w:pPr>
        <w:pStyle w:val="TableFooter"/>
      </w:pPr>
      <w:r>
        <w:rPr>
          <w:vertAlign w:val="superscript"/>
        </w:rPr>
        <w:t>a</w:t>
      </w:r>
      <w:r>
        <w:t xml:space="preserve"> Investigator-assessed PFS</w:t>
      </w:r>
    </w:p>
    <w:p w:rsidR="00340547" w:rsidRPr="003A7B74" w:rsidRDefault="00340547" w:rsidP="00340547">
      <w:pPr>
        <w:pStyle w:val="TableFooter"/>
        <w:rPr>
          <w:rFonts w:eastAsia="Calibri"/>
        </w:rPr>
      </w:pPr>
      <w:r w:rsidRPr="00B832A8">
        <w:rPr>
          <w:rFonts w:eastAsia="MS Gothic"/>
          <w:vertAlign w:val="superscript"/>
        </w:rPr>
        <w:t>b</w:t>
      </w:r>
      <w:r w:rsidRPr="003A7B74">
        <w:t xml:space="preserve"> </w:t>
      </w:r>
      <w:r w:rsidRPr="003A7B74">
        <w:rPr>
          <w:rFonts w:eastAsia="Calibri"/>
        </w:rPr>
        <w:t>Two-year duration not provided by the CSR or submission.</w:t>
      </w:r>
    </w:p>
    <w:p w:rsidR="00340547" w:rsidRDefault="00340547" w:rsidP="00340547">
      <w:pPr>
        <w:pStyle w:val="TableFooter"/>
        <w:rPr>
          <w:rFonts w:eastAsia="Calibri"/>
        </w:rPr>
      </w:pPr>
      <w:r w:rsidRPr="00B832A8">
        <w:rPr>
          <w:rFonts w:eastAsia="Calibri"/>
          <w:vertAlign w:val="superscript"/>
        </w:rPr>
        <w:t>c</w:t>
      </w:r>
      <w:r w:rsidRPr="003A7B74">
        <w:rPr>
          <w:rFonts w:eastAsia="Calibri"/>
        </w:rPr>
        <w:t xml:space="preserve"> One-year </w:t>
      </w:r>
      <w:r w:rsidRPr="003A7B74">
        <w:t>duration not provided by the CSR or submission</w:t>
      </w:r>
      <w:r w:rsidRPr="003A7B74">
        <w:rPr>
          <w:rFonts w:eastAsia="Calibri"/>
        </w:rPr>
        <w:t>.</w:t>
      </w:r>
    </w:p>
    <w:p w:rsidR="00340547" w:rsidRDefault="00340547" w:rsidP="00340547">
      <w:pPr>
        <w:pStyle w:val="TableFooter"/>
        <w:rPr>
          <w:rFonts w:eastAsia="Calibri"/>
        </w:rPr>
      </w:pPr>
      <w:r>
        <w:rPr>
          <w:rFonts w:eastAsia="Calibri"/>
          <w:vertAlign w:val="superscript"/>
        </w:rPr>
        <w:t>d</w:t>
      </w:r>
      <w:r>
        <w:rPr>
          <w:rFonts w:eastAsia="Calibri"/>
        </w:rPr>
        <w:t xml:space="preserve"> No landmark analyses were provided for the PD-L1-negative population. Some raw PFS data was presented in the ‘Economic Evaluation.xlsx’ file with the submission, but was inadequate in this form, and did not specify which clinical cut-off date it represented.</w:t>
      </w:r>
    </w:p>
    <w:p w:rsidR="007D28A7" w:rsidRDefault="007D28A7" w:rsidP="00340547">
      <w:pPr>
        <w:pStyle w:val="TableFooter"/>
        <w:rPr>
          <w:rFonts w:eastAsia="Calibri"/>
        </w:rPr>
      </w:pPr>
      <w:r>
        <w:rPr>
          <w:rFonts w:eastAsia="Calibri"/>
          <w:vertAlign w:val="superscript"/>
        </w:rPr>
        <w:t>e</w:t>
      </w:r>
      <w:r>
        <w:rPr>
          <w:rFonts w:eastAsia="Calibri"/>
        </w:rPr>
        <w:t xml:space="preserve"> </w:t>
      </w:r>
      <w:r w:rsidRPr="007D28A7">
        <w:rPr>
          <w:rFonts w:eastAsia="Calibri"/>
        </w:rPr>
        <w:t>No formal testing of OS was performed in the PD-L1-positive population because hierarchy of testing indicated formal testing could only occur if OS was first statistically significant in the ITT population.</w:t>
      </w:r>
    </w:p>
    <w:p w:rsidR="00EB6CB7" w:rsidRPr="004E6F0A" w:rsidRDefault="00EB6CB7" w:rsidP="00340547">
      <w:pPr>
        <w:pStyle w:val="TableFooter"/>
        <w:rPr>
          <w:rFonts w:eastAsia="Calibri"/>
          <w:i/>
        </w:rPr>
      </w:pPr>
      <w:r w:rsidRPr="004E6F0A">
        <w:rPr>
          <w:rFonts w:eastAsia="Calibri"/>
          <w:i/>
          <w:vertAlign w:val="superscript"/>
        </w:rPr>
        <w:t>f</w:t>
      </w:r>
      <w:r w:rsidRPr="004E6F0A">
        <w:rPr>
          <w:rFonts w:eastAsia="Calibri"/>
          <w:i/>
        </w:rPr>
        <w:t xml:space="preserve"> Provided in the PSCR.</w:t>
      </w:r>
    </w:p>
    <w:p w:rsidR="007D28A7" w:rsidRPr="0023698A" w:rsidRDefault="007D28A7" w:rsidP="00340547">
      <w:pPr>
        <w:pStyle w:val="TableFooter"/>
      </w:pPr>
      <w:r w:rsidRPr="007D28A7">
        <w:rPr>
          <w:b/>
        </w:rPr>
        <w:t>Statistically significant relative risks are bolded</w:t>
      </w:r>
      <w:r w:rsidRPr="007D28A7">
        <w:t>.</w:t>
      </w:r>
    </w:p>
    <w:p w:rsidR="00340547" w:rsidRDefault="00340547" w:rsidP="00340547">
      <w:pPr>
        <w:pStyle w:val="TableFooter"/>
      </w:pPr>
      <w:r>
        <w:t xml:space="preserve">ATZ+nab-P = </w:t>
      </w:r>
      <w:r w:rsidR="00072D1D">
        <w:t>a</w:t>
      </w:r>
      <w:r>
        <w:t xml:space="preserve">tezolizumab + nab-paclitaxel; PBO+nab-P = </w:t>
      </w:r>
      <w:r w:rsidR="00072D1D">
        <w:t>p</w:t>
      </w:r>
      <w:r>
        <w:t>lacebo + nab-paclitaxel</w:t>
      </w:r>
    </w:p>
    <w:p w:rsidR="00095E93" w:rsidRDefault="00095E93" w:rsidP="00095E93">
      <w:pPr>
        <w:pStyle w:val="TableFooter"/>
      </w:pPr>
      <w:r w:rsidRPr="003A7B74">
        <w:t>Source: Table 11, p 23 + Table 12, p 25 of the CSR for IMpassion130Feb2019 and Table 23, p 114 + Table 25, p 117 of the CSR for IMpassion130Aug2018</w:t>
      </w:r>
      <w:r w:rsidR="00EB6CB7">
        <w:t xml:space="preserve">, </w:t>
      </w:r>
      <w:r w:rsidR="00EB6CB7" w:rsidRPr="004E6F0A">
        <w:rPr>
          <w:i/>
        </w:rPr>
        <w:t>Table 7 of the PSCR</w:t>
      </w:r>
      <w:r w:rsidRPr="003A7B74">
        <w:t>.</w:t>
      </w:r>
    </w:p>
    <w:p w:rsidR="007E7DAA" w:rsidRPr="00072D1D" w:rsidRDefault="00DE20F1" w:rsidP="00540E53">
      <w:pPr>
        <w:pStyle w:val="ListParagraph"/>
      </w:pPr>
      <w:r w:rsidRPr="006D388C">
        <w:t>ATZ+nab-P demonstrated a statistically significant benefit in prolonging PFS, compared with nab-P, in the PD-L1</w:t>
      </w:r>
      <w:r w:rsidR="00666CF6">
        <w:t>-</w:t>
      </w:r>
      <w:r w:rsidRPr="006D388C">
        <w:t xml:space="preserve">positive subgroup. However, the benefit is modest with a median PFS difference of a little over 2 months. </w:t>
      </w:r>
      <w:r w:rsidR="007E7DAA" w:rsidRPr="008F6F21">
        <w:t>The ESC</w:t>
      </w:r>
      <w:r w:rsidR="00ED6B32" w:rsidRPr="008F6F21">
        <w:t>s</w:t>
      </w:r>
      <w:r w:rsidR="007E7DAA" w:rsidRPr="008F6F21">
        <w:t xml:space="preserve"> considered that the difference in PFS was small and may not be clinically meaningful</w:t>
      </w:r>
      <w:r w:rsidR="007339CB" w:rsidRPr="008F6F21">
        <w:t>, particularly in the absence of any statistically significant difference in OS in the ITT population</w:t>
      </w:r>
      <w:r w:rsidR="007E7DAA" w:rsidRPr="008F6F21">
        <w:t>.</w:t>
      </w:r>
    </w:p>
    <w:p w:rsidR="004726AF" w:rsidRPr="00F74D37" w:rsidRDefault="00095E93" w:rsidP="004726AF">
      <w:pPr>
        <w:pStyle w:val="ListParagraph"/>
        <w:rPr>
          <w:rFonts w:ascii="Calibri" w:eastAsia="Times New Roman" w:hAnsi="Calibri" w:cs="Calibri"/>
          <w:color w:val="000000"/>
        </w:rPr>
      </w:pPr>
      <w:r>
        <w:t>The submission claimed that a clinically meaningful improvement in OS was observed in the PD-L1</w:t>
      </w:r>
      <w:r w:rsidR="00666CF6">
        <w:t>-</w:t>
      </w:r>
      <w:r>
        <w:t>positive population.</w:t>
      </w:r>
      <w:r w:rsidR="004F28ED">
        <w:t xml:space="preserve"> </w:t>
      </w:r>
      <w:r w:rsidR="00C528C7">
        <w:t xml:space="preserve">The </w:t>
      </w:r>
      <w:r w:rsidR="004155FD">
        <w:t>commentary</w:t>
      </w:r>
      <w:r w:rsidR="00C528C7">
        <w:t xml:space="preserve"> considered that d</w:t>
      </w:r>
      <w:r w:rsidR="00017AD9" w:rsidRPr="006D388C">
        <w:t xml:space="preserve">ifferences in </w:t>
      </w:r>
      <w:r w:rsidRPr="006D388C">
        <w:t xml:space="preserve">OS data in the PD-L1-positive subgroup </w:t>
      </w:r>
      <w:r w:rsidR="00C528C7">
        <w:t>should</w:t>
      </w:r>
      <w:r w:rsidR="00C528C7" w:rsidRPr="006D388C">
        <w:t xml:space="preserve"> </w:t>
      </w:r>
      <w:r w:rsidRPr="006D388C">
        <w:t>be</w:t>
      </w:r>
      <w:r w:rsidR="00017AD9" w:rsidRPr="006D388C">
        <w:t xml:space="preserve"> interpreted with caution as the statistical analysis plan specified that in order to control for </w:t>
      </w:r>
      <w:r w:rsidR="0044381A">
        <w:t>t</w:t>
      </w:r>
      <w:r w:rsidR="00017AD9" w:rsidRPr="006D388C">
        <w:t xml:space="preserve">ype 1 </w:t>
      </w:r>
      <w:r w:rsidR="0044381A">
        <w:t>e</w:t>
      </w:r>
      <w:r w:rsidR="00017AD9" w:rsidRPr="006D388C">
        <w:t>rror, this subgroup analysis would only be performed if the results of the ITT</w:t>
      </w:r>
      <w:r w:rsidR="00017AD9" w:rsidRPr="006D388C">
        <w:rPr>
          <w:lang w:eastAsia="zh-CN"/>
        </w:rPr>
        <w:t xml:space="preserve"> population were statistically significant.</w:t>
      </w:r>
      <w:r w:rsidR="007E7DAA">
        <w:rPr>
          <w:lang w:eastAsia="zh-CN"/>
        </w:rPr>
        <w:t xml:space="preserve"> </w:t>
      </w:r>
      <w:r w:rsidR="007E7DAA" w:rsidRPr="008F6F21">
        <w:rPr>
          <w:lang w:eastAsia="zh-CN"/>
        </w:rPr>
        <w:t>The ESC</w:t>
      </w:r>
      <w:r w:rsidR="00ED6B32" w:rsidRPr="008F6F21">
        <w:rPr>
          <w:lang w:eastAsia="zh-CN"/>
        </w:rPr>
        <w:t>s</w:t>
      </w:r>
      <w:r w:rsidR="007E7DAA" w:rsidRPr="008F6F21">
        <w:rPr>
          <w:lang w:eastAsia="zh-CN"/>
        </w:rPr>
        <w:t xml:space="preserve"> considered that it was not appropriate to conduct statistical analys</w:t>
      </w:r>
      <w:r w:rsidR="00877570" w:rsidRPr="008F6F21">
        <w:rPr>
          <w:lang w:eastAsia="zh-CN"/>
        </w:rPr>
        <w:t>e</w:t>
      </w:r>
      <w:r w:rsidR="007E7DAA" w:rsidRPr="008F6F21">
        <w:rPr>
          <w:lang w:eastAsia="zh-CN"/>
        </w:rPr>
        <w:t>s on this endpoint, as there was no difference in OS demonstrated for the ITT population</w:t>
      </w:r>
      <w:r w:rsidR="00972DC8" w:rsidRPr="008F6F21">
        <w:t xml:space="preserve"> (per the </w:t>
      </w:r>
      <w:r w:rsidR="00972DC8" w:rsidRPr="008F6F21">
        <w:rPr>
          <w:lang w:eastAsia="zh-CN"/>
        </w:rPr>
        <w:t>statistical analysis plan)</w:t>
      </w:r>
      <w:r w:rsidR="007E7DAA" w:rsidRPr="008F6F21">
        <w:rPr>
          <w:lang w:eastAsia="zh-CN"/>
        </w:rPr>
        <w:t xml:space="preserve">. </w:t>
      </w:r>
      <w:r w:rsidR="00540E53" w:rsidRPr="008F6F21">
        <w:rPr>
          <w:lang w:eastAsia="zh-CN"/>
        </w:rPr>
        <w:t>As such, t</w:t>
      </w:r>
      <w:r w:rsidR="007E7DAA" w:rsidRPr="008F6F21">
        <w:rPr>
          <w:iCs/>
          <w:color w:val="auto"/>
        </w:rPr>
        <w:t xml:space="preserve">he ESCs considered that the OS </w:t>
      </w:r>
      <w:r w:rsidR="007E7DAA" w:rsidRPr="008F6F21">
        <w:rPr>
          <w:iCs/>
          <w:color w:val="auto"/>
        </w:rPr>
        <w:lastRenderedPageBreak/>
        <w:t>results for the PD-L1</w:t>
      </w:r>
      <w:r w:rsidR="00666CF6">
        <w:rPr>
          <w:iCs/>
          <w:color w:val="auto"/>
        </w:rPr>
        <w:t>-</w:t>
      </w:r>
      <w:r w:rsidR="007E7DAA" w:rsidRPr="008F6F21">
        <w:rPr>
          <w:iCs/>
          <w:color w:val="auto"/>
        </w:rPr>
        <w:t>positive subgroup should be interpreted with caution and should not be used to support any superiority claim.</w:t>
      </w:r>
    </w:p>
    <w:p w:rsidR="00972DC8" w:rsidRPr="008F6F21" w:rsidRDefault="00972DC8" w:rsidP="009E5F9D">
      <w:pPr>
        <w:pStyle w:val="ListParagraph"/>
        <w:rPr>
          <w:color w:val="auto"/>
        </w:rPr>
      </w:pPr>
      <w:r w:rsidRPr="008F6F21">
        <w:t>The ESC</w:t>
      </w:r>
      <w:r w:rsidR="00A67BC3" w:rsidRPr="008F6F21">
        <w:t>s</w:t>
      </w:r>
      <w:r w:rsidRPr="008F6F21">
        <w:t xml:space="preserve"> noted that, in the </w:t>
      </w:r>
      <w:r w:rsidR="00051615" w:rsidRPr="008F6F21">
        <w:t>PBO</w:t>
      </w:r>
      <w:r w:rsidRPr="008F6F21">
        <w:t>+nab-P arms, PD-L1</w:t>
      </w:r>
      <w:r w:rsidR="004B7914">
        <w:t>-</w:t>
      </w:r>
      <w:r w:rsidRPr="008F6F21">
        <w:t>negative patients had better PFS and OS than patients in the PD-L1</w:t>
      </w:r>
      <w:r w:rsidR="00666CF6">
        <w:t>-</w:t>
      </w:r>
      <w:r w:rsidRPr="008F6F21">
        <w:t>positive groups (19.6 versus 18.0 months median OS, respectively). The ESC</w:t>
      </w:r>
      <w:r w:rsidR="00A67BC3" w:rsidRPr="008F6F21">
        <w:t>s</w:t>
      </w:r>
      <w:r w:rsidRPr="008F6F21">
        <w:t xml:space="preserve"> noted that this was in contrast to other studies which have found PD-L1 positivity to be a positive prognostic biomarker.</w:t>
      </w:r>
      <w:r w:rsidR="009E5F9D" w:rsidRPr="008F6F21">
        <w:t xml:space="preserve"> As noted in the ‘</w:t>
      </w:r>
      <w:r w:rsidR="002D6313">
        <w:t>Claim of</w:t>
      </w:r>
      <w:r w:rsidR="009E5F9D" w:rsidRPr="008F6F21">
        <w:t xml:space="preserve"> co</w:t>
      </w:r>
      <w:r w:rsidR="00751BA8">
        <w:t>-</w:t>
      </w:r>
      <w:r w:rsidR="009E5F9D" w:rsidRPr="008F6F21">
        <w:t>dependenc</w:t>
      </w:r>
      <w:r w:rsidR="002D6313">
        <w:t>e</w:t>
      </w:r>
      <w:r w:rsidR="009E5F9D" w:rsidRPr="008F6F21">
        <w:t>’</w:t>
      </w:r>
      <w:r w:rsidRPr="008F6F21">
        <w:t>, it is possible that the PD-L1</w:t>
      </w:r>
      <w:r w:rsidR="00666CF6">
        <w:t>-</w:t>
      </w:r>
      <w:r w:rsidRPr="008F6F21">
        <w:t>positive patients enrolled in the IMpassion130 trial have an unfavourable prognosis compared to those who are PD-L1 negative</w:t>
      </w:r>
      <w:r w:rsidR="005732E3" w:rsidRPr="008F6F21">
        <w:t>. However</w:t>
      </w:r>
      <w:r w:rsidR="009E5F9D" w:rsidRPr="008F6F21">
        <w:t xml:space="preserve"> this may </w:t>
      </w:r>
      <w:r w:rsidR="005732E3" w:rsidRPr="008F6F21">
        <w:t xml:space="preserve">also </w:t>
      </w:r>
      <w:r w:rsidR="009E5F9D" w:rsidRPr="008F6F21">
        <w:t>indicate a difference in the response to nab-P (with PD-L1</w:t>
      </w:r>
      <w:r w:rsidR="00666CF6">
        <w:t>-</w:t>
      </w:r>
      <w:r w:rsidR="009E5F9D" w:rsidRPr="008F6F21">
        <w:t>positive patients having a worse respon</w:t>
      </w:r>
      <w:r w:rsidR="004B7914">
        <w:t>se to nab-P compared with PD-L1-</w:t>
      </w:r>
      <w:r w:rsidR="009E5F9D" w:rsidRPr="008F6F21">
        <w:t>negative patients).</w:t>
      </w:r>
      <w:r w:rsidR="00A67BC3" w:rsidRPr="008F6F21">
        <w:t xml:space="preserve"> There is no biologically plausible rationale to suggest that PD-L1 status predicts treatment effect variation with nab-P, but this difference contributes to the variation in hazard ratios across the two arms in the I</w:t>
      </w:r>
      <w:r w:rsidR="00591635">
        <w:t>M</w:t>
      </w:r>
      <w:r w:rsidR="00A67BC3" w:rsidRPr="008F6F21">
        <w:t>passion130 trial, and thus to the related tests for interaction.</w:t>
      </w:r>
    </w:p>
    <w:p w:rsidR="00787153" w:rsidRDefault="00095E93" w:rsidP="00787153">
      <w:pPr>
        <w:pStyle w:val="ListParagraph"/>
        <w:numPr>
          <w:ilvl w:val="4"/>
          <w:numId w:val="1"/>
        </w:numPr>
        <w:rPr>
          <w:color w:val="auto"/>
        </w:rPr>
      </w:pPr>
      <w:r>
        <w:rPr>
          <w:color w:val="auto"/>
        </w:rPr>
        <w:t>The Kaplan-Meier plot</w:t>
      </w:r>
      <w:r w:rsidR="00787153">
        <w:rPr>
          <w:color w:val="auto"/>
        </w:rPr>
        <w:t>s</w:t>
      </w:r>
      <w:r>
        <w:rPr>
          <w:color w:val="auto"/>
        </w:rPr>
        <w:t xml:space="preserve"> of </w:t>
      </w:r>
      <w:r w:rsidR="00787153">
        <w:rPr>
          <w:color w:val="auto"/>
        </w:rPr>
        <w:t xml:space="preserve">PFS and </w:t>
      </w:r>
      <w:r>
        <w:rPr>
          <w:color w:val="auto"/>
        </w:rPr>
        <w:t>OS in the PD-L1</w:t>
      </w:r>
      <w:r w:rsidR="00666CF6">
        <w:rPr>
          <w:color w:val="auto"/>
        </w:rPr>
        <w:t>-</w:t>
      </w:r>
      <w:r>
        <w:rPr>
          <w:color w:val="auto"/>
        </w:rPr>
        <w:t>positive</w:t>
      </w:r>
      <w:r w:rsidR="00DE20F1">
        <w:rPr>
          <w:color w:val="auto"/>
        </w:rPr>
        <w:t xml:space="preserve"> population, and OS in the</w:t>
      </w:r>
      <w:r>
        <w:rPr>
          <w:color w:val="auto"/>
        </w:rPr>
        <w:t xml:space="preserve"> PD-L1-negative population </w:t>
      </w:r>
      <w:r w:rsidR="00BE3C33">
        <w:rPr>
          <w:color w:val="auto"/>
        </w:rPr>
        <w:t>are</w:t>
      </w:r>
      <w:r>
        <w:rPr>
          <w:color w:val="auto"/>
        </w:rPr>
        <w:t xml:space="preserve"> presented below.</w:t>
      </w:r>
    </w:p>
    <w:p w:rsidR="00787153" w:rsidRPr="00734399" w:rsidRDefault="00787153" w:rsidP="00EF5451">
      <w:pPr>
        <w:pStyle w:val="Caption"/>
        <w:ind w:left="0" w:firstLine="0"/>
      </w:pPr>
      <w:r>
        <w:t xml:space="preserve">Figure </w:t>
      </w:r>
      <w:r w:rsidR="00074BE0" w:rsidRPr="00EF5451">
        <w:rPr>
          <w:iCs w:val="0"/>
          <w:noProof/>
        </w:rPr>
        <w:t>3</w:t>
      </w:r>
      <w:r w:rsidR="00EF5451">
        <w:t xml:space="preserve">: </w:t>
      </w:r>
      <w:r w:rsidRPr="00787153">
        <w:t>Kaplan-Meier plot of investigator-assessed progression-free survival in the PD-L1-positive</w:t>
      </w:r>
      <w:r w:rsidR="002D0BCC">
        <w:t xml:space="preserve"> (IC </w:t>
      </w:r>
      <w:r w:rsidR="00C257BC">
        <w:t xml:space="preserve">1/2/3) </w:t>
      </w:r>
      <w:r w:rsidR="00C257BC" w:rsidRPr="00914EB1">
        <w:t>and PD-L1-negative</w:t>
      </w:r>
      <w:r w:rsidR="00C257BC">
        <w:t xml:space="preserve"> (IC</w:t>
      </w:r>
      <w:r w:rsidR="002D0BCC">
        <w:t> </w:t>
      </w:r>
      <w:r w:rsidR="00C257BC">
        <w:t>0)</w:t>
      </w:r>
      <w:r w:rsidR="00C257BC" w:rsidRPr="00914EB1">
        <w:t xml:space="preserve"> </w:t>
      </w:r>
      <w:r w:rsidRPr="00787153">
        <w:t>population</w:t>
      </w:r>
      <w:r w:rsidR="00C257BC">
        <w:t>s</w:t>
      </w:r>
      <w:r w:rsidRPr="00787153">
        <w:t xml:space="preserve"> in IMpassion130 </w:t>
      </w:r>
      <w:r w:rsidR="00922D70">
        <w:t>(data cut-off</w:t>
      </w:r>
      <w:r w:rsidRPr="00787153">
        <w:t xml:space="preserve"> 2 January 2019</w:t>
      </w:r>
      <w:r w:rsidR="00922D70">
        <w:t>)</w:t>
      </w:r>
    </w:p>
    <w:p w:rsidR="00C257BC" w:rsidRDefault="00C257BC" w:rsidP="00787153">
      <w:pPr>
        <w:pStyle w:val="TableFooter"/>
      </w:pPr>
      <w:r w:rsidRPr="00620EEE">
        <w:rPr>
          <w:rFonts w:ascii="Calibri" w:hAnsi="Calibri" w:cs="Calibri"/>
          <w:b/>
          <w:bCs/>
          <w:noProof/>
          <w:color w:val="000000"/>
          <w:szCs w:val="22"/>
          <w:bdr w:val="none" w:sz="0" w:space="0" w:color="auto" w:frame="1"/>
          <w:lang w:eastAsia="en-AU"/>
        </w:rPr>
        <w:drawing>
          <wp:inline distT="0" distB="0" distL="0" distR="0" wp14:anchorId="1B2B5ABC" wp14:editId="52EDAA0B">
            <wp:extent cx="5429250" cy="2798336"/>
            <wp:effectExtent l="0" t="0" r="0" b="2540"/>
            <wp:docPr id="2" name="Picture 2" descr="https://lh3.googleusercontent.com/OTHwYDIT3OVLZg-kxJuky59tXyg0U77g8_si14G3KOgQ-lOrjdlbbZk92GJTEALDc9WqVMuFWtw5PaY2jvxIU65Dzbm2YGhZO1sXwWrwmMdHhoqldRqdE5kFZVnIscNCWftQ5Q3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OTHwYDIT3OVLZg-kxJuky59tXyg0U77g8_si14G3KOgQ-lOrjdlbbZk92GJTEALDc9WqVMuFWtw5PaY2jvxIU65Dzbm2YGhZO1sXwWrwmMdHhoqldRqdE5kFZVnIscNCWftQ5Q3j"/>
                    <pic:cNvPicPr>
                      <a:picLocks noChangeAspect="1" noChangeArrowheads="1"/>
                    </pic:cNvPicPr>
                  </pic:nvPicPr>
                  <pic:blipFill rotWithShape="1">
                    <a:blip r:embed="rId10">
                      <a:extLst>
                        <a:ext uri="{28A0092B-C50C-407E-A947-70E740481C1C}">
                          <a14:useLocalDpi xmlns:a14="http://schemas.microsoft.com/office/drawing/2010/main" val="0"/>
                        </a:ext>
                      </a:extLst>
                    </a:blip>
                    <a:srcRect r="-602"/>
                    <a:stretch/>
                  </pic:blipFill>
                  <pic:spPr bwMode="auto">
                    <a:xfrm>
                      <a:off x="0" y="0"/>
                      <a:ext cx="5431173" cy="2799327"/>
                    </a:xfrm>
                    <a:prstGeom prst="rect">
                      <a:avLst/>
                    </a:prstGeom>
                    <a:noFill/>
                    <a:ln>
                      <a:noFill/>
                    </a:ln>
                    <a:extLst>
                      <a:ext uri="{53640926-AAD7-44D8-BBD7-CCE9431645EC}">
                        <a14:shadowObscured xmlns:a14="http://schemas.microsoft.com/office/drawing/2010/main"/>
                      </a:ext>
                    </a:extLst>
                  </pic:spPr>
                </pic:pic>
              </a:graphicData>
            </a:graphic>
          </wp:inline>
        </w:drawing>
      </w:r>
    </w:p>
    <w:p w:rsidR="00787153" w:rsidRPr="00CB19F3" w:rsidRDefault="00787153" w:rsidP="00787153">
      <w:pPr>
        <w:pStyle w:val="TableFooter"/>
      </w:pPr>
      <w:r w:rsidRPr="00CB19F3">
        <w:t>N = total participants in group; PD-L1 = programmed death-ligand 1.</w:t>
      </w:r>
    </w:p>
    <w:p w:rsidR="00787153" w:rsidRDefault="00787153" w:rsidP="00787153">
      <w:pPr>
        <w:pStyle w:val="TableFooter"/>
      </w:pPr>
      <w:r w:rsidRPr="00CB19F3">
        <w:t>Source: Figure 2</w:t>
      </w:r>
      <w:r w:rsidR="00C257BC">
        <w:t xml:space="preserve"> of the PSCR</w:t>
      </w:r>
      <w:r w:rsidRPr="00CB19F3">
        <w:t>.</w:t>
      </w:r>
    </w:p>
    <w:p w:rsidR="00095E93" w:rsidRPr="00914EB1" w:rsidRDefault="00095E93" w:rsidP="00EF5451">
      <w:pPr>
        <w:pStyle w:val="Caption"/>
        <w:ind w:left="0" w:firstLine="0"/>
      </w:pPr>
      <w:r>
        <w:lastRenderedPageBreak/>
        <w:t xml:space="preserve">Figure </w:t>
      </w:r>
      <w:r w:rsidR="00074BE0">
        <w:rPr>
          <w:noProof/>
        </w:rPr>
        <w:t>4</w:t>
      </w:r>
      <w:r w:rsidR="00EF5451">
        <w:rPr>
          <w:noProof/>
        </w:rPr>
        <w:t xml:space="preserve">: </w:t>
      </w:r>
      <w:r w:rsidRPr="00914EB1">
        <w:t>Kaplan-Meier plot of overall survival in the PD-L1-positive and PD-L1-negative populations in IMpassion130</w:t>
      </w:r>
      <w:r w:rsidR="00922D70">
        <w:t xml:space="preserve"> (data cut-off</w:t>
      </w:r>
      <w:r w:rsidRPr="00914EB1">
        <w:t xml:space="preserve"> 2 January 2019)</w:t>
      </w:r>
      <w:r w:rsidR="00922D70">
        <w:t>)</w:t>
      </w:r>
    </w:p>
    <w:p w:rsidR="00095E93" w:rsidRDefault="003328D3" w:rsidP="003328D3">
      <w:pPr>
        <w:pStyle w:val="ListParagraph"/>
        <w:numPr>
          <w:ilvl w:val="0"/>
          <w:numId w:val="0"/>
        </w:numPr>
        <w:rPr>
          <w:color w:val="0070C0"/>
        </w:rPr>
      </w:pPr>
      <w:r>
        <w:rPr>
          <w:noProof/>
          <w:lang w:eastAsia="en-AU"/>
        </w:rPr>
        <w:drawing>
          <wp:inline distT="0" distB="0" distL="0" distR="0" wp14:anchorId="4905CB0D" wp14:editId="63B87E5F">
            <wp:extent cx="5731510" cy="2581910"/>
            <wp:effectExtent l="0" t="0" r="2540" b="8890"/>
            <wp:docPr id="45" name="Picture 45" title="Figure 4: Kaplan-Meier plot of overall survival in the PD-L1-positive and PD-L1-negative populations in IMpassion130 (data cut-off 2 January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2581910"/>
                    </a:xfrm>
                    <a:prstGeom prst="rect">
                      <a:avLst/>
                    </a:prstGeom>
                  </pic:spPr>
                </pic:pic>
              </a:graphicData>
            </a:graphic>
          </wp:inline>
        </w:drawing>
      </w:r>
      <w:r w:rsidR="00957074" w:rsidRPr="00914EB1">
        <w:rPr>
          <w:noProof/>
          <w:lang w:eastAsia="en-AU"/>
        </w:rPr>
        <w:t xml:space="preserve"> </w:t>
      </w:r>
    </w:p>
    <w:p w:rsidR="00DE7631" w:rsidRDefault="00DE7631" w:rsidP="00340547">
      <w:pPr>
        <w:pStyle w:val="TableFooter"/>
      </w:pPr>
      <w:r>
        <w:t xml:space="preserve">Note: </w:t>
      </w:r>
      <w:r w:rsidR="00666CF6">
        <w:t>p</w:t>
      </w:r>
      <w:r w:rsidR="006F51FA">
        <w:t>atient</w:t>
      </w:r>
      <w:r>
        <w:t xml:space="preserve"> at risk data for the A + nab-P and P + nab-P </w:t>
      </w:r>
      <w:r w:rsidR="00F87ED3">
        <w:t xml:space="preserve">in the </w:t>
      </w:r>
      <w:r w:rsidR="007E046C">
        <w:t>PD-L1-</w:t>
      </w:r>
      <w:r w:rsidR="00F87ED3">
        <w:t xml:space="preserve"> groups</w:t>
      </w:r>
      <w:r>
        <w:t xml:space="preserve"> were not provided.</w:t>
      </w:r>
    </w:p>
    <w:p w:rsidR="00340547" w:rsidRDefault="00340547" w:rsidP="004E6F0A">
      <w:pPr>
        <w:pStyle w:val="TableFooter"/>
        <w:spacing w:after="0"/>
      </w:pPr>
      <w:r w:rsidRPr="00F40B98">
        <w:t>A</w:t>
      </w:r>
      <w:r>
        <w:t xml:space="preserve"> </w:t>
      </w:r>
      <w:r w:rsidRPr="00F40B98">
        <w:t>=</w:t>
      </w:r>
      <w:r>
        <w:t xml:space="preserve"> </w:t>
      </w:r>
      <w:r w:rsidR="00666CF6">
        <w:t>a</w:t>
      </w:r>
      <w:r w:rsidRPr="00F40B98">
        <w:t>tezolizumab;</w:t>
      </w:r>
      <w:r>
        <w:t xml:space="preserve"> </w:t>
      </w:r>
      <w:r w:rsidRPr="00F40B98">
        <w:t>CI</w:t>
      </w:r>
      <w:r>
        <w:t xml:space="preserve"> </w:t>
      </w:r>
      <w:r w:rsidRPr="00F40B98">
        <w:t>=</w:t>
      </w:r>
      <w:r>
        <w:t xml:space="preserve"> </w:t>
      </w:r>
      <w:r w:rsidRPr="00F40B98">
        <w:t>confidence interval; HR</w:t>
      </w:r>
      <w:r>
        <w:t xml:space="preserve"> </w:t>
      </w:r>
      <w:r w:rsidRPr="00F40B98">
        <w:t>=</w:t>
      </w:r>
      <w:r>
        <w:t xml:space="preserve"> </w:t>
      </w:r>
      <w:r w:rsidRPr="00F40B98">
        <w:t>hazard ratio; mo</w:t>
      </w:r>
      <w:r>
        <w:t xml:space="preserve"> </w:t>
      </w:r>
      <w:r w:rsidRPr="00F40B98">
        <w:t>=</w:t>
      </w:r>
      <w:r>
        <w:t xml:space="preserve"> </w:t>
      </w:r>
      <w:r w:rsidRPr="00F40B98">
        <w:t>months; N</w:t>
      </w:r>
      <w:r>
        <w:t xml:space="preserve"> </w:t>
      </w:r>
      <w:r w:rsidRPr="00F40B98">
        <w:t>=</w:t>
      </w:r>
      <w:r>
        <w:t xml:space="preserve"> </w:t>
      </w:r>
      <w:r w:rsidRPr="00F40B98">
        <w:t>total participants in group; nab-P</w:t>
      </w:r>
      <w:r>
        <w:t xml:space="preserve"> </w:t>
      </w:r>
      <w:r w:rsidRPr="00F40B98">
        <w:t>=</w:t>
      </w:r>
      <w:r>
        <w:t xml:space="preserve"> </w:t>
      </w:r>
      <w:r w:rsidRPr="00F40B98">
        <w:t>nab-paclitaxel; OS</w:t>
      </w:r>
      <w:r>
        <w:t xml:space="preserve"> </w:t>
      </w:r>
      <w:r w:rsidRPr="00F40B98">
        <w:t>=</w:t>
      </w:r>
      <w:r>
        <w:t xml:space="preserve"> </w:t>
      </w:r>
      <w:r w:rsidR="00922D70">
        <w:t>overall survival; P</w:t>
      </w:r>
      <w:r>
        <w:t xml:space="preserve"> </w:t>
      </w:r>
      <w:r w:rsidRPr="00F40B98">
        <w:t>=</w:t>
      </w:r>
      <w:r>
        <w:t xml:space="preserve"> </w:t>
      </w:r>
      <w:r w:rsidRPr="00F40B98">
        <w:t>placebo; PD-L1 IC+</w:t>
      </w:r>
      <w:r>
        <w:t xml:space="preserve"> =</w:t>
      </w:r>
      <w:r w:rsidRPr="00F40B98">
        <w:t xml:space="preserve"> programmed death-ligand 1</w:t>
      </w:r>
      <w:r>
        <w:t xml:space="preserve"> immune cell </w:t>
      </w:r>
      <w:r w:rsidRPr="00F40B98">
        <w:t>positive; PD-L1 IC-</w:t>
      </w:r>
      <w:r w:rsidR="00666CF6">
        <w:t xml:space="preserve"> </w:t>
      </w:r>
      <w:r w:rsidRPr="00F40B98">
        <w:t>= programmed death-ligand 1</w:t>
      </w:r>
      <w:r>
        <w:t xml:space="preserve"> immune cell </w:t>
      </w:r>
      <w:r w:rsidRPr="00F40B98">
        <w:t>negat</w:t>
      </w:r>
      <w:r>
        <w:t>ive</w:t>
      </w:r>
    </w:p>
    <w:p w:rsidR="00095E93" w:rsidRPr="002A0200" w:rsidRDefault="00095E93" w:rsidP="004E6F0A">
      <w:pPr>
        <w:spacing w:before="0"/>
      </w:pPr>
      <w:r w:rsidRPr="00657695">
        <w:rPr>
          <w:rStyle w:val="TableFooterChar"/>
          <w:rFonts w:eastAsiaTheme="minorHAnsi"/>
        </w:rPr>
        <w:t xml:space="preserve">Source: </w:t>
      </w:r>
      <w:r w:rsidR="00556AE2" w:rsidRPr="00657695">
        <w:rPr>
          <w:rStyle w:val="TableFooterChar"/>
          <w:rFonts w:eastAsiaTheme="minorHAnsi"/>
        </w:rPr>
        <w:t>Slides 8 and 9 from Schmid (2019)</w:t>
      </w:r>
      <w:r w:rsidR="00556AE2" w:rsidRPr="00657695">
        <w:rPr>
          <w:rStyle w:val="TableFooterChar"/>
          <w:rFonts w:eastAsiaTheme="minorHAnsi"/>
        </w:rPr>
        <w:footnoteReference w:id="12"/>
      </w:r>
      <w:r w:rsidR="00556AE2" w:rsidRPr="00657695">
        <w:rPr>
          <w:rStyle w:val="TableFooterChar"/>
          <w:rFonts w:eastAsiaTheme="minorHAnsi"/>
        </w:rPr>
        <w:t xml:space="preserve"> </w:t>
      </w:r>
      <w:r w:rsidR="00037A7E" w:rsidRPr="00657695">
        <w:rPr>
          <w:rStyle w:val="TableFooterChar"/>
          <w:rFonts w:eastAsiaTheme="minorHAnsi"/>
        </w:rPr>
        <w:t xml:space="preserve">Two quality of life (QoL) measures (European Organization for Research and Treatment of Cancer (EORTC) Quality of Life Questionnaire-Core 30 + </w:t>
      </w:r>
      <w:r w:rsidRPr="00657695">
        <w:rPr>
          <w:rStyle w:val="TableFooterChar"/>
          <w:rFonts w:eastAsiaTheme="minorHAnsi"/>
        </w:rPr>
        <w:t xml:space="preserve">European Quality of Life 5 Dimensions, 5 Level) were </w:t>
      </w:r>
      <w:r w:rsidR="00037A7E" w:rsidRPr="00657695">
        <w:rPr>
          <w:rStyle w:val="TableFooterChar"/>
          <w:rFonts w:eastAsiaTheme="minorHAnsi"/>
        </w:rPr>
        <w:t xml:space="preserve">recorded </w:t>
      </w:r>
      <w:r w:rsidRPr="00657695">
        <w:rPr>
          <w:rStyle w:val="TableFooterChar"/>
          <w:rFonts w:eastAsiaTheme="minorHAnsi"/>
        </w:rPr>
        <w:t>through</w:t>
      </w:r>
      <w:r w:rsidR="00B5274E" w:rsidRPr="00657695">
        <w:rPr>
          <w:rStyle w:val="TableFooterChar"/>
          <w:rFonts w:eastAsiaTheme="minorHAnsi"/>
        </w:rPr>
        <w:t>ou</w:t>
      </w:r>
      <w:r w:rsidRPr="00657695">
        <w:rPr>
          <w:rStyle w:val="TableFooterChar"/>
          <w:rFonts w:eastAsiaTheme="minorHAnsi"/>
        </w:rPr>
        <w:t xml:space="preserve">t the key trial </w:t>
      </w:r>
      <w:r w:rsidR="00F8289C" w:rsidRPr="00657695">
        <w:rPr>
          <w:rStyle w:val="TableFooterChar"/>
          <w:rFonts w:eastAsiaTheme="minorHAnsi"/>
        </w:rPr>
        <w:t>but</w:t>
      </w:r>
      <w:r w:rsidRPr="00657695">
        <w:rPr>
          <w:rStyle w:val="TableFooterChar"/>
          <w:rFonts w:eastAsiaTheme="minorHAnsi"/>
        </w:rPr>
        <w:t xml:space="preserve"> failed to demonstrate a significant difference in QoL between patients in the ATZ+nab-P arm compared to the PBO+nab-P arm</w:t>
      </w:r>
      <w:r w:rsidRPr="00657695">
        <w:rPr>
          <w:i/>
        </w:rPr>
        <w:t>.</w:t>
      </w:r>
    </w:p>
    <w:p w:rsidR="00DD2784" w:rsidRPr="008F6F21" w:rsidRDefault="007810BC" w:rsidP="000A1E52">
      <w:pPr>
        <w:pStyle w:val="ListParagraph"/>
        <w:rPr>
          <w:rFonts w:cstheme="minorHAnsi"/>
          <w:szCs w:val="24"/>
        </w:rPr>
      </w:pPr>
      <w:bookmarkStart w:id="22" w:name="_Toc497226187"/>
      <w:bookmarkStart w:id="23" w:name="_Toc30411833"/>
      <w:r w:rsidRPr="008F6F21">
        <w:rPr>
          <w:rFonts w:cstheme="minorHAnsi"/>
          <w:szCs w:val="24"/>
        </w:rPr>
        <w:t>The ESC</w:t>
      </w:r>
      <w:r w:rsidR="00ED6B32" w:rsidRPr="008F6F21">
        <w:rPr>
          <w:rFonts w:cstheme="minorHAnsi"/>
          <w:szCs w:val="24"/>
        </w:rPr>
        <w:t>s</w:t>
      </w:r>
      <w:r w:rsidRPr="008F6F21">
        <w:rPr>
          <w:rFonts w:cstheme="minorHAnsi"/>
          <w:szCs w:val="24"/>
        </w:rPr>
        <w:t xml:space="preserve"> noted that</w:t>
      </w:r>
      <w:r w:rsidR="002C505A" w:rsidRPr="008F6F21">
        <w:rPr>
          <w:rFonts w:cstheme="minorHAnsi"/>
          <w:szCs w:val="24"/>
        </w:rPr>
        <w:t xml:space="preserve"> subgroup analyses by prior treatment found that </w:t>
      </w:r>
      <w:r w:rsidR="00DD2784" w:rsidRPr="008F6F21">
        <w:rPr>
          <w:rFonts w:cstheme="minorHAnsi"/>
          <w:szCs w:val="24"/>
        </w:rPr>
        <w:t>ATZ+nab-P did not demonstrate a statistically significant benefit in OS compared with nab-P in those patients who had received prior anthracycline/taxane combination therapy in both the ITT and PD-L1-positive subgroups.</w:t>
      </w:r>
    </w:p>
    <w:p w:rsidR="00934788" w:rsidRPr="008F6F21" w:rsidRDefault="007810BC" w:rsidP="00934788">
      <w:pPr>
        <w:pStyle w:val="ListParagraph"/>
        <w:rPr>
          <w:rFonts w:cstheme="minorHAnsi"/>
          <w:szCs w:val="24"/>
        </w:rPr>
      </w:pPr>
      <w:r w:rsidRPr="008F6F21">
        <w:rPr>
          <w:rFonts w:cstheme="minorHAnsi"/>
          <w:szCs w:val="24"/>
        </w:rPr>
        <w:t>The ESC</w:t>
      </w:r>
      <w:r w:rsidR="00ED6B32" w:rsidRPr="008F6F21">
        <w:rPr>
          <w:rFonts w:cstheme="minorHAnsi"/>
          <w:szCs w:val="24"/>
        </w:rPr>
        <w:t>s</w:t>
      </w:r>
      <w:r w:rsidRPr="008F6F21">
        <w:rPr>
          <w:rFonts w:cstheme="minorHAnsi"/>
          <w:szCs w:val="24"/>
        </w:rPr>
        <w:t xml:space="preserve"> also noted that the PSCR provided a likelihood-ratio test </w:t>
      </w:r>
      <w:r w:rsidR="00934788" w:rsidRPr="008F6F21">
        <w:rPr>
          <w:rFonts w:cstheme="minorHAnsi"/>
          <w:szCs w:val="24"/>
        </w:rPr>
        <w:t xml:space="preserve">for interaction with treatment effect for prior taxane </w:t>
      </w:r>
      <w:r w:rsidRPr="008F6F21">
        <w:rPr>
          <w:rFonts w:cstheme="minorHAnsi"/>
          <w:szCs w:val="24"/>
        </w:rPr>
        <w:t>treatment</w:t>
      </w:r>
      <w:r w:rsidR="00F17494" w:rsidRPr="008F6F21">
        <w:rPr>
          <w:rFonts w:cstheme="minorHAnsi"/>
          <w:szCs w:val="24"/>
        </w:rPr>
        <w:t xml:space="preserve"> on the OS endpoint</w:t>
      </w:r>
      <w:r w:rsidRPr="008F6F21">
        <w:rPr>
          <w:rFonts w:cstheme="minorHAnsi"/>
          <w:szCs w:val="24"/>
        </w:rPr>
        <w:t>, with no interaction found (p=0.3254)</w:t>
      </w:r>
      <w:r w:rsidR="00F17494" w:rsidRPr="008F6F21">
        <w:rPr>
          <w:rFonts w:cstheme="minorHAnsi"/>
          <w:szCs w:val="24"/>
        </w:rPr>
        <w:t xml:space="preserve"> for the ITT population</w:t>
      </w:r>
      <w:r w:rsidRPr="008F6F21">
        <w:rPr>
          <w:rFonts w:cstheme="minorHAnsi"/>
          <w:szCs w:val="24"/>
        </w:rPr>
        <w:t>. The ESC</w:t>
      </w:r>
      <w:r w:rsidR="00DC7815" w:rsidRPr="008F6F21">
        <w:rPr>
          <w:rFonts w:cstheme="minorHAnsi"/>
          <w:szCs w:val="24"/>
        </w:rPr>
        <w:t>s</w:t>
      </w:r>
      <w:r w:rsidRPr="008F6F21">
        <w:rPr>
          <w:rFonts w:cstheme="minorHAnsi"/>
          <w:szCs w:val="24"/>
        </w:rPr>
        <w:t xml:space="preserve"> noted that</w:t>
      </w:r>
      <w:r w:rsidR="001341BF" w:rsidRPr="008F6F21">
        <w:rPr>
          <w:rFonts w:cstheme="minorHAnsi"/>
          <w:szCs w:val="24"/>
        </w:rPr>
        <w:t>,</w:t>
      </w:r>
      <w:r w:rsidRPr="008F6F21">
        <w:rPr>
          <w:rFonts w:cstheme="minorHAnsi"/>
          <w:szCs w:val="24"/>
        </w:rPr>
        <w:t xml:space="preserve"> </w:t>
      </w:r>
      <w:r w:rsidR="00F17494" w:rsidRPr="008F6F21">
        <w:rPr>
          <w:rFonts w:cstheme="minorHAnsi"/>
          <w:szCs w:val="24"/>
        </w:rPr>
        <w:t xml:space="preserve">when </w:t>
      </w:r>
      <w:r w:rsidRPr="008F6F21">
        <w:rPr>
          <w:rFonts w:cstheme="minorHAnsi"/>
          <w:szCs w:val="24"/>
        </w:rPr>
        <w:t>this was performed on the PD-L1</w:t>
      </w:r>
      <w:r w:rsidR="00666CF6">
        <w:rPr>
          <w:rFonts w:cstheme="minorHAnsi"/>
          <w:szCs w:val="24"/>
        </w:rPr>
        <w:t>-</w:t>
      </w:r>
      <w:r w:rsidRPr="008F6F21">
        <w:rPr>
          <w:rFonts w:cstheme="minorHAnsi"/>
          <w:szCs w:val="24"/>
        </w:rPr>
        <w:t>positive</w:t>
      </w:r>
      <w:r w:rsidR="00F17494" w:rsidRPr="008F6F21">
        <w:rPr>
          <w:rFonts w:cstheme="minorHAnsi"/>
          <w:szCs w:val="24"/>
        </w:rPr>
        <w:t xml:space="preserve"> population</w:t>
      </w:r>
      <w:r w:rsidR="001341BF" w:rsidRPr="008F6F21">
        <w:rPr>
          <w:rFonts w:cstheme="minorHAnsi"/>
          <w:szCs w:val="24"/>
        </w:rPr>
        <w:t>,</w:t>
      </w:r>
      <w:r w:rsidRPr="008F6F21">
        <w:rPr>
          <w:rFonts w:cstheme="minorHAnsi"/>
          <w:szCs w:val="24"/>
        </w:rPr>
        <w:t xml:space="preserve"> </w:t>
      </w:r>
      <w:r w:rsidR="00F17494" w:rsidRPr="008F6F21">
        <w:rPr>
          <w:rFonts w:cstheme="minorHAnsi"/>
          <w:color w:val="000000"/>
          <w:szCs w:val="24"/>
          <w:lang w:eastAsia="zh-CN"/>
        </w:rPr>
        <w:t>it yielded a statistically significant result (ratio of hazard ratios 1.92, 95% CI 1.095, 3.368, p=0.03). This suggests that</w:t>
      </w:r>
      <w:r w:rsidR="001341BF" w:rsidRPr="008F6F21">
        <w:rPr>
          <w:rFonts w:cstheme="minorHAnsi"/>
          <w:color w:val="000000"/>
          <w:szCs w:val="24"/>
          <w:lang w:eastAsia="zh-CN"/>
        </w:rPr>
        <w:t>,</w:t>
      </w:r>
      <w:r w:rsidR="00F17494" w:rsidRPr="008F6F21">
        <w:rPr>
          <w:rFonts w:cstheme="minorHAnsi"/>
          <w:color w:val="000000"/>
          <w:szCs w:val="24"/>
          <w:lang w:eastAsia="zh-CN"/>
        </w:rPr>
        <w:t xml:space="preserve"> in PD-L1</w:t>
      </w:r>
      <w:r w:rsidR="00666CF6">
        <w:rPr>
          <w:rFonts w:cstheme="minorHAnsi"/>
          <w:color w:val="000000"/>
          <w:szCs w:val="24"/>
          <w:lang w:eastAsia="zh-CN"/>
        </w:rPr>
        <w:t>-</w:t>
      </w:r>
      <w:r w:rsidR="00F17494" w:rsidRPr="008F6F21">
        <w:rPr>
          <w:rFonts w:cstheme="minorHAnsi"/>
          <w:color w:val="000000"/>
          <w:szCs w:val="24"/>
          <w:lang w:eastAsia="zh-CN"/>
        </w:rPr>
        <w:t>positive patients, the treatment effect (in terms of HR) of</w:t>
      </w:r>
      <w:r w:rsidR="00D4434E" w:rsidRPr="008F6F21">
        <w:rPr>
          <w:rFonts w:cstheme="minorHAnsi"/>
          <w:color w:val="000000"/>
          <w:szCs w:val="24"/>
          <w:lang w:eastAsia="zh-CN"/>
        </w:rPr>
        <w:t xml:space="preserve"> ATZ+nab-P compared with nab-P </w:t>
      </w:r>
      <w:r w:rsidR="00F17494" w:rsidRPr="008F6F21">
        <w:rPr>
          <w:rFonts w:cstheme="minorHAnsi"/>
          <w:color w:val="000000"/>
          <w:szCs w:val="24"/>
          <w:lang w:eastAsia="zh-CN"/>
        </w:rPr>
        <w:t>for those who had not received prior taxane treatment was greater than the treatment effect for those who had received prior taxane therapy.</w:t>
      </w:r>
    </w:p>
    <w:p w:rsidR="00047C50" w:rsidRPr="008F6F21" w:rsidRDefault="00184BF6" w:rsidP="00877570">
      <w:pPr>
        <w:pStyle w:val="ListParagraph"/>
      </w:pPr>
      <w:r w:rsidRPr="008F6F21">
        <w:t>Although these subgroup analyses are only exploratory</w:t>
      </w:r>
      <w:r w:rsidR="00877570" w:rsidRPr="008F6F21">
        <w:t xml:space="preserve"> (noting </w:t>
      </w:r>
      <w:r w:rsidR="00877570" w:rsidRPr="008F6F21">
        <w:rPr>
          <w:rFonts w:cstheme="minorHAnsi"/>
          <w:szCs w:val="24"/>
        </w:rPr>
        <w:t>the</w:t>
      </w:r>
      <w:r w:rsidR="00A92DFD" w:rsidRPr="008F6F21">
        <w:rPr>
          <w:rFonts w:cstheme="minorHAnsi"/>
          <w:szCs w:val="24"/>
        </w:rPr>
        <w:t>se</w:t>
      </w:r>
      <w:r w:rsidR="00877570" w:rsidRPr="008F6F21">
        <w:rPr>
          <w:rFonts w:cstheme="minorHAnsi"/>
          <w:szCs w:val="24"/>
        </w:rPr>
        <w:t xml:space="preserve"> were not appropriately powered and patients were not randomised into these subgroups)</w:t>
      </w:r>
      <w:r w:rsidRPr="008F6F21">
        <w:t xml:space="preserve">, they </w:t>
      </w:r>
      <w:r w:rsidRPr="008F6F21">
        <w:lastRenderedPageBreak/>
        <w:t xml:space="preserve">suggest that there is no evidence of OS benefit for ATZ+nab-P in the majority of the target PBS population in </w:t>
      </w:r>
      <w:r w:rsidR="00CE6A6D">
        <w:t xml:space="preserve">current </w:t>
      </w:r>
      <w:r w:rsidRPr="008F6F21">
        <w:t xml:space="preserve">clinical practice (65–79%, depending on the true </w:t>
      </w:r>
      <w:r w:rsidRPr="00172239">
        <w:rPr>
          <w:i/>
        </w:rPr>
        <w:t>de novo</w:t>
      </w:r>
      <w:r w:rsidRPr="008F6F21">
        <w:t xml:space="preserve"> m</w:t>
      </w:r>
      <w:r w:rsidR="00EE0A1F" w:rsidRPr="008F6F21">
        <w:t xml:space="preserve">etastatic </w:t>
      </w:r>
      <w:r w:rsidRPr="008F6F21">
        <w:t>TNBC incidence), even compared with a potentially inferior treatment for these patients.</w:t>
      </w:r>
    </w:p>
    <w:p w:rsidR="00095E93" w:rsidRPr="00A54259" w:rsidRDefault="00095E93" w:rsidP="00434533">
      <w:pPr>
        <w:pStyle w:val="PBACESHeading2"/>
      </w:pPr>
      <w:r w:rsidRPr="00A54259">
        <w:t>Comparative harms</w:t>
      </w:r>
      <w:bookmarkEnd w:id="22"/>
      <w:bookmarkEnd w:id="23"/>
    </w:p>
    <w:p w:rsidR="00095E93" w:rsidRPr="00B56FC8" w:rsidRDefault="00095E93" w:rsidP="00095E93">
      <w:pPr>
        <w:pStyle w:val="ListParagraph"/>
        <w:numPr>
          <w:ilvl w:val="4"/>
          <w:numId w:val="1"/>
        </w:numPr>
        <w:rPr>
          <w:color w:val="auto"/>
        </w:rPr>
      </w:pPr>
      <w:r w:rsidRPr="008D1A28">
        <w:rPr>
          <w:color w:val="auto"/>
        </w:rPr>
        <w:t xml:space="preserve">Safety data were collected up until the first </w:t>
      </w:r>
      <w:r>
        <w:rPr>
          <w:color w:val="auto"/>
        </w:rPr>
        <w:t>data</w:t>
      </w:r>
      <w:r w:rsidRPr="008D1A28">
        <w:rPr>
          <w:color w:val="auto"/>
        </w:rPr>
        <w:t xml:space="preserve"> </w:t>
      </w:r>
      <w:r w:rsidR="00B510AF">
        <w:rPr>
          <w:color w:val="auto"/>
        </w:rPr>
        <w:t>cut-off</w:t>
      </w:r>
      <w:r w:rsidRPr="008D1A28">
        <w:rPr>
          <w:color w:val="auto"/>
        </w:rPr>
        <w:t xml:space="preserve"> for IMpassion130 (17 April 2018); </w:t>
      </w:r>
      <w:r>
        <w:rPr>
          <w:color w:val="auto"/>
        </w:rPr>
        <w:t xml:space="preserve">no </w:t>
      </w:r>
      <w:r w:rsidRPr="008D1A28">
        <w:rPr>
          <w:color w:val="auto"/>
        </w:rPr>
        <w:t xml:space="preserve">safety </w:t>
      </w:r>
      <w:r>
        <w:rPr>
          <w:color w:val="auto"/>
        </w:rPr>
        <w:t>data were assessed</w:t>
      </w:r>
      <w:r w:rsidRPr="008D1A28">
        <w:rPr>
          <w:color w:val="auto"/>
        </w:rPr>
        <w:t xml:space="preserve"> at the updated </w:t>
      </w:r>
      <w:r>
        <w:rPr>
          <w:color w:val="auto"/>
        </w:rPr>
        <w:t xml:space="preserve">data </w:t>
      </w:r>
      <w:r w:rsidR="00B510AF">
        <w:rPr>
          <w:color w:val="auto"/>
        </w:rPr>
        <w:t>cut-off</w:t>
      </w:r>
      <w:r w:rsidRPr="008D1A28">
        <w:rPr>
          <w:color w:val="auto"/>
        </w:rPr>
        <w:t xml:space="preserve"> of 2 January 2019.</w:t>
      </w:r>
      <w:r>
        <w:rPr>
          <w:color w:val="auto"/>
        </w:rPr>
        <w:t xml:space="preserve"> </w:t>
      </w:r>
      <w:r>
        <w:t xml:space="preserve">A higher incidence of grade 3-4 adverse events (AEs), serious AEs and AEs leading to dose modification/interruption was observed in the </w:t>
      </w:r>
      <w:r w:rsidRPr="00227C18">
        <w:t xml:space="preserve">ATZ+nab-P </w:t>
      </w:r>
      <w:r>
        <w:t xml:space="preserve">arm </w:t>
      </w:r>
      <w:r w:rsidRPr="00227C18">
        <w:t xml:space="preserve">compared to </w:t>
      </w:r>
      <w:r>
        <w:t xml:space="preserve">the </w:t>
      </w:r>
      <w:r w:rsidRPr="00227C18">
        <w:t>PBO+nab-P</w:t>
      </w:r>
      <w:r>
        <w:t xml:space="preserve"> arm. These data are summarised in the table below.</w:t>
      </w:r>
    </w:p>
    <w:p w:rsidR="00095E93" w:rsidRDefault="00095E93" w:rsidP="00095E93">
      <w:pPr>
        <w:pStyle w:val="Caption"/>
      </w:pPr>
      <w:r>
        <w:t xml:space="preserve">Table </w:t>
      </w:r>
      <w:r w:rsidR="00074BE0">
        <w:rPr>
          <w:noProof/>
        </w:rPr>
        <w:t>8</w:t>
      </w:r>
      <w:r w:rsidR="00EF5451">
        <w:rPr>
          <w:noProof/>
        </w:rPr>
        <w:t xml:space="preserve">: </w:t>
      </w:r>
      <w:r w:rsidRPr="004621CB">
        <w:t>Overview of adverse events and deaths in IMpassion130</w:t>
      </w:r>
      <w:r>
        <w:t xml:space="preserve"> (data </w:t>
      </w:r>
      <w:r w:rsidR="00B510AF">
        <w:t>cut-off</w:t>
      </w:r>
      <w:r>
        <w:t xml:space="preserve"> </w:t>
      </w:r>
      <w:r w:rsidR="00922D70">
        <w:t xml:space="preserve">17 </w:t>
      </w:r>
      <w:r>
        <w:t>April 2018)</w:t>
      </w:r>
    </w:p>
    <w:tbl>
      <w:tblPr>
        <w:tblW w:w="5246" w:type="pct"/>
        <w:tblLayout w:type="fixed"/>
        <w:tblLook w:val="0000" w:firstRow="0" w:lastRow="0" w:firstColumn="0" w:lastColumn="0" w:noHBand="0" w:noVBand="0"/>
      </w:tblPr>
      <w:tblGrid>
        <w:gridCol w:w="1977"/>
        <w:gridCol w:w="1067"/>
        <w:gridCol w:w="1107"/>
        <w:gridCol w:w="1487"/>
        <w:gridCol w:w="1077"/>
        <w:gridCol w:w="1122"/>
        <w:gridCol w:w="1623"/>
      </w:tblGrid>
      <w:tr w:rsidR="00095E93" w:rsidRPr="00835C91" w:rsidTr="00095E93">
        <w:trPr>
          <w:cantSplit/>
          <w:trHeight w:val="70"/>
          <w:tblHeader/>
        </w:trPr>
        <w:tc>
          <w:tcPr>
            <w:tcW w:w="1045" w:type="pct"/>
            <w:vMerge w:val="restart"/>
            <w:tcBorders>
              <w:top w:val="single" w:sz="4" w:space="0" w:color="auto"/>
              <w:left w:val="single" w:sz="4" w:space="0" w:color="auto"/>
              <w:right w:val="single" w:sz="4" w:space="0" w:color="auto"/>
            </w:tcBorders>
            <w:vAlign w:val="center"/>
          </w:tcPr>
          <w:p w:rsidR="00095E93" w:rsidRPr="004621CB" w:rsidRDefault="00095E93" w:rsidP="00095E93">
            <w:pPr>
              <w:keepNext/>
              <w:keepLines/>
              <w:widowControl w:val="0"/>
              <w:spacing w:before="20" w:after="20"/>
              <w:jc w:val="left"/>
              <w:rPr>
                <w:rFonts w:ascii="Arial Narrow" w:eastAsia="Times New Roman" w:hAnsi="Arial Narrow" w:cs="Calibri"/>
                <w:b/>
                <w:sz w:val="20"/>
                <w:szCs w:val="20"/>
              </w:rPr>
            </w:pPr>
            <w:r w:rsidRPr="004621CB">
              <w:rPr>
                <w:rFonts w:ascii="Arial Narrow" w:eastAsia="Times New Roman" w:hAnsi="Arial Narrow" w:cs="Calibri"/>
                <w:b/>
                <w:sz w:val="20"/>
                <w:szCs w:val="20"/>
              </w:rPr>
              <w:t>Adverse event</w:t>
            </w:r>
          </w:p>
        </w:tc>
        <w:tc>
          <w:tcPr>
            <w:tcW w:w="1149" w:type="pct"/>
            <w:gridSpan w:val="2"/>
            <w:tcBorders>
              <w:top w:val="single" w:sz="4" w:space="0" w:color="auto"/>
              <w:left w:val="nil"/>
              <w:bottom w:val="single" w:sz="4" w:space="0" w:color="auto"/>
              <w:right w:val="single" w:sz="4" w:space="0" w:color="auto"/>
            </w:tcBorders>
            <w:vAlign w:val="center"/>
          </w:tcPr>
          <w:p w:rsidR="00095E93" w:rsidRPr="004621CB" w:rsidRDefault="0084016A" w:rsidP="0084016A">
            <w:pPr>
              <w:keepNext/>
              <w:keepLines/>
              <w:widowControl w:val="0"/>
              <w:spacing w:before="20" w:after="20"/>
              <w:jc w:val="center"/>
              <w:rPr>
                <w:rFonts w:ascii="Arial Narrow" w:eastAsia="Times New Roman" w:hAnsi="Arial Narrow" w:cs="Calibri"/>
                <w:b/>
                <w:sz w:val="20"/>
                <w:szCs w:val="20"/>
              </w:rPr>
            </w:pPr>
            <w:r>
              <w:rPr>
                <w:rFonts w:ascii="Arial Narrow" w:eastAsia="Times New Roman" w:hAnsi="Arial Narrow" w:cs="Calibri"/>
                <w:b/>
                <w:sz w:val="20"/>
                <w:szCs w:val="20"/>
              </w:rPr>
              <w:t>ITT s</w:t>
            </w:r>
            <w:r w:rsidR="00095E93" w:rsidRPr="00835C91">
              <w:rPr>
                <w:rFonts w:ascii="Arial Narrow" w:eastAsia="Times New Roman" w:hAnsi="Arial Narrow" w:cs="Calibri"/>
                <w:b/>
                <w:sz w:val="20"/>
                <w:szCs w:val="20"/>
              </w:rPr>
              <w:t>afety evaluable</w:t>
            </w:r>
            <w:r w:rsidR="00095E93" w:rsidRPr="004621CB">
              <w:rPr>
                <w:rFonts w:ascii="Arial Narrow" w:eastAsia="Times New Roman" w:hAnsi="Arial Narrow" w:cs="Calibri"/>
                <w:b/>
                <w:sz w:val="20"/>
                <w:szCs w:val="20"/>
              </w:rPr>
              <w:t xml:space="preserve"> </w:t>
            </w:r>
            <w:r w:rsidR="00780E71" w:rsidRPr="004621CB">
              <w:rPr>
                <w:rFonts w:ascii="Arial Narrow" w:eastAsia="Times New Roman" w:hAnsi="Arial Narrow" w:cs="Calibri"/>
                <w:b/>
                <w:sz w:val="20"/>
                <w:szCs w:val="20"/>
              </w:rPr>
              <w:t>p</w:t>
            </w:r>
            <w:r w:rsidR="00095E93" w:rsidRPr="004621CB">
              <w:rPr>
                <w:rFonts w:ascii="Arial Narrow" w:eastAsia="Times New Roman" w:hAnsi="Arial Narrow" w:cs="Calibri"/>
                <w:b/>
                <w:sz w:val="20"/>
                <w:szCs w:val="20"/>
              </w:rPr>
              <w:t>opulation</w:t>
            </w:r>
            <w:r>
              <w:rPr>
                <w:rFonts w:ascii="Arial Narrow" w:eastAsia="Times New Roman" w:hAnsi="Arial Narrow" w:cs="Calibri"/>
                <w:b/>
                <w:sz w:val="20"/>
                <w:szCs w:val="20"/>
              </w:rPr>
              <w:t>, n</w:t>
            </w:r>
            <w:r w:rsidR="00095E93" w:rsidRPr="004621CB">
              <w:rPr>
                <w:rFonts w:ascii="Arial Narrow" w:eastAsia="Times New Roman" w:hAnsi="Arial Narrow" w:cs="Calibri"/>
                <w:b/>
                <w:sz w:val="20"/>
                <w:szCs w:val="20"/>
              </w:rPr>
              <w:t xml:space="preserve"> (%)</w:t>
            </w:r>
          </w:p>
        </w:tc>
        <w:tc>
          <w:tcPr>
            <w:tcW w:w="786" w:type="pct"/>
            <w:vMerge w:val="restart"/>
            <w:tcBorders>
              <w:top w:val="single" w:sz="4" w:space="0" w:color="auto"/>
              <w:left w:val="single" w:sz="4" w:space="0" w:color="auto"/>
              <w:right w:val="single" w:sz="4" w:space="0" w:color="auto"/>
            </w:tcBorders>
            <w:vAlign w:val="center"/>
          </w:tcPr>
          <w:p w:rsidR="00095E93" w:rsidRPr="004621CB" w:rsidRDefault="00095E93" w:rsidP="005B0CCD">
            <w:pPr>
              <w:keepNext/>
              <w:keepLines/>
              <w:widowControl w:val="0"/>
              <w:spacing w:before="20" w:after="20"/>
              <w:jc w:val="center"/>
              <w:rPr>
                <w:rFonts w:ascii="Arial Narrow" w:eastAsia="Times New Roman" w:hAnsi="Arial Narrow" w:cs="Calibri"/>
                <w:b/>
                <w:sz w:val="20"/>
                <w:szCs w:val="20"/>
                <w:lang w:val="it-IT"/>
              </w:rPr>
            </w:pPr>
            <w:r w:rsidRPr="004621CB">
              <w:rPr>
                <w:rFonts w:ascii="Arial Narrow" w:eastAsia="Times New Roman" w:hAnsi="Arial Narrow" w:cs="Calibri"/>
                <w:b/>
                <w:sz w:val="20"/>
                <w:szCs w:val="20"/>
                <w:lang w:val="it-IT"/>
              </w:rPr>
              <w:t>RR (95% CI)</w:t>
            </w:r>
          </w:p>
        </w:tc>
        <w:tc>
          <w:tcPr>
            <w:tcW w:w="1162" w:type="pct"/>
            <w:gridSpan w:val="2"/>
            <w:tcBorders>
              <w:top w:val="single" w:sz="4" w:space="0" w:color="auto"/>
              <w:left w:val="single" w:sz="4" w:space="0" w:color="auto"/>
              <w:bottom w:val="single" w:sz="4" w:space="0" w:color="auto"/>
              <w:right w:val="single" w:sz="4" w:space="0" w:color="auto"/>
            </w:tcBorders>
            <w:vAlign w:val="center"/>
          </w:tcPr>
          <w:p w:rsidR="00095E93" w:rsidRPr="004621CB" w:rsidRDefault="00095E93" w:rsidP="00780E71">
            <w:pPr>
              <w:keepNext/>
              <w:keepLines/>
              <w:widowControl w:val="0"/>
              <w:spacing w:before="20" w:after="20"/>
              <w:jc w:val="center"/>
              <w:rPr>
                <w:rFonts w:ascii="Arial Narrow" w:eastAsia="Times New Roman" w:hAnsi="Arial Narrow" w:cs="Calibri"/>
                <w:b/>
                <w:sz w:val="20"/>
                <w:szCs w:val="20"/>
                <w:lang w:val="it-IT"/>
              </w:rPr>
            </w:pPr>
            <w:r w:rsidRPr="004621CB">
              <w:rPr>
                <w:rFonts w:ascii="Arial Narrow" w:eastAsia="Times New Roman" w:hAnsi="Arial Narrow" w:cs="Calibri"/>
                <w:b/>
                <w:sz w:val="20"/>
                <w:szCs w:val="20"/>
              </w:rPr>
              <w:t>PD-L1-</w:t>
            </w:r>
            <w:r w:rsidR="00780E71" w:rsidRPr="004621CB">
              <w:rPr>
                <w:rFonts w:ascii="Arial Narrow" w:eastAsia="Times New Roman" w:hAnsi="Arial Narrow" w:cs="Calibri"/>
                <w:b/>
                <w:sz w:val="20"/>
                <w:szCs w:val="20"/>
              </w:rPr>
              <w:t>p</w:t>
            </w:r>
            <w:r w:rsidRPr="004621CB">
              <w:rPr>
                <w:rFonts w:ascii="Arial Narrow" w:eastAsia="Times New Roman" w:hAnsi="Arial Narrow" w:cs="Calibri"/>
                <w:b/>
                <w:sz w:val="20"/>
                <w:szCs w:val="20"/>
              </w:rPr>
              <w:t xml:space="preserve">ositive </w:t>
            </w:r>
            <w:r w:rsidR="00780E71" w:rsidRPr="004621CB">
              <w:rPr>
                <w:rFonts w:ascii="Arial Narrow" w:eastAsia="Times New Roman" w:hAnsi="Arial Narrow" w:cs="Calibri"/>
                <w:b/>
                <w:sz w:val="20"/>
                <w:szCs w:val="20"/>
              </w:rPr>
              <w:t>p</w:t>
            </w:r>
            <w:r w:rsidRPr="004621CB">
              <w:rPr>
                <w:rFonts w:ascii="Arial Narrow" w:eastAsia="Times New Roman" w:hAnsi="Arial Narrow" w:cs="Calibri"/>
                <w:b/>
                <w:sz w:val="20"/>
                <w:szCs w:val="20"/>
              </w:rPr>
              <w:t>opulation</w:t>
            </w:r>
            <w:r w:rsidR="0084016A">
              <w:rPr>
                <w:rFonts w:ascii="Arial Narrow" w:eastAsia="Times New Roman" w:hAnsi="Arial Narrow" w:cs="Calibri"/>
                <w:b/>
                <w:sz w:val="20"/>
                <w:szCs w:val="20"/>
              </w:rPr>
              <w:t>, n</w:t>
            </w:r>
            <w:r w:rsidRPr="004621CB">
              <w:rPr>
                <w:rFonts w:ascii="Arial Narrow" w:eastAsia="Times New Roman" w:hAnsi="Arial Narrow" w:cs="Calibri"/>
                <w:b/>
                <w:sz w:val="20"/>
                <w:szCs w:val="20"/>
              </w:rPr>
              <w:t xml:space="preserve"> (%)</w:t>
            </w:r>
          </w:p>
        </w:tc>
        <w:tc>
          <w:tcPr>
            <w:tcW w:w="858" w:type="pct"/>
            <w:vMerge w:val="restart"/>
            <w:tcBorders>
              <w:top w:val="single" w:sz="4" w:space="0" w:color="auto"/>
              <w:left w:val="single" w:sz="4" w:space="0" w:color="auto"/>
              <w:right w:val="single" w:sz="4" w:space="0" w:color="auto"/>
            </w:tcBorders>
            <w:vAlign w:val="center"/>
          </w:tcPr>
          <w:p w:rsidR="00095E93" w:rsidRPr="004621CB" w:rsidRDefault="00095E93" w:rsidP="005B0CCD">
            <w:pPr>
              <w:keepNext/>
              <w:widowControl w:val="0"/>
              <w:spacing w:before="20" w:after="20"/>
              <w:jc w:val="center"/>
              <w:rPr>
                <w:rFonts w:ascii="Arial Narrow" w:eastAsia="Times New Roman" w:hAnsi="Arial Narrow" w:cs="Calibri"/>
                <w:b/>
                <w:sz w:val="20"/>
                <w:szCs w:val="20"/>
                <w:lang w:val="it-IT"/>
              </w:rPr>
            </w:pPr>
            <w:r w:rsidRPr="004621CB">
              <w:rPr>
                <w:rFonts w:ascii="Arial Narrow" w:eastAsia="Times New Roman" w:hAnsi="Arial Narrow" w:cs="Calibri"/>
                <w:b/>
                <w:sz w:val="20"/>
                <w:szCs w:val="20"/>
                <w:lang w:val="it-IT"/>
              </w:rPr>
              <w:t>RR (95% CI)</w:t>
            </w:r>
          </w:p>
        </w:tc>
      </w:tr>
      <w:tr w:rsidR="00095E93" w:rsidRPr="00835C91" w:rsidTr="00095E93">
        <w:trPr>
          <w:trHeight w:val="70"/>
          <w:tblHeader/>
        </w:trPr>
        <w:tc>
          <w:tcPr>
            <w:tcW w:w="1045" w:type="pct"/>
            <w:vMerge/>
            <w:tcBorders>
              <w:left w:val="single" w:sz="4" w:space="0" w:color="auto"/>
              <w:bottom w:val="single" w:sz="4" w:space="0" w:color="auto"/>
              <w:right w:val="single" w:sz="4" w:space="0" w:color="auto"/>
            </w:tcBorders>
            <w:vAlign w:val="center"/>
          </w:tcPr>
          <w:p w:rsidR="00095E93" w:rsidRPr="004621CB" w:rsidRDefault="00095E93" w:rsidP="00AD645F">
            <w:pPr>
              <w:keepNext/>
              <w:keepLines/>
              <w:widowControl w:val="0"/>
              <w:numPr>
                <w:ilvl w:val="0"/>
                <w:numId w:val="14"/>
              </w:numPr>
              <w:spacing w:before="20" w:after="20"/>
              <w:ind w:left="0" w:firstLine="0"/>
              <w:jc w:val="left"/>
              <w:rPr>
                <w:rFonts w:ascii="Arial Narrow" w:eastAsia="Times New Roman" w:hAnsi="Arial Narrow" w:cs="Calibri"/>
                <w:b/>
                <w:sz w:val="20"/>
                <w:szCs w:val="20"/>
                <w:lang w:val="it-IT"/>
              </w:rPr>
            </w:pPr>
          </w:p>
        </w:tc>
        <w:tc>
          <w:tcPr>
            <w:tcW w:w="564" w:type="pct"/>
            <w:tcBorders>
              <w:top w:val="single" w:sz="4" w:space="0" w:color="auto"/>
              <w:left w:val="nil"/>
              <w:bottom w:val="single" w:sz="4" w:space="0" w:color="auto"/>
              <w:right w:val="single" w:sz="4" w:space="0" w:color="auto"/>
            </w:tcBorders>
            <w:vAlign w:val="center"/>
          </w:tcPr>
          <w:p w:rsidR="00095E93" w:rsidRPr="004621CB" w:rsidRDefault="00095E93" w:rsidP="0084016A">
            <w:pPr>
              <w:keepNext/>
              <w:keepLines/>
              <w:widowControl w:val="0"/>
              <w:spacing w:before="20" w:after="20"/>
              <w:ind w:left="-99" w:right="-33"/>
              <w:jc w:val="center"/>
              <w:rPr>
                <w:rFonts w:ascii="Arial Narrow" w:eastAsia="Times New Roman" w:hAnsi="Arial Narrow" w:cs="Calibri"/>
                <w:b/>
                <w:sz w:val="20"/>
                <w:szCs w:val="20"/>
              </w:rPr>
            </w:pPr>
            <w:r w:rsidRPr="00835C91">
              <w:rPr>
                <w:rFonts w:ascii="Arial Narrow" w:eastAsia="Times New Roman" w:hAnsi="Arial Narrow" w:cs="Calibri"/>
                <w:b/>
                <w:sz w:val="20"/>
                <w:szCs w:val="20"/>
              </w:rPr>
              <w:t>ATZ+</w:t>
            </w:r>
            <w:r w:rsidRPr="004621CB">
              <w:rPr>
                <w:rFonts w:ascii="Arial Narrow" w:eastAsia="Times New Roman" w:hAnsi="Arial Narrow" w:cs="Calibri"/>
                <w:b/>
                <w:sz w:val="20"/>
                <w:szCs w:val="20"/>
              </w:rPr>
              <w:t>nab-P</w:t>
            </w:r>
            <w:r w:rsidRPr="004621CB">
              <w:rPr>
                <w:rFonts w:ascii="Arial Narrow" w:eastAsia="Times New Roman" w:hAnsi="Arial Narrow" w:cs="Calibri"/>
                <w:b/>
                <w:sz w:val="20"/>
                <w:szCs w:val="20"/>
              </w:rPr>
              <w:br/>
              <w:t>(N=452)</w:t>
            </w:r>
          </w:p>
        </w:tc>
        <w:tc>
          <w:tcPr>
            <w:tcW w:w="585" w:type="pct"/>
            <w:tcBorders>
              <w:top w:val="single" w:sz="4" w:space="0" w:color="auto"/>
              <w:left w:val="nil"/>
              <w:bottom w:val="single" w:sz="4" w:space="0" w:color="auto"/>
              <w:right w:val="single" w:sz="4" w:space="0" w:color="auto"/>
            </w:tcBorders>
            <w:vAlign w:val="center"/>
          </w:tcPr>
          <w:p w:rsidR="00095E93" w:rsidRPr="004621CB" w:rsidRDefault="00095E93" w:rsidP="0084016A">
            <w:pPr>
              <w:keepNext/>
              <w:keepLines/>
              <w:widowControl w:val="0"/>
              <w:spacing w:before="20" w:after="20"/>
              <w:ind w:left="-39" w:right="-60"/>
              <w:jc w:val="center"/>
              <w:rPr>
                <w:rFonts w:ascii="Arial Narrow" w:eastAsia="Times New Roman" w:hAnsi="Arial Narrow" w:cs="Calibri"/>
                <w:b/>
                <w:sz w:val="20"/>
                <w:szCs w:val="20"/>
              </w:rPr>
            </w:pPr>
            <w:r w:rsidRPr="00835C91">
              <w:rPr>
                <w:rFonts w:ascii="Arial Narrow" w:eastAsia="Times New Roman" w:hAnsi="Arial Narrow" w:cs="Calibri"/>
                <w:b/>
                <w:sz w:val="20"/>
                <w:szCs w:val="20"/>
              </w:rPr>
              <w:t>PBO</w:t>
            </w:r>
            <w:r w:rsidRPr="004621CB">
              <w:rPr>
                <w:rFonts w:ascii="Arial Narrow" w:eastAsia="Times New Roman" w:hAnsi="Arial Narrow" w:cs="Calibri"/>
                <w:b/>
                <w:sz w:val="20"/>
                <w:szCs w:val="20"/>
              </w:rPr>
              <w:t>+nab-P</w:t>
            </w:r>
            <w:r w:rsidRPr="004621CB">
              <w:rPr>
                <w:rFonts w:ascii="Arial Narrow" w:eastAsia="Times New Roman" w:hAnsi="Arial Narrow" w:cs="Calibri"/>
                <w:b/>
                <w:sz w:val="20"/>
                <w:szCs w:val="20"/>
              </w:rPr>
              <w:br/>
              <w:t>(N=438)</w:t>
            </w:r>
          </w:p>
        </w:tc>
        <w:tc>
          <w:tcPr>
            <w:tcW w:w="786" w:type="pct"/>
            <w:vMerge/>
            <w:tcBorders>
              <w:left w:val="single" w:sz="4" w:space="0" w:color="auto"/>
              <w:bottom w:val="single" w:sz="4" w:space="0" w:color="auto"/>
              <w:right w:val="single" w:sz="4" w:space="0" w:color="auto"/>
            </w:tcBorders>
            <w:vAlign w:val="center"/>
          </w:tcPr>
          <w:p w:rsidR="00095E93" w:rsidRPr="004621CB" w:rsidRDefault="00095E93" w:rsidP="00AD645F">
            <w:pPr>
              <w:keepNext/>
              <w:keepLines/>
              <w:widowControl w:val="0"/>
              <w:numPr>
                <w:ilvl w:val="0"/>
                <w:numId w:val="14"/>
              </w:numPr>
              <w:spacing w:before="20" w:after="20"/>
              <w:ind w:left="0" w:firstLine="0"/>
              <w:jc w:val="center"/>
              <w:rPr>
                <w:rFonts w:ascii="Arial Narrow" w:eastAsia="Times New Roman" w:hAnsi="Arial Narrow" w:cs="Calibri"/>
                <w:b/>
                <w:sz w:val="20"/>
                <w:szCs w:val="20"/>
              </w:rPr>
            </w:pPr>
          </w:p>
        </w:tc>
        <w:tc>
          <w:tcPr>
            <w:tcW w:w="569" w:type="pct"/>
            <w:tcBorders>
              <w:top w:val="single" w:sz="4" w:space="0" w:color="auto"/>
              <w:left w:val="single" w:sz="4" w:space="0" w:color="auto"/>
              <w:bottom w:val="single" w:sz="4" w:space="0" w:color="auto"/>
              <w:right w:val="single" w:sz="4" w:space="0" w:color="auto"/>
            </w:tcBorders>
            <w:vAlign w:val="center"/>
          </w:tcPr>
          <w:p w:rsidR="00095E93" w:rsidRPr="004621CB" w:rsidRDefault="00095E93" w:rsidP="0084016A">
            <w:pPr>
              <w:keepNext/>
              <w:keepLines/>
              <w:widowControl w:val="0"/>
              <w:spacing w:before="20" w:after="20"/>
              <w:ind w:left="-78" w:right="-54"/>
              <w:jc w:val="center"/>
              <w:rPr>
                <w:rFonts w:ascii="Arial Narrow" w:eastAsia="Times New Roman" w:hAnsi="Arial Narrow" w:cs="Calibri"/>
                <w:b/>
                <w:sz w:val="20"/>
                <w:szCs w:val="20"/>
              </w:rPr>
            </w:pPr>
            <w:r w:rsidRPr="00835C91">
              <w:rPr>
                <w:rFonts w:ascii="Arial Narrow" w:eastAsia="Times New Roman" w:hAnsi="Arial Narrow" w:cs="Calibri"/>
                <w:b/>
                <w:sz w:val="20"/>
                <w:szCs w:val="20"/>
              </w:rPr>
              <w:t>ATZ+</w:t>
            </w:r>
            <w:r w:rsidRPr="004621CB">
              <w:rPr>
                <w:rFonts w:ascii="Arial Narrow" w:eastAsia="Times New Roman" w:hAnsi="Arial Narrow" w:cs="Calibri"/>
                <w:b/>
                <w:sz w:val="20"/>
                <w:szCs w:val="20"/>
              </w:rPr>
              <w:t>nab-P</w:t>
            </w:r>
            <w:r w:rsidRPr="004621CB">
              <w:rPr>
                <w:rFonts w:ascii="Arial Narrow" w:eastAsia="Times New Roman" w:hAnsi="Arial Narrow" w:cs="Calibri"/>
                <w:b/>
                <w:sz w:val="20"/>
                <w:szCs w:val="20"/>
              </w:rPr>
              <w:br/>
              <w:t>(N=185)</w:t>
            </w:r>
          </w:p>
        </w:tc>
        <w:tc>
          <w:tcPr>
            <w:tcW w:w="593" w:type="pct"/>
            <w:tcBorders>
              <w:top w:val="single" w:sz="4" w:space="0" w:color="auto"/>
              <w:left w:val="single" w:sz="4" w:space="0" w:color="auto"/>
              <w:bottom w:val="single" w:sz="4" w:space="0" w:color="auto"/>
              <w:right w:val="single" w:sz="4" w:space="0" w:color="auto"/>
            </w:tcBorders>
            <w:vAlign w:val="center"/>
          </w:tcPr>
          <w:p w:rsidR="00095E93" w:rsidRPr="004621CB" w:rsidRDefault="00095E93" w:rsidP="0084016A">
            <w:pPr>
              <w:keepNext/>
              <w:keepLines/>
              <w:widowControl w:val="0"/>
              <w:spacing w:before="20" w:after="20"/>
              <w:ind w:left="-160" w:right="-60"/>
              <w:jc w:val="center"/>
              <w:rPr>
                <w:rFonts w:ascii="Arial Narrow" w:eastAsia="Times New Roman" w:hAnsi="Arial Narrow" w:cs="Calibri"/>
                <w:b/>
                <w:sz w:val="20"/>
                <w:szCs w:val="20"/>
              </w:rPr>
            </w:pPr>
            <w:r w:rsidRPr="00835C91">
              <w:rPr>
                <w:rFonts w:ascii="Arial Narrow" w:eastAsia="Times New Roman" w:hAnsi="Arial Narrow" w:cs="Calibri"/>
                <w:b/>
                <w:sz w:val="20"/>
                <w:szCs w:val="20"/>
              </w:rPr>
              <w:t>PBO+</w:t>
            </w:r>
            <w:r w:rsidRPr="004621CB">
              <w:rPr>
                <w:rFonts w:ascii="Arial Narrow" w:eastAsia="Times New Roman" w:hAnsi="Arial Narrow" w:cs="Calibri"/>
                <w:b/>
                <w:sz w:val="20"/>
                <w:szCs w:val="20"/>
              </w:rPr>
              <w:t>nab-P</w:t>
            </w:r>
            <w:r w:rsidRPr="004621CB">
              <w:rPr>
                <w:rFonts w:ascii="Arial Narrow" w:eastAsia="Times New Roman" w:hAnsi="Arial Narrow" w:cs="Calibri"/>
                <w:b/>
                <w:sz w:val="20"/>
                <w:szCs w:val="20"/>
              </w:rPr>
              <w:br/>
              <w:t>(N=181)</w:t>
            </w:r>
          </w:p>
        </w:tc>
        <w:tc>
          <w:tcPr>
            <w:tcW w:w="858" w:type="pct"/>
            <w:vMerge/>
            <w:tcBorders>
              <w:left w:val="single" w:sz="4" w:space="0" w:color="auto"/>
              <w:bottom w:val="single" w:sz="4" w:space="0" w:color="auto"/>
              <w:right w:val="single" w:sz="4" w:space="0" w:color="auto"/>
            </w:tcBorders>
          </w:tcPr>
          <w:p w:rsidR="00095E93" w:rsidRPr="004621CB" w:rsidRDefault="00095E93" w:rsidP="00AD645F">
            <w:pPr>
              <w:keepNext/>
              <w:keepLines/>
              <w:widowControl w:val="0"/>
              <w:numPr>
                <w:ilvl w:val="0"/>
                <w:numId w:val="14"/>
              </w:numPr>
              <w:spacing w:before="20" w:after="20"/>
              <w:ind w:left="0" w:firstLine="0"/>
              <w:jc w:val="center"/>
              <w:rPr>
                <w:rFonts w:ascii="Arial Narrow" w:eastAsia="Times New Roman" w:hAnsi="Arial Narrow" w:cs="Calibri"/>
                <w:b/>
                <w:sz w:val="20"/>
                <w:szCs w:val="20"/>
              </w:rPr>
            </w:pPr>
          </w:p>
        </w:tc>
      </w:tr>
      <w:tr w:rsidR="00095E93" w:rsidRPr="00835C91" w:rsidTr="00095E93">
        <w:tc>
          <w:tcPr>
            <w:tcW w:w="1045" w:type="pct"/>
            <w:tcBorders>
              <w:top w:val="single" w:sz="4" w:space="0" w:color="auto"/>
              <w:left w:val="single" w:sz="4" w:space="0" w:color="auto"/>
              <w:right w:val="single" w:sz="4" w:space="0" w:color="auto"/>
            </w:tcBorders>
          </w:tcPr>
          <w:p w:rsidR="00095E93" w:rsidRPr="004621CB" w:rsidRDefault="00095E93" w:rsidP="00095E93">
            <w:pPr>
              <w:keepNext/>
              <w:keepLines/>
              <w:widowControl w:val="0"/>
              <w:spacing w:before="40" w:after="40"/>
              <w:jc w:val="left"/>
              <w:rPr>
                <w:rFonts w:ascii="Arial Narrow" w:eastAsia="Times New Roman" w:hAnsi="Arial Narrow" w:cs="Calibri"/>
                <w:bCs/>
                <w:sz w:val="20"/>
                <w:szCs w:val="20"/>
              </w:rPr>
            </w:pPr>
            <w:r w:rsidRPr="004621CB">
              <w:rPr>
                <w:rFonts w:ascii="Arial Narrow" w:eastAsia="Times New Roman" w:hAnsi="Arial Narrow" w:cs="Calibri"/>
                <w:bCs/>
                <w:sz w:val="20"/>
                <w:szCs w:val="20"/>
              </w:rPr>
              <w:t>Any AE</w:t>
            </w:r>
          </w:p>
        </w:tc>
        <w:tc>
          <w:tcPr>
            <w:tcW w:w="564" w:type="pct"/>
            <w:tcBorders>
              <w:top w:val="single" w:sz="4" w:space="0" w:color="auto"/>
              <w:left w:val="nil"/>
              <w:right w:val="single" w:sz="4" w:space="0" w:color="auto"/>
            </w:tcBorders>
          </w:tcPr>
          <w:p w:rsidR="00095E93" w:rsidRPr="004621CB" w:rsidRDefault="00095E93" w:rsidP="00780E71">
            <w:pPr>
              <w:keepNext/>
              <w:keepLines/>
              <w:widowControl w:val="0"/>
              <w:spacing w:before="40" w:after="40"/>
              <w:jc w:val="center"/>
              <w:rPr>
                <w:rFonts w:ascii="Arial Narrow" w:eastAsia="Times New Roman" w:hAnsi="Arial Narrow" w:cs="Calibri"/>
                <w:bCs/>
                <w:sz w:val="20"/>
                <w:szCs w:val="20"/>
              </w:rPr>
            </w:pPr>
            <w:r w:rsidRPr="004621CB">
              <w:rPr>
                <w:rFonts w:ascii="Arial Narrow" w:eastAsia="Times New Roman" w:hAnsi="Arial Narrow" w:cs="Calibri"/>
                <w:bCs/>
                <w:sz w:val="20"/>
                <w:szCs w:val="20"/>
              </w:rPr>
              <w:t>449 (99.3)</w:t>
            </w:r>
          </w:p>
        </w:tc>
        <w:tc>
          <w:tcPr>
            <w:tcW w:w="585" w:type="pct"/>
            <w:tcBorders>
              <w:top w:val="single" w:sz="4" w:space="0" w:color="auto"/>
              <w:left w:val="nil"/>
              <w:right w:val="single" w:sz="4" w:space="0" w:color="auto"/>
            </w:tcBorders>
          </w:tcPr>
          <w:p w:rsidR="00095E93" w:rsidRPr="004621CB" w:rsidRDefault="00095E93" w:rsidP="00780E71">
            <w:pPr>
              <w:keepNext/>
              <w:keepLines/>
              <w:widowControl w:val="0"/>
              <w:spacing w:before="40" w:after="40"/>
              <w:jc w:val="center"/>
              <w:rPr>
                <w:rFonts w:ascii="Arial Narrow" w:eastAsia="Times New Roman" w:hAnsi="Arial Narrow" w:cs="Calibri"/>
                <w:bCs/>
                <w:sz w:val="20"/>
                <w:szCs w:val="20"/>
              </w:rPr>
            </w:pPr>
            <w:r w:rsidRPr="004621CB">
              <w:rPr>
                <w:rFonts w:ascii="Arial Narrow" w:eastAsia="Times New Roman" w:hAnsi="Arial Narrow" w:cs="Calibri"/>
                <w:bCs/>
                <w:sz w:val="20"/>
                <w:szCs w:val="20"/>
              </w:rPr>
              <w:t>429 (97.9)</w:t>
            </w:r>
          </w:p>
        </w:tc>
        <w:tc>
          <w:tcPr>
            <w:tcW w:w="786" w:type="pct"/>
            <w:tcBorders>
              <w:top w:val="single" w:sz="4" w:space="0" w:color="auto"/>
              <w:left w:val="single" w:sz="4" w:space="0" w:color="auto"/>
              <w:right w:val="single" w:sz="4" w:space="0" w:color="auto"/>
            </w:tcBorders>
          </w:tcPr>
          <w:p w:rsidR="00095E93" w:rsidRPr="004621CB" w:rsidRDefault="00095E93" w:rsidP="00780E71">
            <w:pPr>
              <w:keepNext/>
              <w:keepLines/>
              <w:widowControl w:val="0"/>
              <w:spacing w:before="40" w:after="40"/>
              <w:jc w:val="center"/>
              <w:rPr>
                <w:rFonts w:ascii="Arial Narrow" w:eastAsia="Times New Roman" w:hAnsi="Arial Narrow" w:cs="Calibri"/>
                <w:b/>
                <w:bCs/>
                <w:sz w:val="20"/>
                <w:szCs w:val="20"/>
              </w:rPr>
            </w:pPr>
            <w:r w:rsidRPr="004621CB">
              <w:rPr>
                <w:rFonts w:ascii="Arial Narrow" w:eastAsia="Times New Roman" w:hAnsi="Arial Narrow" w:cs="Calibri"/>
                <w:b/>
                <w:bCs/>
                <w:sz w:val="20"/>
                <w:szCs w:val="20"/>
              </w:rPr>
              <w:t>1.01 (1.00, 1.03)</w:t>
            </w:r>
          </w:p>
        </w:tc>
        <w:tc>
          <w:tcPr>
            <w:tcW w:w="569" w:type="pct"/>
            <w:tcBorders>
              <w:top w:val="single" w:sz="4" w:space="0" w:color="auto"/>
              <w:left w:val="single" w:sz="4" w:space="0" w:color="auto"/>
              <w:right w:val="single" w:sz="4" w:space="0" w:color="auto"/>
            </w:tcBorders>
          </w:tcPr>
          <w:p w:rsidR="00095E93" w:rsidRPr="004621CB" w:rsidRDefault="00095E93" w:rsidP="00780E71">
            <w:pPr>
              <w:keepNext/>
              <w:keepLines/>
              <w:widowControl w:val="0"/>
              <w:spacing w:before="40" w:after="40"/>
              <w:jc w:val="center"/>
              <w:rPr>
                <w:rFonts w:ascii="Arial Narrow" w:eastAsia="Times New Roman" w:hAnsi="Arial Narrow" w:cs="Calibri"/>
                <w:b/>
                <w:bCs/>
                <w:sz w:val="20"/>
                <w:szCs w:val="20"/>
              </w:rPr>
            </w:pPr>
            <w:r w:rsidRPr="004621CB">
              <w:rPr>
                <w:rFonts w:ascii="Arial Narrow" w:eastAsia="Times New Roman" w:hAnsi="Arial Narrow" w:cs="Calibri"/>
                <w:bCs/>
                <w:sz w:val="20"/>
                <w:szCs w:val="20"/>
              </w:rPr>
              <w:t>185 (100)</w:t>
            </w:r>
          </w:p>
        </w:tc>
        <w:tc>
          <w:tcPr>
            <w:tcW w:w="593" w:type="pct"/>
            <w:tcBorders>
              <w:top w:val="single" w:sz="4" w:space="0" w:color="auto"/>
              <w:left w:val="single" w:sz="4" w:space="0" w:color="auto"/>
              <w:right w:val="single" w:sz="4" w:space="0" w:color="auto"/>
            </w:tcBorders>
          </w:tcPr>
          <w:p w:rsidR="00095E93" w:rsidRPr="004621CB" w:rsidRDefault="00095E93" w:rsidP="00780E71">
            <w:pPr>
              <w:keepNext/>
              <w:keepLines/>
              <w:widowControl w:val="0"/>
              <w:spacing w:before="40" w:after="40"/>
              <w:jc w:val="center"/>
              <w:rPr>
                <w:rFonts w:ascii="Arial Narrow" w:eastAsia="Times New Roman" w:hAnsi="Arial Narrow" w:cs="Calibri"/>
                <w:b/>
                <w:bCs/>
                <w:sz w:val="20"/>
                <w:szCs w:val="20"/>
              </w:rPr>
            </w:pPr>
            <w:r w:rsidRPr="004621CB">
              <w:rPr>
                <w:rFonts w:ascii="Arial Narrow" w:eastAsia="Times New Roman" w:hAnsi="Arial Narrow" w:cs="Calibri"/>
                <w:bCs/>
                <w:sz w:val="20"/>
                <w:szCs w:val="20"/>
              </w:rPr>
              <w:t>177 (97.8)</w:t>
            </w:r>
          </w:p>
        </w:tc>
        <w:tc>
          <w:tcPr>
            <w:tcW w:w="858" w:type="pct"/>
            <w:tcBorders>
              <w:top w:val="single" w:sz="4" w:space="0" w:color="auto"/>
              <w:left w:val="single" w:sz="4" w:space="0" w:color="auto"/>
              <w:right w:val="single" w:sz="4" w:space="0" w:color="auto"/>
            </w:tcBorders>
          </w:tcPr>
          <w:p w:rsidR="00095E93" w:rsidRPr="004621CB" w:rsidRDefault="00095E93" w:rsidP="00780E71">
            <w:pPr>
              <w:keepNext/>
              <w:keepLines/>
              <w:widowControl w:val="0"/>
              <w:spacing w:before="40" w:after="40"/>
              <w:jc w:val="center"/>
              <w:rPr>
                <w:rFonts w:ascii="Arial Narrow" w:eastAsia="Times New Roman" w:hAnsi="Arial Narrow" w:cs="Calibri"/>
                <w:b/>
                <w:bCs/>
                <w:sz w:val="20"/>
                <w:szCs w:val="20"/>
              </w:rPr>
            </w:pPr>
            <w:r w:rsidRPr="004621CB">
              <w:rPr>
                <w:rFonts w:ascii="Arial Narrow" w:eastAsia="Times New Roman" w:hAnsi="Arial Narrow" w:cs="Calibri"/>
                <w:b/>
                <w:bCs/>
                <w:sz w:val="20"/>
                <w:szCs w:val="20"/>
              </w:rPr>
              <w:t>1.02 (1.00, 1.05)</w:t>
            </w:r>
          </w:p>
        </w:tc>
      </w:tr>
      <w:tr w:rsidR="00095E93" w:rsidRPr="00835C91" w:rsidTr="00095E93">
        <w:tc>
          <w:tcPr>
            <w:tcW w:w="1045" w:type="pct"/>
            <w:tcBorders>
              <w:left w:val="single" w:sz="4" w:space="0" w:color="auto"/>
              <w:right w:val="single" w:sz="4" w:space="0" w:color="auto"/>
            </w:tcBorders>
          </w:tcPr>
          <w:p w:rsidR="00095E93" w:rsidRPr="004621CB" w:rsidRDefault="00095E93" w:rsidP="00095E93">
            <w:pPr>
              <w:keepNext/>
              <w:keepLines/>
              <w:widowControl w:val="0"/>
              <w:spacing w:before="40" w:after="40"/>
              <w:jc w:val="left"/>
              <w:rPr>
                <w:rFonts w:ascii="Arial Narrow" w:eastAsia="Times New Roman" w:hAnsi="Arial Narrow" w:cs="Calibri"/>
                <w:bCs/>
                <w:sz w:val="20"/>
                <w:szCs w:val="20"/>
              </w:rPr>
            </w:pPr>
            <w:r w:rsidRPr="004621CB">
              <w:rPr>
                <w:rFonts w:ascii="Arial Narrow" w:eastAsia="Times New Roman" w:hAnsi="Arial Narrow" w:cs="Calibri"/>
                <w:bCs/>
                <w:sz w:val="20"/>
                <w:szCs w:val="20"/>
              </w:rPr>
              <w:t>No. of deaths</w:t>
            </w:r>
          </w:p>
          <w:p w:rsidR="00095E93" w:rsidRPr="004621CB" w:rsidRDefault="00095E93" w:rsidP="00095E93">
            <w:pPr>
              <w:keepNext/>
              <w:keepLines/>
              <w:widowControl w:val="0"/>
              <w:spacing w:before="40" w:after="40"/>
              <w:jc w:val="left"/>
              <w:rPr>
                <w:rFonts w:ascii="Arial Narrow" w:eastAsia="Times New Roman" w:hAnsi="Arial Narrow" w:cs="Calibri"/>
                <w:bCs/>
                <w:sz w:val="20"/>
                <w:szCs w:val="20"/>
              </w:rPr>
            </w:pPr>
            <w:r w:rsidRPr="004621CB">
              <w:rPr>
                <w:rFonts w:ascii="Arial Narrow" w:eastAsia="Times New Roman" w:hAnsi="Arial Narrow" w:cs="Calibri"/>
                <w:bCs/>
                <w:sz w:val="20"/>
                <w:szCs w:val="20"/>
              </w:rPr>
              <w:t>No.</w:t>
            </w:r>
            <w:r w:rsidR="002D0BCC">
              <w:rPr>
                <w:rFonts w:ascii="Arial Narrow" w:eastAsia="Times New Roman" w:hAnsi="Arial Narrow" w:cs="Calibri"/>
                <w:bCs/>
                <w:sz w:val="20"/>
                <w:szCs w:val="20"/>
              </w:rPr>
              <w:t xml:space="preserve"> of patients with at least one:</w:t>
            </w:r>
          </w:p>
        </w:tc>
        <w:tc>
          <w:tcPr>
            <w:tcW w:w="564" w:type="pct"/>
            <w:tcBorders>
              <w:left w:val="nil"/>
              <w:right w:val="single" w:sz="4" w:space="0" w:color="auto"/>
            </w:tcBorders>
          </w:tcPr>
          <w:p w:rsidR="00095E93" w:rsidRPr="004621CB" w:rsidRDefault="00095E93" w:rsidP="00780E71">
            <w:pPr>
              <w:keepNext/>
              <w:keepLines/>
              <w:widowControl w:val="0"/>
              <w:spacing w:before="40" w:after="40"/>
              <w:jc w:val="center"/>
              <w:rPr>
                <w:rFonts w:ascii="Arial Narrow" w:eastAsia="Times New Roman" w:hAnsi="Arial Narrow" w:cs="Calibri"/>
                <w:bCs/>
                <w:sz w:val="20"/>
                <w:szCs w:val="20"/>
              </w:rPr>
            </w:pPr>
            <w:r w:rsidRPr="004621CB">
              <w:rPr>
                <w:rFonts w:ascii="Arial Narrow" w:eastAsia="Times New Roman" w:hAnsi="Arial Narrow" w:cs="Calibri"/>
                <w:bCs/>
                <w:sz w:val="20"/>
                <w:szCs w:val="20"/>
              </w:rPr>
              <w:t>181</w:t>
            </w:r>
            <w:r w:rsidR="0087572F">
              <w:rPr>
                <w:rFonts w:ascii="Arial Narrow" w:eastAsia="Times New Roman" w:hAnsi="Arial Narrow" w:cs="Calibri"/>
                <w:bCs/>
                <w:sz w:val="20"/>
                <w:szCs w:val="20"/>
              </w:rPr>
              <w:t xml:space="preserve"> </w:t>
            </w:r>
            <w:r w:rsidRPr="004621CB">
              <w:rPr>
                <w:rFonts w:ascii="Arial Narrow" w:eastAsia="Times New Roman" w:hAnsi="Arial Narrow" w:cs="Calibri"/>
                <w:bCs/>
                <w:sz w:val="20"/>
                <w:szCs w:val="20"/>
              </w:rPr>
              <w:t>(40.0)</w:t>
            </w:r>
          </w:p>
        </w:tc>
        <w:tc>
          <w:tcPr>
            <w:tcW w:w="585" w:type="pct"/>
            <w:tcBorders>
              <w:left w:val="nil"/>
              <w:right w:val="single" w:sz="4" w:space="0" w:color="auto"/>
            </w:tcBorders>
          </w:tcPr>
          <w:p w:rsidR="00095E93" w:rsidRPr="004621CB" w:rsidRDefault="00095E93" w:rsidP="00780E71">
            <w:pPr>
              <w:keepNext/>
              <w:keepLines/>
              <w:widowControl w:val="0"/>
              <w:spacing w:before="40" w:after="40"/>
              <w:jc w:val="center"/>
              <w:rPr>
                <w:rFonts w:ascii="Arial Narrow" w:eastAsia="Times New Roman" w:hAnsi="Arial Narrow" w:cs="Calibri"/>
                <w:bCs/>
                <w:sz w:val="20"/>
                <w:szCs w:val="20"/>
              </w:rPr>
            </w:pPr>
            <w:r w:rsidRPr="004621CB">
              <w:rPr>
                <w:rFonts w:ascii="Arial Narrow" w:eastAsia="Times New Roman" w:hAnsi="Arial Narrow" w:cs="Calibri"/>
                <w:bCs/>
                <w:sz w:val="20"/>
                <w:szCs w:val="20"/>
              </w:rPr>
              <w:t>203 (46.3)</w:t>
            </w:r>
          </w:p>
        </w:tc>
        <w:tc>
          <w:tcPr>
            <w:tcW w:w="786" w:type="pct"/>
            <w:tcBorders>
              <w:left w:val="single" w:sz="4" w:space="0" w:color="auto"/>
              <w:right w:val="single" w:sz="4" w:space="0" w:color="auto"/>
            </w:tcBorders>
          </w:tcPr>
          <w:p w:rsidR="00095E93" w:rsidRPr="004621CB" w:rsidRDefault="00095E93" w:rsidP="00780E71">
            <w:pPr>
              <w:keepNext/>
              <w:keepLines/>
              <w:widowControl w:val="0"/>
              <w:spacing w:before="40" w:after="40"/>
              <w:jc w:val="center"/>
              <w:rPr>
                <w:rFonts w:ascii="Arial Narrow" w:eastAsia="Times New Roman" w:hAnsi="Arial Narrow" w:cs="Calibri"/>
                <w:bCs/>
                <w:sz w:val="20"/>
                <w:szCs w:val="20"/>
              </w:rPr>
            </w:pPr>
            <w:r w:rsidRPr="004621CB">
              <w:rPr>
                <w:rFonts w:ascii="Arial Narrow" w:eastAsia="Times New Roman" w:hAnsi="Arial Narrow" w:cs="Calibri"/>
                <w:bCs/>
                <w:sz w:val="20"/>
                <w:szCs w:val="20"/>
              </w:rPr>
              <w:t>0.86 (0.74, 1.01)</w:t>
            </w:r>
          </w:p>
        </w:tc>
        <w:tc>
          <w:tcPr>
            <w:tcW w:w="569" w:type="pct"/>
            <w:tcBorders>
              <w:left w:val="single" w:sz="4" w:space="0" w:color="auto"/>
              <w:right w:val="single" w:sz="4" w:space="0" w:color="auto"/>
            </w:tcBorders>
          </w:tcPr>
          <w:p w:rsidR="00095E93" w:rsidRPr="004621CB" w:rsidRDefault="00095E93" w:rsidP="00780E71">
            <w:pPr>
              <w:keepNext/>
              <w:keepLines/>
              <w:widowControl w:val="0"/>
              <w:spacing w:before="40" w:after="40"/>
              <w:jc w:val="center"/>
              <w:rPr>
                <w:rFonts w:ascii="Arial Narrow" w:eastAsia="Times New Roman" w:hAnsi="Arial Narrow" w:cs="Calibri"/>
                <w:bCs/>
                <w:sz w:val="20"/>
                <w:szCs w:val="20"/>
              </w:rPr>
            </w:pPr>
            <w:r w:rsidRPr="004621CB">
              <w:rPr>
                <w:rFonts w:ascii="Arial Narrow" w:eastAsia="Times New Roman" w:hAnsi="Arial Narrow" w:cs="Calibri"/>
                <w:bCs/>
                <w:sz w:val="20"/>
                <w:szCs w:val="20"/>
              </w:rPr>
              <w:t>63 (34.1)</w:t>
            </w:r>
          </w:p>
        </w:tc>
        <w:tc>
          <w:tcPr>
            <w:tcW w:w="593" w:type="pct"/>
            <w:tcBorders>
              <w:left w:val="single" w:sz="4" w:space="0" w:color="auto"/>
              <w:right w:val="single" w:sz="4" w:space="0" w:color="auto"/>
            </w:tcBorders>
          </w:tcPr>
          <w:p w:rsidR="00095E93" w:rsidRPr="004621CB" w:rsidRDefault="00095E93" w:rsidP="00780E71">
            <w:pPr>
              <w:keepNext/>
              <w:keepLines/>
              <w:widowControl w:val="0"/>
              <w:spacing w:before="40" w:after="40"/>
              <w:jc w:val="center"/>
              <w:rPr>
                <w:rFonts w:ascii="Arial Narrow" w:eastAsia="Times New Roman" w:hAnsi="Arial Narrow" w:cs="Calibri"/>
                <w:bCs/>
                <w:sz w:val="20"/>
                <w:szCs w:val="20"/>
              </w:rPr>
            </w:pPr>
            <w:r w:rsidRPr="004621CB">
              <w:rPr>
                <w:rFonts w:ascii="Arial Narrow" w:eastAsia="Times New Roman" w:hAnsi="Arial Narrow" w:cs="Calibri"/>
                <w:bCs/>
                <w:sz w:val="20"/>
                <w:szCs w:val="20"/>
              </w:rPr>
              <w:t>88 (48.6)</w:t>
            </w:r>
          </w:p>
        </w:tc>
        <w:tc>
          <w:tcPr>
            <w:tcW w:w="858" w:type="pct"/>
            <w:tcBorders>
              <w:left w:val="single" w:sz="4" w:space="0" w:color="auto"/>
              <w:right w:val="single" w:sz="4" w:space="0" w:color="auto"/>
            </w:tcBorders>
          </w:tcPr>
          <w:p w:rsidR="00095E93" w:rsidRPr="004621CB" w:rsidRDefault="00095E93" w:rsidP="00780E71">
            <w:pPr>
              <w:keepNext/>
              <w:keepLines/>
              <w:widowControl w:val="0"/>
              <w:spacing w:before="40" w:after="40"/>
              <w:jc w:val="center"/>
              <w:rPr>
                <w:rFonts w:ascii="Arial Narrow" w:eastAsia="Times New Roman" w:hAnsi="Arial Narrow" w:cs="Calibri"/>
                <w:bCs/>
                <w:sz w:val="20"/>
                <w:szCs w:val="20"/>
              </w:rPr>
            </w:pPr>
            <w:r w:rsidRPr="004621CB">
              <w:rPr>
                <w:rFonts w:ascii="Arial Narrow" w:eastAsia="Times New Roman" w:hAnsi="Arial Narrow" w:cs="Calibri"/>
                <w:bCs/>
                <w:sz w:val="20"/>
                <w:szCs w:val="20"/>
              </w:rPr>
              <w:t>0.70 (0.55, 0.90)</w:t>
            </w:r>
          </w:p>
        </w:tc>
      </w:tr>
      <w:tr w:rsidR="00095E93" w:rsidRPr="00835C91" w:rsidTr="00095E93">
        <w:tc>
          <w:tcPr>
            <w:tcW w:w="1045" w:type="pct"/>
            <w:tcBorders>
              <w:left w:val="single" w:sz="4" w:space="0" w:color="auto"/>
              <w:right w:val="single" w:sz="4" w:space="0" w:color="auto"/>
            </w:tcBorders>
          </w:tcPr>
          <w:p w:rsidR="00095E93" w:rsidRPr="004621CB" w:rsidRDefault="00095E93" w:rsidP="00095E93">
            <w:pPr>
              <w:keepNext/>
              <w:keepLines/>
              <w:widowControl w:val="0"/>
              <w:spacing w:before="40" w:after="40"/>
              <w:ind w:left="284"/>
              <w:jc w:val="left"/>
              <w:rPr>
                <w:rFonts w:ascii="Arial Narrow" w:eastAsia="Times New Roman" w:hAnsi="Arial Narrow" w:cs="Calibri"/>
                <w:bCs/>
                <w:sz w:val="20"/>
                <w:szCs w:val="20"/>
              </w:rPr>
            </w:pPr>
            <w:r w:rsidRPr="004621CB">
              <w:rPr>
                <w:rFonts w:ascii="Arial Narrow" w:eastAsia="Times New Roman" w:hAnsi="Arial Narrow" w:cs="Calibri"/>
                <w:bCs/>
                <w:sz w:val="20"/>
                <w:szCs w:val="20"/>
              </w:rPr>
              <w:t>Grade 5 AE</w:t>
            </w:r>
          </w:p>
          <w:p w:rsidR="00095E93" w:rsidRPr="004621CB" w:rsidRDefault="00095E93" w:rsidP="00095E93">
            <w:pPr>
              <w:keepNext/>
              <w:keepLines/>
              <w:widowControl w:val="0"/>
              <w:spacing w:before="40" w:after="40"/>
              <w:ind w:left="284"/>
              <w:jc w:val="left"/>
              <w:rPr>
                <w:rFonts w:ascii="Arial Narrow" w:eastAsia="Times New Roman" w:hAnsi="Arial Narrow" w:cs="Calibri"/>
                <w:bCs/>
                <w:sz w:val="20"/>
                <w:szCs w:val="20"/>
              </w:rPr>
            </w:pPr>
            <w:r w:rsidRPr="004621CB">
              <w:rPr>
                <w:rFonts w:ascii="Arial Narrow" w:eastAsia="Times New Roman" w:hAnsi="Arial Narrow" w:cs="Calibri"/>
                <w:bCs/>
                <w:sz w:val="20"/>
                <w:szCs w:val="20"/>
              </w:rPr>
              <w:t>Related Grade 5 AE</w:t>
            </w:r>
          </w:p>
        </w:tc>
        <w:tc>
          <w:tcPr>
            <w:tcW w:w="564" w:type="pct"/>
            <w:tcBorders>
              <w:left w:val="nil"/>
              <w:right w:val="single" w:sz="4" w:space="0" w:color="auto"/>
            </w:tcBorders>
          </w:tcPr>
          <w:p w:rsidR="00095E93" w:rsidRPr="004621CB" w:rsidRDefault="00095E93" w:rsidP="00780E71">
            <w:pPr>
              <w:keepNext/>
              <w:keepLines/>
              <w:widowControl w:val="0"/>
              <w:spacing w:before="40" w:after="40"/>
              <w:jc w:val="center"/>
              <w:rPr>
                <w:rFonts w:ascii="Arial Narrow" w:eastAsia="Times New Roman" w:hAnsi="Arial Narrow" w:cs="Calibri"/>
                <w:bCs/>
                <w:sz w:val="20"/>
                <w:szCs w:val="20"/>
              </w:rPr>
            </w:pPr>
            <w:r w:rsidRPr="004621CB">
              <w:rPr>
                <w:rFonts w:ascii="Arial Narrow" w:eastAsia="Times New Roman" w:hAnsi="Arial Narrow" w:cs="Calibri"/>
                <w:bCs/>
                <w:sz w:val="20"/>
                <w:szCs w:val="20"/>
              </w:rPr>
              <w:t>6 (1.3)</w:t>
            </w:r>
          </w:p>
          <w:p w:rsidR="00095E93" w:rsidRPr="004621CB" w:rsidRDefault="00095E93" w:rsidP="00780E71">
            <w:pPr>
              <w:keepNext/>
              <w:keepLines/>
              <w:widowControl w:val="0"/>
              <w:spacing w:before="40" w:after="40"/>
              <w:jc w:val="center"/>
              <w:rPr>
                <w:rFonts w:ascii="Arial Narrow" w:eastAsia="Times New Roman" w:hAnsi="Arial Narrow" w:cs="Calibri"/>
                <w:bCs/>
                <w:sz w:val="20"/>
                <w:szCs w:val="20"/>
              </w:rPr>
            </w:pPr>
            <w:r w:rsidRPr="004621CB">
              <w:rPr>
                <w:rFonts w:ascii="Arial Narrow" w:eastAsia="Times New Roman" w:hAnsi="Arial Narrow" w:cs="Calibri"/>
                <w:bCs/>
                <w:sz w:val="20"/>
                <w:szCs w:val="20"/>
              </w:rPr>
              <w:t>3 (0.7)</w:t>
            </w:r>
          </w:p>
        </w:tc>
        <w:tc>
          <w:tcPr>
            <w:tcW w:w="585" w:type="pct"/>
            <w:tcBorders>
              <w:left w:val="nil"/>
              <w:right w:val="single" w:sz="4" w:space="0" w:color="auto"/>
            </w:tcBorders>
          </w:tcPr>
          <w:p w:rsidR="00095E93" w:rsidRPr="004621CB" w:rsidRDefault="00095E93" w:rsidP="00780E71">
            <w:pPr>
              <w:keepNext/>
              <w:keepLines/>
              <w:widowControl w:val="0"/>
              <w:spacing w:before="40" w:after="40"/>
              <w:jc w:val="center"/>
              <w:rPr>
                <w:rFonts w:ascii="Arial Narrow" w:eastAsia="Times New Roman" w:hAnsi="Arial Narrow" w:cs="Calibri"/>
                <w:bCs/>
                <w:sz w:val="20"/>
                <w:szCs w:val="20"/>
              </w:rPr>
            </w:pPr>
            <w:r w:rsidRPr="004621CB">
              <w:rPr>
                <w:rFonts w:ascii="Arial Narrow" w:eastAsia="Times New Roman" w:hAnsi="Arial Narrow" w:cs="Calibri"/>
                <w:bCs/>
                <w:sz w:val="20"/>
                <w:szCs w:val="20"/>
              </w:rPr>
              <w:t>3 (0.7)</w:t>
            </w:r>
          </w:p>
          <w:p w:rsidR="00095E93" w:rsidRPr="004621CB" w:rsidRDefault="00095E93" w:rsidP="0087572F">
            <w:pPr>
              <w:keepNext/>
              <w:keepLines/>
              <w:widowControl w:val="0"/>
              <w:spacing w:before="40" w:after="40"/>
              <w:jc w:val="center"/>
              <w:rPr>
                <w:rFonts w:ascii="Arial Narrow" w:eastAsia="Times New Roman" w:hAnsi="Arial Narrow" w:cs="Calibri"/>
                <w:bCs/>
                <w:sz w:val="20"/>
                <w:szCs w:val="20"/>
              </w:rPr>
            </w:pPr>
            <w:r w:rsidRPr="004621CB">
              <w:rPr>
                <w:rFonts w:ascii="Arial Narrow" w:eastAsia="Times New Roman" w:hAnsi="Arial Narrow" w:cs="Calibri"/>
                <w:bCs/>
                <w:sz w:val="20"/>
                <w:szCs w:val="20"/>
              </w:rPr>
              <w:t>1</w:t>
            </w:r>
            <w:r w:rsidR="0084016A">
              <w:rPr>
                <w:rFonts w:ascii="Arial Narrow" w:eastAsia="Times New Roman" w:hAnsi="Arial Narrow" w:cs="Calibri"/>
                <w:bCs/>
                <w:sz w:val="20"/>
                <w:szCs w:val="20"/>
              </w:rPr>
              <w:t xml:space="preserve"> </w:t>
            </w:r>
            <w:r w:rsidRPr="004621CB">
              <w:rPr>
                <w:rFonts w:ascii="Arial Narrow" w:eastAsia="Times New Roman" w:hAnsi="Arial Narrow" w:cs="Calibri"/>
                <w:bCs/>
                <w:sz w:val="20"/>
                <w:szCs w:val="20"/>
              </w:rPr>
              <w:t>(0.2)</w:t>
            </w:r>
          </w:p>
        </w:tc>
        <w:tc>
          <w:tcPr>
            <w:tcW w:w="786" w:type="pct"/>
            <w:tcBorders>
              <w:left w:val="single" w:sz="4" w:space="0" w:color="auto"/>
              <w:right w:val="single" w:sz="4" w:space="0" w:color="auto"/>
            </w:tcBorders>
          </w:tcPr>
          <w:p w:rsidR="00095E93" w:rsidRPr="004621CB" w:rsidRDefault="00095E93" w:rsidP="00780E71">
            <w:pPr>
              <w:keepNext/>
              <w:keepLines/>
              <w:widowControl w:val="0"/>
              <w:spacing w:before="40" w:after="40"/>
              <w:jc w:val="center"/>
              <w:rPr>
                <w:rFonts w:ascii="Arial Narrow" w:eastAsia="Times New Roman" w:hAnsi="Arial Narrow" w:cs="Calibri"/>
                <w:bCs/>
                <w:sz w:val="20"/>
                <w:szCs w:val="20"/>
              </w:rPr>
            </w:pPr>
            <w:r w:rsidRPr="004621CB">
              <w:rPr>
                <w:rFonts w:ascii="Arial Narrow" w:eastAsia="Times New Roman" w:hAnsi="Arial Narrow" w:cs="Calibri"/>
                <w:bCs/>
                <w:sz w:val="20"/>
                <w:szCs w:val="20"/>
              </w:rPr>
              <w:t>1.94 (0.49, 7.70)</w:t>
            </w:r>
          </w:p>
          <w:p w:rsidR="00095E93" w:rsidRPr="004621CB" w:rsidRDefault="00095E93" w:rsidP="0084016A">
            <w:pPr>
              <w:keepNext/>
              <w:keepLines/>
              <w:widowControl w:val="0"/>
              <w:spacing w:before="40" w:after="40"/>
              <w:ind w:left="-154" w:right="-136"/>
              <w:jc w:val="center"/>
              <w:rPr>
                <w:rFonts w:ascii="Arial Narrow" w:eastAsia="Times New Roman" w:hAnsi="Arial Narrow" w:cs="Calibri"/>
                <w:bCs/>
                <w:sz w:val="20"/>
                <w:szCs w:val="20"/>
              </w:rPr>
            </w:pPr>
            <w:r w:rsidRPr="004621CB">
              <w:rPr>
                <w:rFonts w:ascii="Arial Narrow" w:eastAsia="Times New Roman" w:hAnsi="Arial Narrow" w:cs="Calibri"/>
                <w:bCs/>
                <w:sz w:val="20"/>
                <w:szCs w:val="20"/>
              </w:rPr>
              <w:t>2.91 (0.30, 27.84)</w:t>
            </w:r>
          </w:p>
        </w:tc>
        <w:tc>
          <w:tcPr>
            <w:tcW w:w="569" w:type="pct"/>
            <w:tcBorders>
              <w:left w:val="single" w:sz="4" w:space="0" w:color="auto"/>
              <w:right w:val="single" w:sz="4" w:space="0" w:color="auto"/>
            </w:tcBorders>
          </w:tcPr>
          <w:p w:rsidR="00095E93" w:rsidRPr="004621CB" w:rsidRDefault="00095E93" w:rsidP="00780E71">
            <w:pPr>
              <w:keepNext/>
              <w:keepLines/>
              <w:widowControl w:val="0"/>
              <w:spacing w:before="40" w:after="40"/>
              <w:jc w:val="center"/>
              <w:rPr>
                <w:rFonts w:ascii="Arial Narrow" w:eastAsia="Times New Roman" w:hAnsi="Arial Narrow" w:cs="Calibri"/>
                <w:bCs/>
                <w:sz w:val="20"/>
                <w:szCs w:val="20"/>
              </w:rPr>
            </w:pPr>
            <w:r w:rsidRPr="004621CB">
              <w:rPr>
                <w:rFonts w:ascii="Arial Narrow" w:eastAsia="Times New Roman" w:hAnsi="Arial Narrow" w:cs="Calibri"/>
                <w:bCs/>
                <w:sz w:val="20"/>
                <w:szCs w:val="20"/>
              </w:rPr>
              <w:t>2 (1.1)</w:t>
            </w:r>
          </w:p>
        </w:tc>
        <w:tc>
          <w:tcPr>
            <w:tcW w:w="593" w:type="pct"/>
            <w:tcBorders>
              <w:left w:val="single" w:sz="4" w:space="0" w:color="auto"/>
              <w:right w:val="single" w:sz="4" w:space="0" w:color="auto"/>
            </w:tcBorders>
          </w:tcPr>
          <w:p w:rsidR="00095E93" w:rsidRPr="004621CB" w:rsidRDefault="00095E93" w:rsidP="00780E71">
            <w:pPr>
              <w:keepNext/>
              <w:keepLines/>
              <w:widowControl w:val="0"/>
              <w:spacing w:before="40" w:after="40"/>
              <w:jc w:val="center"/>
              <w:rPr>
                <w:rFonts w:ascii="Arial Narrow" w:eastAsia="Times New Roman" w:hAnsi="Arial Narrow" w:cs="Calibri"/>
                <w:bCs/>
                <w:sz w:val="20"/>
                <w:szCs w:val="20"/>
              </w:rPr>
            </w:pPr>
            <w:r w:rsidRPr="004621CB">
              <w:rPr>
                <w:rFonts w:ascii="Arial Narrow" w:eastAsia="Times New Roman" w:hAnsi="Arial Narrow" w:cs="Calibri"/>
                <w:bCs/>
                <w:sz w:val="20"/>
                <w:szCs w:val="20"/>
              </w:rPr>
              <w:t>1 (0.6)</w:t>
            </w:r>
          </w:p>
        </w:tc>
        <w:tc>
          <w:tcPr>
            <w:tcW w:w="858" w:type="pct"/>
            <w:tcBorders>
              <w:left w:val="single" w:sz="4" w:space="0" w:color="auto"/>
              <w:right w:val="single" w:sz="4" w:space="0" w:color="auto"/>
            </w:tcBorders>
          </w:tcPr>
          <w:p w:rsidR="00095E93" w:rsidRPr="004621CB" w:rsidRDefault="00095E93" w:rsidP="0084016A">
            <w:pPr>
              <w:keepNext/>
              <w:keepLines/>
              <w:widowControl w:val="0"/>
              <w:spacing w:before="40" w:after="40"/>
              <w:jc w:val="center"/>
              <w:rPr>
                <w:rFonts w:ascii="Arial Narrow" w:eastAsia="Times New Roman" w:hAnsi="Arial Narrow" w:cs="Calibri"/>
                <w:bCs/>
                <w:sz w:val="20"/>
                <w:szCs w:val="20"/>
              </w:rPr>
            </w:pPr>
            <w:r w:rsidRPr="004621CB">
              <w:rPr>
                <w:rFonts w:ascii="Arial Narrow" w:eastAsia="Times New Roman" w:hAnsi="Arial Narrow" w:cs="Calibri"/>
                <w:bCs/>
                <w:sz w:val="20"/>
                <w:szCs w:val="20"/>
              </w:rPr>
              <w:t>1.96 (0.18, 21.39)</w:t>
            </w:r>
          </w:p>
        </w:tc>
      </w:tr>
      <w:tr w:rsidR="00095E93" w:rsidRPr="00835C91" w:rsidTr="00095E93">
        <w:tc>
          <w:tcPr>
            <w:tcW w:w="1045" w:type="pct"/>
            <w:tcBorders>
              <w:left w:val="single" w:sz="4" w:space="0" w:color="auto"/>
              <w:right w:val="single" w:sz="4" w:space="0" w:color="auto"/>
            </w:tcBorders>
          </w:tcPr>
          <w:p w:rsidR="00095E93" w:rsidRPr="004621CB" w:rsidRDefault="00095E93" w:rsidP="00095E93">
            <w:pPr>
              <w:keepNext/>
              <w:keepLines/>
              <w:widowControl w:val="0"/>
              <w:spacing w:before="40" w:after="40"/>
              <w:ind w:left="284"/>
              <w:jc w:val="left"/>
              <w:rPr>
                <w:rFonts w:ascii="Arial Narrow" w:eastAsia="Times New Roman" w:hAnsi="Arial Narrow" w:cs="Calibri"/>
                <w:bCs/>
                <w:sz w:val="20"/>
                <w:szCs w:val="20"/>
              </w:rPr>
            </w:pPr>
            <w:r w:rsidRPr="004621CB">
              <w:rPr>
                <w:rFonts w:ascii="Arial Narrow" w:eastAsia="Times New Roman" w:hAnsi="Arial Narrow" w:cs="Calibri"/>
                <w:bCs/>
                <w:sz w:val="20"/>
                <w:szCs w:val="20"/>
              </w:rPr>
              <w:t>Grade 3-4 AE</w:t>
            </w:r>
          </w:p>
        </w:tc>
        <w:tc>
          <w:tcPr>
            <w:tcW w:w="564" w:type="pct"/>
            <w:tcBorders>
              <w:left w:val="nil"/>
              <w:right w:val="single" w:sz="4" w:space="0" w:color="auto"/>
            </w:tcBorders>
          </w:tcPr>
          <w:p w:rsidR="00095E93" w:rsidRPr="004621CB" w:rsidRDefault="00095E93" w:rsidP="00780E71">
            <w:pPr>
              <w:keepNext/>
              <w:keepLines/>
              <w:widowControl w:val="0"/>
              <w:spacing w:before="40" w:after="40"/>
              <w:jc w:val="center"/>
              <w:rPr>
                <w:rFonts w:ascii="Arial Narrow" w:eastAsia="Times New Roman" w:hAnsi="Arial Narrow" w:cs="Calibri"/>
                <w:bCs/>
                <w:sz w:val="20"/>
                <w:szCs w:val="20"/>
              </w:rPr>
            </w:pPr>
            <w:r w:rsidRPr="004621CB">
              <w:rPr>
                <w:rFonts w:ascii="Arial Narrow" w:eastAsia="Times New Roman" w:hAnsi="Arial Narrow" w:cs="Calibri"/>
                <w:bCs/>
                <w:sz w:val="20"/>
                <w:szCs w:val="20"/>
              </w:rPr>
              <w:t>220 (48.7)</w:t>
            </w:r>
          </w:p>
        </w:tc>
        <w:tc>
          <w:tcPr>
            <w:tcW w:w="585" w:type="pct"/>
            <w:tcBorders>
              <w:left w:val="nil"/>
              <w:right w:val="single" w:sz="4" w:space="0" w:color="auto"/>
            </w:tcBorders>
          </w:tcPr>
          <w:p w:rsidR="00095E93" w:rsidRPr="004621CB" w:rsidRDefault="00095E93" w:rsidP="00780E71">
            <w:pPr>
              <w:keepNext/>
              <w:keepLines/>
              <w:widowControl w:val="0"/>
              <w:spacing w:before="40" w:after="40"/>
              <w:jc w:val="center"/>
              <w:rPr>
                <w:rFonts w:ascii="Arial Narrow" w:eastAsia="Times New Roman" w:hAnsi="Arial Narrow" w:cs="Calibri"/>
                <w:bCs/>
                <w:sz w:val="20"/>
                <w:szCs w:val="20"/>
              </w:rPr>
            </w:pPr>
            <w:r w:rsidRPr="004621CB">
              <w:rPr>
                <w:rFonts w:ascii="Arial Narrow" w:eastAsia="Times New Roman" w:hAnsi="Arial Narrow" w:cs="Calibri"/>
                <w:bCs/>
                <w:sz w:val="20"/>
                <w:szCs w:val="20"/>
              </w:rPr>
              <w:t>185 (42.2)</w:t>
            </w:r>
          </w:p>
        </w:tc>
        <w:tc>
          <w:tcPr>
            <w:tcW w:w="786" w:type="pct"/>
            <w:tcBorders>
              <w:left w:val="single" w:sz="4" w:space="0" w:color="auto"/>
              <w:right w:val="single" w:sz="4" w:space="0" w:color="auto"/>
            </w:tcBorders>
          </w:tcPr>
          <w:p w:rsidR="00095E93" w:rsidRPr="004621CB" w:rsidRDefault="00095E93" w:rsidP="00780E71">
            <w:pPr>
              <w:keepNext/>
              <w:keepLines/>
              <w:widowControl w:val="0"/>
              <w:spacing w:before="40" w:after="40"/>
              <w:jc w:val="center"/>
              <w:rPr>
                <w:rFonts w:ascii="Arial Narrow" w:eastAsia="Times New Roman" w:hAnsi="Arial Narrow" w:cs="Calibri"/>
                <w:b/>
                <w:bCs/>
                <w:sz w:val="20"/>
                <w:szCs w:val="20"/>
              </w:rPr>
            </w:pPr>
            <w:r w:rsidRPr="004621CB">
              <w:rPr>
                <w:rFonts w:ascii="Arial Narrow" w:eastAsia="Times New Roman" w:hAnsi="Arial Narrow" w:cs="Calibri"/>
                <w:b/>
                <w:bCs/>
                <w:sz w:val="20"/>
                <w:szCs w:val="20"/>
              </w:rPr>
              <w:t>1.15 (1.00, 1.33)</w:t>
            </w:r>
          </w:p>
        </w:tc>
        <w:tc>
          <w:tcPr>
            <w:tcW w:w="569" w:type="pct"/>
            <w:tcBorders>
              <w:left w:val="single" w:sz="4" w:space="0" w:color="auto"/>
              <w:right w:val="single" w:sz="4" w:space="0" w:color="auto"/>
            </w:tcBorders>
          </w:tcPr>
          <w:p w:rsidR="00095E93" w:rsidRPr="004621CB" w:rsidRDefault="00095E93" w:rsidP="00780E71">
            <w:pPr>
              <w:keepNext/>
              <w:keepLines/>
              <w:widowControl w:val="0"/>
              <w:spacing w:before="40" w:after="40"/>
              <w:jc w:val="center"/>
              <w:rPr>
                <w:rFonts w:ascii="Arial Narrow" w:eastAsia="Times New Roman" w:hAnsi="Arial Narrow" w:cs="Calibri"/>
                <w:b/>
                <w:bCs/>
                <w:sz w:val="20"/>
                <w:szCs w:val="20"/>
              </w:rPr>
            </w:pPr>
            <w:r w:rsidRPr="004621CB">
              <w:rPr>
                <w:rFonts w:ascii="Arial Narrow" w:eastAsia="Times New Roman" w:hAnsi="Arial Narrow" w:cs="Calibri"/>
                <w:bCs/>
                <w:sz w:val="20"/>
                <w:szCs w:val="20"/>
              </w:rPr>
              <w:t>1 (0.5)</w:t>
            </w:r>
          </w:p>
        </w:tc>
        <w:tc>
          <w:tcPr>
            <w:tcW w:w="593" w:type="pct"/>
            <w:tcBorders>
              <w:left w:val="single" w:sz="4" w:space="0" w:color="auto"/>
              <w:right w:val="single" w:sz="4" w:space="0" w:color="auto"/>
            </w:tcBorders>
          </w:tcPr>
          <w:p w:rsidR="00095E93" w:rsidRPr="004621CB" w:rsidRDefault="00095E93" w:rsidP="00780E71">
            <w:pPr>
              <w:keepNext/>
              <w:keepLines/>
              <w:widowControl w:val="0"/>
              <w:spacing w:before="40" w:after="40"/>
              <w:jc w:val="center"/>
              <w:rPr>
                <w:rFonts w:ascii="Arial Narrow" w:eastAsia="Times New Roman" w:hAnsi="Arial Narrow" w:cs="Calibri"/>
                <w:b/>
                <w:bCs/>
                <w:sz w:val="20"/>
                <w:szCs w:val="20"/>
              </w:rPr>
            </w:pPr>
            <w:r w:rsidRPr="004621CB">
              <w:rPr>
                <w:rFonts w:ascii="Arial Narrow" w:eastAsia="Times New Roman" w:hAnsi="Arial Narrow" w:cs="Calibri"/>
                <w:bCs/>
                <w:sz w:val="20"/>
                <w:szCs w:val="20"/>
              </w:rPr>
              <w:t>0</w:t>
            </w:r>
          </w:p>
        </w:tc>
        <w:tc>
          <w:tcPr>
            <w:tcW w:w="858" w:type="pct"/>
            <w:tcBorders>
              <w:right w:val="single" w:sz="4" w:space="0" w:color="auto"/>
            </w:tcBorders>
          </w:tcPr>
          <w:p w:rsidR="00095E93" w:rsidRPr="004621CB" w:rsidRDefault="00095E93" w:rsidP="00780E71">
            <w:pPr>
              <w:keepNext/>
              <w:keepLines/>
              <w:widowControl w:val="0"/>
              <w:spacing w:before="40" w:after="40"/>
              <w:jc w:val="center"/>
              <w:rPr>
                <w:rFonts w:ascii="Arial Narrow" w:eastAsia="Times New Roman" w:hAnsi="Arial Narrow" w:cs="Calibri"/>
                <w:bCs/>
                <w:sz w:val="20"/>
                <w:szCs w:val="20"/>
              </w:rPr>
            </w:pPr>
            <w:r w:rsidRPr="004621CB">
              <w:rPr>
                <w:rFonts w:ascii="Arial Narrow" w:eastAsia="Times New Roman" w:hAnsi="Arial Narrow" w:cs="Calibri"/>
                <w:bCs/>
                <w:sz w:val="20"/>
                <w:szCs w:val="20"/>
              </w:rPr>
              <w:t>NC</w:t>
            </w:r>
          </w:p>
        </w:tc>
      </w:tr>
      <w:tr w:rsidR="00095E93" w:rsidRPr="00835C91" w:rsidTr="00095E93">
        <w:tc>
          <w:tcPr>
            <w:tcW w:w="1045" w:type="pct"/>
            <w:tcBorders>
              <w:left w:val="single" w:sz="4" w:space="0" w:color="auto"/>
              <w:right w:val="single" w:sz="4" w:space="0" w:color="auto"/>
            </w:tcBorders>
          </w:tcPr>
          <w:p w:rsidR="00095E93" w:rsidRPr="004621CB" w:rsidRDefault="00095E93" w:rsidP="00095E93">
            <w:pPr>
              <w:keepNext/>
              <w:keepLines/>
              <w:widowControl w:val="0"/>
              <w:spacing w:before="40" w:after="40"/>
              <w:ind w:left="284"/>
              <w:jc w:val="left"/>
              <w:rPr>
                <w:rFonts w:ascii="Arial Narrow" w:eastAsia="Times New Roman" w:hAnsi="Arial Narrow" w:cs="Calibri"/>
                <w:bCs/>
                <w:sz w:val="20"/>
                <w:szCs w:val="20"/>
              </w:rPr>
            </w:pPr>
            <w:r w:rsidRPr="004621CB">
              <w:rPr>
                <w:rFonts w:ascii="Arial Narrow" w:eastAsia="Times New Roman" w:hAnsi="Arial Narrow" w:cs="Calibri"/>
                <w:bCs/>
                <w:sz w:val="20"/>
                <w:szCs w:val="20"/>
              </w:rPr>
              <w:t>Related Grade 3-4 AE</w:t>
            </w:r>
          </w:p>
        </w:tc>
        <w:tc>
          <w:tcPr>
            <w:tcW w:w="564" w:type="pct"/>
            <w:tcBorders>
              <w:left w:val="nil"/>
              <w:right w:val="single" w:sz="4" w:space="0" w:color="auto"/>
            </w:tcBorders>
          </w:tcPr>
          <w:p w:rsidR="00095E93" w:rsidRPr="004621CB" w:rsidRDefault="00095E93" w:rsidP="00780E71">
            <w:pPr>
              <w:keepNext/>
              <w:keepLines/>
              <w:widowControl w:val="0"/>
              <w:spacing w:before="40" w:after="40"/>
              <w:jc w:val="center"/>
              <w:rPr>
                <w:rFonts w:ascii="Arial Narrow" w:eastAsia="Times New Roman" w:hAnsi="Arial Narrow" w:cs="Calibri"/>
                <w:bCs/>
                <w:sz w:val="20"/>
                <w:szCs w:val="20"/>
              </w:rPr>
            </w:pPr>
            <w:r w:rsidRPr="004621CB">
              <w:rPr>
                <w:rFonts w:ascii="Arial Narrow" w:eastAsia="Times New Roman" w:hAnsi="Arial Narrow" w:cs="Calibri"/>
                <w:bCs/>
                <w:sz w:val="20"/>
                <w:szCs w:val="20"/>
              </w:rPr>
              <w:t>179 (39.6)</w:t>
            </w:r>
          </w:p>
        </w:tc>
        <w:tc>
          <w:tcPr>
            <w:tcW w:w="585" w:type="pct"/>
            <w:tcBorders>
              <w:left w:val="nil"/>
              <w:right w:val="single" w:sz="4" w:space="0" w:color="auto"/>
            </w:tcBorders>
          </w:tcPr>
          <w:p w:rsidR="00095E93" w:rsidRPr="004621CB" w:rsidRDefault="00095E93" w:rsidP="00780E71">
            <w:pPr>
              <w:keepNext/>
              <w:keepLines/>
              <w:widowControl w:val="0"/>
              <w:spacing w:before="40" w:after="40"/>
              <w:jc w:val="center"/>
              <w:rPr>
                <w:rFonts w:ascii="Arial Narrow" w:eastAsia="Times New Roman" w:hAnsi="Arial Narrow" w:cs="Calibri"/>
                <w:bCs/>
                <w:sz w:val="20"/>
                <w:szCs w:val="20"/>
              </w:rPr>
            </w:pPr>
            <w:r w:rsidRPr="004621CB">
              <w:rPr>
                <w:rFonts w:ascii="Arial Narrow" w:eastAsia="Times New Roman" w:hAnsi="Arial Narrow" w:cs="Calibri"/>
                <w:bCs/>
                <w:sz w:val="20"/>
                <w:szCs w:val="20"/>
              </w:rPr>
              <w:t>132 (30.1)</w:t>
            </w:r>
          </w:p>
        </w:tc>
        <w:tc>
          <w:tcPr>
            <w:tcW w:w="786" w:type="pct"/>
            <w:tcBorders>
              <w:left w:val="single" w:sz="4" w:space="0" w:color="auto"/>
              <w:right w:val="single" w:sz="4" w:space="0" w:color="auto"/>
            </w:tcBorders>
          </w:tcPr>
          <w:p w:rsidR="00095E93" w:rsidRPr="004621CB" w:rsidRDefault="00095E93" w:rsidP="00780E71">
            <w:pPr>
              <w:keepNext/>
              <w:keepLines/>
              <w:widowControl w:val="0"/>
              <w:spacing w:before="40" w:after="40"/>
              <w:jc w:val="center"/>
              <w:rPr>
                <w:rFonts w:ascii="Arial Narrow" w:eastAsia="Times New Roman" w:hAnsi="Arial Narrow" w:cs="Calibri"/>
                <w:b/>
                <w:bCs/>
                <w:sz w:val="20"/>
                <w:szCs w:val="20"/>
              </w:rPr>
            </w:pPr>
            <w:r w:rsidRPr="004621CB">
              <w:rPr>
                <w:rFonts w:ascii="Arial Narrow" w:eastAsia="Times New Roman" w:hAnsi="Arial Narrow" w:cs="Calibri"/>
                <w:b/>
                <w:bCs/>
                <w:sz w:val="20"/>
                <w:szCs w:val="20"/>
              </w:rPr>
              <w:t>1.31 (1.09, 1.58)</w:t>
            </w:r>
          </w:p>
        </w:tc>
        <w:tc>
          <w:tcPr>
            <w:tcW w:w="569" w:type="pct"/>
            <w:tcBorders>
              <w:left w:val="single" w:sz="4" w:space="0" w:color="auto"/>
              <w:right w:val="single" w:sz="4" w:space="0" w:color="auto"/>
            </w:tcBorders>
          </w:tcPr>
          <w:p w:rsidR="00095E93" w:rsidRPr="004621CB" w:rsidRDefault="00095E93" w:rsidP="00780E71">
            <w:pPr>
              <w:keepNext/>
              <w:keepLines/>
              <w:widowControl w:val="0"/>
              <w:spacing w:before="40" w:after="40"/>
              <w:jc w:val="center"/>
              <w:rPr>
                <w:rFonts w:ascii="Arial Narrow" w:eastAsia="Times New Roman" w:hAnsi="Arial Narrow" w:cs="Calibri"/>
                <w:b/>
                <w:bCs/>
                <w:sz w:val="20"/>
                <w:szCs w:val="20"/>
              </w:rPr>
            </w:pPr>
            <w:r w:rsidRPr="004621CB">
              <w:rPr>
                <w:rFonts w:ascii="Arial Narrow" w:eastAsia="Times New Roman" w:hAnsi="Arial Narrow" w:cs="Calibri"/>
                <w:bCs/>
                <w:sz w:val="20"/>
                <w:szCs w:val="20"/>
              </w:rPr>
              <w:t>95 (51.4)</w:t>
            </w:r>
          </w:p>
        </w:tc>
        <w:tc>
          <w:tcPr>
            <w:tcW w:w="593" w:type="pct"/>
            <w:tcBorders>
              <w:left w:val="single" w:sz="4" w:space="0" w:color="auto"/>
              <w:right w:val="single" w:sz="4" w:space="0" w:color="auto"/>
            </w:tcBorders>
          </w:tcPr>
          <w:p w:rsidR="00095E93" w:rsidRPr="004621CB" w:rsidRDefault="00095E93" w:rsidP="00780E71">
            <w:pPr>
              <w:keepNext/>
              <w:keepLines/>
              <w:widowControl w:val="0"/>
              <w:spacing w:before="40" w:after="40"/>
              <w:jc w:val="center"/>
              <w:rPr>
                <w:rFonts w:ascii="Arial Narrow" w:eastAsia="Times New Roman" w:hAnsi="Arial Narrow" w:cs="Calibri"/>
                <w:b/>
                <w:bCs/>
                <w:sz w:val="20"/>
                <w:szCs w:val="20"/>
              </w:rPr>
            </w:pPr>
            <w:r w:rsidRPr="004621CB">
              <w:rPr>
                <w:rFonts w:ascii="Arial Narrow" w:eastAsia="Times New Roman" w:hAnsi="Arial Narrow" w:cs="Calibri"/>
                <w:bCs/>
                <w:sz w:val="20"/>
                <w:szCs w:val="20"/>
              </w:rPr>
              <w:t>72 (39.8)</w:t>
            </w:r>
          </w:p>
        </w:tc>
        <w:tc>
          <w:tcPr>
            <w:tcW w:w="858" w:type="pct"/>
            <w:tcBorders>
              <w:left w:val="single" w:sz="4" w:space="0" w:color="auto"/>
              <w:right w:val="single" w:sz="4" w:space="0" w:color="auto"/>
            </w:tcBorders>
          </w:tcPr>
          <w:p w:rsidR="00095E93" w:rsidRPr="004621CB" w:rsidRDefault="00095E93" w:rsidP="00780E71">
            <w:pPr>
              <w:keepNext/>
              <w:keepLines/>
              <w:widowControl w:val="0"/>
              <w:spacing w:before="40" w:after="40"/>
              <w:jc w:val="center"/>
              <w:rPr>
                <w:rFonts w:ascii="Arial Narrow" w:eastAsia="Times New Roman" w:hAnsi="Arial Narrow" w:cs="Calibri"/>
                <w:b/>
                <w:bCs/>
                <w:sz w:val="20"/>
                <w:szCs w:val="20"/>
              </w:rPr>
            </w:pPr>
            <w:r w:rsidRPr="004621CB">
              <w:rPr>
                <w:rFonts w:ascii="Arial Narrow" w:eastAsia="Times New Roman" w:hAnsi="Arial Narrow" w:cs="Calibri"/>
                <w:b/>
                <w:bCs/>
                <w:sz w:val="20"/>
                <w:szCs w:val="20"/>
              </w:rPr>
              <w:t>1.29 (1.03, 1.62)</w:t>
            </w:r>
          </w:p>
        </w:tc>
      </w:tr>
      <w:tr w:rsidR="00095E93" w:rsidRPr="00835C91" w:rsidTr="00095E93">
        <w:tc>
          <w:tcPr>
            <w:tcW w:w="1045" w:type="pct"/>
            <w:tcBorders>
              <w:left w:val="single" w:sz="4" w:space="0" w:color="auto"/>
              <w:right w:val="single" w:sz="4" w:space="0" w:color="auto"/>
            </w:tcBorders>
          </w:tcPr>
          <w:p w:rsidR="00095E93" w:rsidRPr="004621CB" w:rsidRDefault="00095E93" w:rsidP="00095E93">
            <w:pPr>
              <w:keepNext/>
              <w:keepLines/>
              <w:widowControl w:val="0"/>
              <w:spacing w:before="40" w:after="40"/>
              <w:jc w:val="left"/>
              <w:rPr>
                <w:rFonts w:ascii="Arial Narrow" w:eastAsia="Times New Roman" w:hAnsi="Arial Narrow" w:cs="Calibri"/>
                <w:bCs/>
                <w:sz w:val="20"/>
                <w:szCs w:val="20"/>
              </w:rPr>
            </w:pPr>
            <w:r w:rsidRPr="004621CB">
              <w:rPr>
                <w:rFonts w:ascii="Arial Narrow" w:eastAsia="Times New Roman" w:hAnsi="Arial Narrow" w:cs="Calibri"/>
                <w:bCs/>
                <w:sz w:val="20"/>
                <w:szCs w:val="20"/>
              </w:rPr>
              <w:t>SAE</w:t>
            </w:r>
          </w:p>
        </w:tc>
        <w:tc>
          <w:tcPr>
            <w:tcW w:w="564" w:type="pct"/>
            <w:tcBorders>
              <w:left w:val="nil"/>
              <w:right w:val="single" w:sz="4" w:space="0" w:color="auto"/>
            </w:tcBorders>
          </w:tcPr>
          <w:p w:rsidR="00095E93" w:rsidRPr="004621CB" w:rsidRDefault="00095E93" w:rsidP="00780E71">
            <w:pPr>
              <w:keepNext/>
              <w:keepLines/>
              <w:widowControl w:val="0"/>
              <w:spacing w:before="40" w:after="40"/>
              <w:jc w:val="center"/>
              <w:rPr>
                <w:rFonts w:ascii="Arial Narrow" w:eastAsia="Times New Roman" w:hAnsi="Arial Narrow" w:cs="Calibri"/>
                <w:bCs/>
                <w:sz w:val="20"/>
                <w:szCs w:val="20"/>
              </w:rPr>
            </w:pPr>
            <w:r w:rsidRPr="004621CB">
              <w:rPr>
                <w:rFonts w:ascii="Arial Narrow" w:eastAsia="Times New Roman" w:hAnsi="Arial Narrow" w:cs="Calibri"/>
                <w:bCs/>
                <w:sz w:val="20"/>
                <w:szCs w:val="20"/>
              </w:rPr>
              <w:t>103 (22.8)</w:t>
            </w:r>
          </w:p>
        </w:tc>
        <w:tc>
          <w:tcPr>
            <w:tcW w:w="585" w:type="pct"/>
            <w:tcBorders>
              <w:left w:val="nil"/>
              <w:right w:val="single" w:sz="4" w:space="0" w:color="auto"/>
            </w:tcBorders>
          </w:tcPr>
          <w:p w:rsidR="00095E93" w:rsidRPr="004621CB" w:rsidRDefault="00095E93" w:rsidP="00780E71">
            <w:pPr>
              <w:keepNext/>
              <w:keepLines/>
              <w:widowControl w:val="0"/>
              <w:spacing w:before="40" w:after="40"/>
              <w:jc w:val="center"/>
              <w:rPr>
                <w:rFonts w:ascii="Arial Narrow" w:eastAsia="Times New Roman" w:hAnsi="Arial Narrow" w:cs="Calibri"/>
                <w:bCs/>
                <w:sz w:val="20"/>
                <w:szCs w:val="20"/>
              </w:rPr>
            </w:pPr>
            <w:r w:rsidRPr="004621CB">
              <w:rPr>
                <w:rFonts w:ascii="Arial Narrow" w:eastAsia="Times New Roman" w:hAnsi="Arial Narrow" w:cs="Calibri"/>
                <w:bCs/>
                <w:sz w:val="20"/>
                <w:szCs w:val="20"/>
              </w:rPr>
              <w:t>80 (18.3)</w:t>
            </w:r>
          </w:p>
        </w:tc>
        <w:tc>
          <w:tcPr>
            <w:tcW w:w="786" w:type="pct"/>
            <w:tcBorders>
              <w:left w:val="single" w:sz="4" w:space="0" w:color="auto"/>
              <w:right w:val="single" w:sz="4" w:space="0" w:color="auto"/>
            </w:tcBorders>
          </w:tcPr>
          <w:p w:rsidR="00095E93" w:rsidRPr="004621CB" w:rsidRDefault="00095E93" w:rsidP="00780E71">
            <w:pPr>
              <w:keepNext/>
              <w:keepLines/>
              <w:widowControl w:val="0"/>
              <w:spacing w:before="40" w:after="40"/>
              <w:jc w:val="center"/>
              <w:rPr>
                <w:rFonts w:ascii="Arial Narrow" w:eastAsia="Times New Roman" w:hAnsi="Arial Narrow" w:cs="Calibri"/>
                <w:bCs/>
                <w:sz w:val="20"/>
                <w:szCs w:val="20"/>
              </w:rPr>
            </w:pPr>
            <w:r w:rsidRPr="004621CB">
              <w:rPr>
                <w:rFonts w:ascii="Arial Narrow" w:eastAsia="Times New Roman" w:hAnsi="Arial Narrow" w:cs="Calibri"/>
                <w:bCs/>
                <w:sz w:val="20"/>
                <w:szCs w:val="20"/>
              </w:rPr>
              <w:t>1.25 (0.96, 1.62)</w:t>
            </w:r>
          </w:p>
        </w:tc>
        <w:tc>
          <w:tcPr>
            <w:tcW w:w="569" w:type="pct"/>
            <w:tcBorders>
              <w:left w:val="single" w:sz="4" w:space="0" w:color="auto"/>
              <w:right w:val="single" w:sz="4" w:space="0" w:color="auto"/>
            </w:tcBorders>
          </w:tcPr>
          <w:p w:rsidR="00095E93" w:rsidRPr="004621CB" w:rsidRDefault="00095E93" w:rsidP="00780E71">
            <w:pPr>
              <w:keepNext/>
              <w:keepLines/>
              <w:widowControl w:val="0"/>
              <w:spacing w:before="40" w:after="40"/>
              <w:jc w:val="center"/>
              <w:rPr>
                <w:rFonts w:ascii="Arial Narrow" w:eastAsia="Times New Roman" w:hAnsi="Arial Narrow" w:cs="Calibri"/>
                <w:bCs/>
                <w:sz w:val="20"/>
                <w:szCs w:val="20"/>
              </w:rPr>
            </w:pPr>
            <w:r w:rsidRPr="004621CB">
              <w:rPr>
                <w:rFonts w:ascii="Arial Narrow" w:eastAsia="Times New Roman" w:hAnsi="Arial Narrow" w:cs="Calibri"/>
                <w:bCs/>
                <w:sz w:val="20"/>
                <w:szCs w:val="20"/>
              </w:rPr>
              <w:t>76 (41.1)</w:t>
            </w:r>
          </w:p>
        </w:tc>
        <w:tc>
          <w:tcPr>
            <w:tcW w:w="593" w:type="pct"/>
            <w:tcBorders>
              <w:left w:val="single" w:sz="4" w:space="0" w:color="auto"/>
              <w:right w:val="single" w:sz="4" w:space="0" w:color="auto"/>
            </w:tcBorders>
          </w:tcPr>
          <w:p w:rsidR="00095E93" w:rsidRPr="004621CB" w:rsidRDefault="00095E93" w:rsidP="00780E71">
            <w:pPr>
              <w:keepNext/>
              <w:keepLines/>
              <w:widowControl w:val="0"/>
              <w:spacing w:before="40" w:after="40"/>
              <w:jc w:val="center"/>
              <w:rPr>
                <w:rFonts w:ascii="Arial Narrow" w:eastAsia="Times New Roman" w:hAnsi="Arial Narrow" w:cs="Calibri"/>
                <w:bCs/>
                <w:sz w:val="20"/>
                <w:szCs w:val="20"/>
              </w:rPr>
            </w:pPr>
            <w:r w:rsidRPr="004621CB">
              <w:rPr>
                <w:rFonts w:ascii="Arial Narrow" w:eastAsia="Times New Roman" w:hAnsi="Arial Narrow" w:cs="Calibri"/>
                <w:bCs/>
                <w:sz w:val="20"/>
                <w:szCs w:val="20"/>
              </w:rPr>
              <w:t>49 (27.1)</w:t>
            </w:r>
          </w:p>
        </w:tc>
        <w:tc>
          <w:tcPr>
            <w:tcW w:w="858" w:type="pct"/>
            <w:tcBorders>
              <w:left w:val="single" w:sz="4" w:space="0" w:color="auto"/>
              <w:right w:val="single" w:sz="4" w:space="0" w:color="auto"/>
            </w:tcBorders>
          </w:tcPr>
          <w:p w:rsidR="00095E93" w:rsidRPr="004621CB" w:rsidRDefault="00095E93" w:rsidP="00780E71">
            <w:pPr>
              <w:keepNext/>
              <w:keepLines/>
              <w:widowControl w:val="0"/>
              <w:spacing w:before="40" w:after="40"/>
              <w:jc w:val="center"/>
              <w:rPr>
                <w:rFonts w:ascii="Arial Narrow" w:eastAsia="Times New Roman" w:hAnsi="Arial Narrow" w:cs="Calibri"/>
                <w:b/>
                <w:bCs/>
                <w:sz w:val="20"/>
                <w:szCs w:val="20"/>
              </w:rPr>
            </w:pPr>
            <w:r w:rsidRPr="004621CB">
              <w:rPr>
                <w:rFonts w:ascii="Arial Narrow" w:eastAsia="Times New Roman" w:hAnsi="Arial Narrow" w:cs="Calibri"/>
                <w:b/>
                <w:bCs/>
                <w:sz w:val="20"/>
                <w:szCs w:val="20"/>
              </w:rPr>
              <w:t>1.52 (1.13, 2.04)</w:t>
            </w:r>
          </w:p>
        </w:tc>
      </w:tr>
      <w:tr w:rsidR="00095E93" w:rsidRPr="00835C91" w:rsidTr="00095E93">
        <w:tc>
          <w:tcPr>
            <w:tcW w:w="1045" w:type="pct"/>
            <w:tcBorders>
              <w:left w:val="single" w:sz="4" w:space="0" w:color="auto"/>
              <w:right w:val="single" w:sz="4" w:space="0" w:color="auto"/>
            </w:tcBorders>
          </w:tcPr>
          <w:p w:rsidR="00095E93" w:rsidRPr="004621CB" w:rsidRDefault="00095E93" w:rsidP="00095E93">
            <w:pPr>
              <w:keepNext/>
              <w:keepLines/>
              <w:widowControl w:val="0"/>
              <w:spacing w:before="40" w:after="40"/>
              <w:ind w:left="284"/>
              <w:jc w:val="left"/>
              <w:rPr>
                <w:rFonts w:ascii="Arial Narrow" w:eastAsia="Times New Roman" w:hAnsi="Arial Narrow" w:cs="Calibri"/>
                <w:bCs/>
                <w:sz w:val="20"/>
                <w:szCs w:val="20"/>
              </w:rPr>
            </w:pPr>
            <w:r w:rsidRPr="004621CB">
              <w:rPr>
                <w:rFonts w:ascii="Arial Narrow" w:eastAsia="Times New Roman" w:hAnsi="Arial Narrow" w:cs="Calibri"/>
                <w:bCs/>
                <w:sz w:val="20"/>
                <w:szCs w:val="20"/>
              </w:rPr>
              <w:t>Related SAE</w:t>
            </w:r>
          </w:p>
        </w:tc>
        <w:tc>
          <w:tcPr>
            <w:tcW w:w="564" w:type="pct"/>
            <w:tcBorders>
              <w:left w:val="nil"/>
              <w:right w:val="single" w:sz="4" w:space="0" w:color="auto"/>
            </w:tcBorders>
          </w:tcPr>
          <w:p w:rsidR="00095E93" w:rsidRPr="004621CB" w:rsidRDefault="00095E93" w:rsidP="00780E71">
            <w:pPr>
              <w:keepNext/>
              <w:keepLines/>
              <w:widowControl w:val="0"/>
              <w:spacing w:before="40" w:after="40"/>
              <w:jc w:val="center"/>
              <w:rPr>
                <w:rFonts w:ascii="Arial Narrow" w:eastAsia="Times New Roman" w:hAnsi="Arial Narrow" w:cs="Calibri"/>
                <w:bCs/>
                <w:sz w:val="20"/>
                <w:szCs w:val="20"/>
              </w:rPr>
            </w:pPr>
            <w:r w:rsidRPr="004621CB">
              <w:rPr>
                <w:rFonts w:ascii="Arial Narrow" w:eastAsia="Times New Roman" w:hAnsi="Arial Narrow" w:cs="Calibri"/>
                <w:bCs/>
                <w:sz w:val="20"/>
                <w:szCs w:val="20"/>
              </w:rPr>
              <w:t>56 (12.4)</w:t>
            </w:r>
          </w:p>
        </w:tc>
        <w:tc>
          <w:tcPr>
            <w:tcW w:w="585" w:type="pct"/>
            <w:tcBorders>
              <w:left w:val="nil"/>
              <w:right w:val="single" w:sz="4" w:space="0" w:color="auto"/>
            </w:tcBorders>
          </w:tcPr>
          <w:p w:rsidR="00095E93" w:rsidRPr="004621CB" w:rsidRDefault="00095E93" w:rsidP="00780E71">
            <w:pPr>
              <w:keepNext/>
              <w:keepLines/>
              <w:widowControl w:val="0"/>
              <w:spacing w:before="40" w:after="40"/>
              <w:jc w:val="center"/>
              <w:rPr>
                <w:rFonts w:ascii="Arial Narrow" w:eastAsia="Times New Roman" w:hAnsi="Arial Narrow" w:cs="Calibri"/>
                <w:bCs/>
                <w:sz w:val="20"/>
                <w:szCs w:val="20"/>
              </w:rPr>
            </w:pPr>
            <w:r w:rsidRPr="004621CB">
              <w:rPr>
                <w:rFonts w:ascii="Arial Narrow" w:eastAsia="Times New Roman" w:hAnsi="Arial Narrow" w:cs="Calibri"/>
                <w:bCs/>
                <w:sz w:val="20"/>
                <w:szCs w:val="20"/>
              </w:rPr>
              <w:t>32 (7.3)</w:t>
            </w:r>
          </w:p>
        </w:tc>
        <w:tc>
          <w:tcPr>
            <w:tcW w:w="786" w:type="pct"/>
            <w:tcBorders>
              <w:left w:val="single" w:sz="4" w:space="0" w:color="auto"/>
              <w:right w:val="single" w:sz="4" w:space="0" w:color="auto"/>
            </w:tcBorders>
          </w:tcPr>
          <w:p w:rsidR="00095E93" w:rsidRPr="004621CB" w:rsidRDefault="00095E93" w:rsidP="00780E71">
            <w:pPr>
              <w:keepNext/>
              <w:keepLines/>
              <w:widowControl w:val="0"/>
              <w:spacing w:before="40" w:after="40"/>
              <w:jc w:val="center"/>
              <w:rPr>
                <w:rFonts w:ascii="Arial Narrow" w:eastAsia="Times New Roman" w:hAnsi="Arial Narrow" w:cs="Calibri"/>
                <w:b/>
                <w:bCs/>
                <w:sz w:val="20"/>
                <w:szCs w:val="20"/>
              </w:rPr>
            </w:pPr>
            <w:r w:rsidRPr="004621CB">
              <w:rPr>
                <w:rFonts w:ascii="Arial Narrow" w:eastAsia="Times New Roman" w:hAnsi="Arial Narrow" w:cs="Calibri"/>
                <w:b/>
                <w:bCs/>
                <w:sz w:val="20"/>
                <w:szCs w:val="20"/>
              </w:rPr>
              <w:t>1.70 (1.12, 2.57)</w:t>
            </w:r>
          </w:p>
        </w:tc>
        <w:tc>
          <w:tcPr>
            <w:tcW w:w="569" w:type="pct"/>
            <w:tcBorders>
              <w:left w:val="single" w:sz="4" w:space="0" w:color="auto"/>
              <w:right w:val="single" w:sz="4" w:space="0" w:color="auto"/>
            </w:tcBorders>
          </w:tcPr>
          <w:p w:rsidR="00095E93" w:rsidRPr="004621CB" w:rsidRDefault="00095E93" w:rsidP="00780E71">
            <w:pPr>
              <w:keepNext/>
              <w:keepLines/>
              <w:widowControl w:val="0"/>
              <w:spacing w:before="40" w:after="40"/>
              <w:jc w:val="center"/>
              <w:rPr>
                <w:rFonts w:ascii="Arial Narrow" w:eastAsia="Times New Roman" w:hAnsi="Arial Narrow" w:cs="Calibri"/>
                <w:b/>
                <w:bCs/>
                <w:sz w:val="20"/>
                <w:szCs w:val="20"/>
              </w:rPr>
            </w:pPr>
            <w:r w:rsidRPr="004621CB">
              <w:rPr>
                <w:rFonts w:ascii="Arial Narrow" w:eastAsia="Times New Roman" w:hAnsi="Arial Narrow" w:cs="Calibri"/>
                <w:bCs/>
                <w:sz w:val="20"/>
                <w:szCs w:val="20"/>
              </w:rPr>
              <w:t>42 (22.7)</w:t>
            </w:r>
          </w:p>
        </w:tc>
        <w:tc>
          <w:tcPr>
            <w:tcW w:w="593" w:type="pct"/>
            <w:tcBorders>
              <w:left w:val="single" w:sz="4" w:space="0" w:color="auto"/>
              <w:right w:val="single" w:sz="4" w:space="0" w:color="auto"/>
            </w:tcBorders>
          </w:tcPr>
          <w:p w:rsidR="00095E93" w:rsidRPr="004621CB" w:rsidRDefault="00095E93" w:rsidP="00780E71">
            <w:pPr>
              <w:keepNext/>
              <w:keepLines/>
              <w:widowControl w:val="0"/>
              <w:spacing w:before="40" w:after="40"/>
              <w:jc w:val="center"/>
              <w:rPr>
                <w:rFonts w:ascii="Arial Narrow" w:eastAsia="Times New Roman" w:hAnsi="Arial Narrow" w:cs="Calibri"/>
                <w:b/>
                <w:bCs/>
                <w:sz w:val="20"/>
                <w:szCs w:val="20"/>
              </w:rPr>
            </w:pPr>
            <w:r w:rsidRPr="004621CB">
              <w:rPr>
                <w:rFonts w:ascii="Arial Narrow" w:eastAsia="Times New Roman" w:hAnsi="Arial Narrow" w:cs="Calibri"/>
                <w:bCs/>
                <w:sz w:val="20"/>
                <w:szCs w:val="20"/>
              </w:rPr>
              <w:t>31 (17.1)</w:t>
            </w:r>
          </w:p>
        </w:tc>
        <w:tc>
          <w:tcPr>
            <w:tcW w:w="858" w:type="pct"/>
            <w:tcBorders>
              <w:left w:val="single" w:sz="4" w:space="0" w:color="auto"/>
              <w:right w:val="single" w:sz="4" w:space="0" w:color="auto"/>
            </w:tcBorders>
          </w:tcPr>
          <w:p w:rsidR="00095E93" w:rsidRPr="004621CB" w:rsidRDefault="00095E93" w:rsidP="00780E71">
            <w:pPr>
              <w:keepNext/>
              <w:keepLines/>
              <w:widowControl w:val="0"/>
              <w:spacing w:before="40" w:after="40"/>
              <w:jc w:val="center"/>
              <w:rPr>
                <w:rFonts w:ascii="Arial Narrow" w:eastAsia="Times New Roman" w:hAnsi="Arial Narrow" w:cs="Calibri"/>
                <w:bCs/>
                <w:sz w:val="20"/>
                <w:szCs w:val="20"/>
              </w:rPr>
            </w:pPr>
            <w:r w:rsidRPr="004621CB">
              <w:rPr>
                <w:rFonts w:ascii="Arial Narrow" w:eastAsia="Times New Roman" w:hAnsi="Arial Narrow" w:cs="Calibri"/>
                <w:bCs/>
                <w:sz w:val="20"/>
                <w:szCs w:val="20"/>
              </w:rPr>
              <w:t>1.33 (0.87, 2.01)</w:t>
            </w:r>
          </w:p>
        </w:tc>
      </w:tr>
      <w:tr w:rsidR="00095E93" w:rsidRPr="00835C91" w:rsidTr="00095E93">
        <w:tc>
          <w:tcPr>
            <w:tcW w:w="1045" w:type="pct"/>
            <w:tcBorders>
              <w:left w:val="single" w:sz="4" w:space="0" w:color="auto"/>
              <w:right w:val="single" w:sz="4" w:space="0" w:color="auto"/>
            </w:tcBorders>
          </w:tcPr>
          <w:p w:rsidR="00095E93" w:rsidRPr="004621CB" w:rsidRDefault="00095E93" w:rsidP="00095E93">
            <w:pPr>
              <w:keepNext/>
              <w:keepLines/>
              <w:widowControl w:val="0"/>
              <w:spacing w:before="40" w:after="40"/>
              <w:jc w:val="left"/>
              <w:rPr>
                <w:rFonts w:ascii="Arial Narrow" w:eastAsia="Times New Roman" w:hAnsi="Arial Narrow" w:cs="Calibri"/>
                <w:bCs/>
                <w:sz w:val="20"/>
                <w:szCs w:val="20"/>
              </w:rPr>
            </w:pPr>
            <w:r w:rsidRPr="004621CB">
              <w:rPr>
                <w:rFonts w:ascii="Arial Narrow" w:eastAsia="Times New Roman" w:hAnsi="Arial Narrow" w:cs="Calibri"/>
                <w:bCs/>
                <w:sz w:val="20"/>
                <w:szCs w:val="20"/>
              </w:rPr>
              <w:t>AE leading to discontinuation of any study treatment</w:t>
            </w:r>
          </w:p>
        </w:tc>
        <w:tc>
          <w:tcPr>
            <w:tcW w:w="564" w:type="pct"/>
            <w:tcBorders>
              <w:left w:val="nil"/>
              <w:right w:val="single" w:sz="4" w:space="0" w:color="auto"/>
            </w:tcBorders>
          </w:tcPr>
          <w:p w:rsidR="00095E93" w:rsidRPr="004621CB" w:rsidRDefault="00095E93" w:rsidP="00780E71">
            <w:pPr>
              <w:keepNext/>
              <w:keepLines/>
              <w:widowControl w:val="0"/>
              <w:spacing w:before="40" w:after="40"/>
              <w:jc w:val="center"/>
              <w:rPr>
                <w:rFonts w:ascii="Arial Narrow" w:eastAsia="Times New Roman" w:hAnsi="Arial Narrow" w:cs="Calibri"/>
                <w:bCs/>
                <w:sz w:val="20"/>
                <w:szCs w:val="20"/>
              </w:rPr>
            </w:pPr>
            <w:r w:rsidRPr="004621CB">
              <w:rPr>
                <w:rFonts w:ascii="Arial Narrow" w:eastAsia="Times New Roman" w:hAnsi="Arial Narrow" w:cs="Calibri"/>
                <w:bCs/>
                <w:sz w:val="20"/>
                <w:szCs w:val="20"/>
              </w:rPr>
              <w:t>72 (15.9)</w:t>
            </w:r>
          </w:p>
        </w:tc>
        <w:tc>
          <w:tcPr>
            <w:tcW w:w="585" w:type="pct"/>
            <w:tcBorders>
              <w:left w:val="nil"/>
              <w:right w:val="single" w:sz="4" w:space="0" w:color="auto"/>
            </w:tcBorders>
          </w:tcPr>
          <w:p w:rsidR="00095E93" w:rsidRPr="004621CB" w:rsidRDefault="00095E93" w:rsidP="00780E71">
            <w:pPr>
              <w:keepNext/>
              <w:keepLines/>
              <w:widowControl w:val="0"/>
              <w:spacing w:before="40" w:after="40"/>
              <w:jc w:val="center"/>
              <w:rPr>
                <w:rFonts w:ascii="Arial Narrow" w:eastAsia="Times New Roman" w:hAnsi="Arial Narrow" w:cs="Calibri"/>
                <w:bCs/>
                <w:sz w:val="20"/>
                <w:szCs w:val="20"/>
              </w:rPr>
            </w:pPr>
            <w:r w:rsidRPr="004621CB">
              <w:rPr>
                <w:rFonts w:ascii="Arial Narrow" w:eastAsia="Times New Roman" w:hAnsi="Arial Narrow" w:cs="Calibri"/>
                <w:bCs/>
                <w:sz w:val="20"/>
                <w:szCs w:val="20"/>
              </w:rPr>
              <w:t>36 (8.2)</w:t>
            </w:r>
          </w:p>
        </w:tc>
        <w:tc>
          <w:tcPr>
            <w:tcW w:w="786" w:type="pct"/>
            <w:tcBorders>
              <w:left w:val="single" w:sz="4" w:space="0" w:color="auto"/>
              <w:right w:val="single" w:sz="4" w:space="0" w:color="auto"/>
            </w:tcBorders>
          </w:tcPr>
          <w:p w:rsidR="00095E93" w:rsidRPr="004621CB" w:rsidRDefault="00095E93" w:rsidP="00780E71">
            <w:pPr>
              <w:keepNext/>
              <w:keepLines/>
              <w:widowControl w:val="0"/>
              <w:spacing w:before="40" w:after="40"/>
              <w:jc w:val="center"/>
              <w:rPr>
                <w:rFonts w:ascii="Arial Narrow" w:eastAsia="Times New Roman" w:hAnsi="Arial Narrow" w:cs="Calibri"/>
                <w:b/>
                <w:bCs/>
                <w:sz w:val="20"/>
                <w:szCs w:val="20"/>
              </w:rPr>
            </w:pPr>
            <w:r w:rsidRPr="004621CB">
              <w:rPr>
                <w:rFonts w:ascii="Arial Narrow" w:eastAsia="Times New Roman" w:hAnsi="Arial Narrow" w:cs="Calibri"/>
                <w:b/>
                <w:bCs/>
                <w:sz w:val="20"/>
                <w:szCs w:val="20"/>
              </w:rPr>
              <w:t>1.94 (1.33, 2.83)</w:t>
            </w:r>
          </w:p>
        </w:tc>
        <w:tc>
          <w:tcPr>
            <w:tcW w:w="569" w:type="pct"/>
            <w:tcBorders>
              <w:left w:val="single" w:sz="4" w:space="0" w:color="auto"/>
              <w:right w:val="single" w:sz="4" w:space="0" w:color="auto"/>
            </w:tcBorders>
          </w:tcPr>
          <w:p w:rsidR="00095E93" w:rsidRPr="004621CB" w:rsidRDefault="00095E93" w:rsidP="00780E71">
            <w:pPr>
              <w:keepNext/>
              <w:keepLines/>
              <w:widowControl w:val="0"/>
              <w:spacing w:before="40" w:after="40"/>
              <w:jc w:val="center"/>
              <w:rPr>
                <w:rFonts w:ascii="Arial Narrow" w:eastAsia="Times New Roman" w:hAnsi="Arial Narrow" w:cs="Calibri"/>
                <w:b/>
                <w:bCs/>
                <w:sz w:val="20"/>
                <w:szCs w:val="20"/>
              </w:rPr>
            </w:pPr>
            <w:r w:rsidRPr="004621CB">
              <w:rPr>
                <w:rFonts w:ascii="Arial Narrow" w:eastAsia="Times New Roman" w:hAnsi="Arial Narrow" w:cs="Calibri"/>
                <w:bCs/>
                <w:sz w:val="20"/>
                <w:szCs w:val="20"/>
              </w:rPr>
              <w:t>37 (20.0)</w:t>
            </w:r>
          </w:p>
        </w:tc>
        <w:tc>
          <w:tcPr>
            <w:tcW w:w="593" w:type="pct"/>
            <w:tcBorders>
              <w:left w:val="single" w:sz="4" w:space="0" w:color="auto"/>
              <w:right w:val="single" w:sz="4" w:space="0" w:color="auto"/>
            </w:tcBorders>
          </w:tcPr>
          <w:p w:rsidR="00095E93" w:rsidRPr="004621CB" w:rsidRDefault="00095E93" w:rsidP="00780E71">
            <w:pPr>
              <w:keepNext/>
              <w:keepLines/>
              <w:widowControl w:val="0"/>
              <w:spacing w:before="40" w:after="40"/>
              <w:jc w:val="center"/>
              <w:rPr>
                <w:rFonts w:ascii="Arial Narrow" w:eastAsia="Times New Roman" w:hAnsi="Arial Narrow" w:cs="Calibri"/>
                <w:b/>
                <w:bCs/>
                <w:sz w:val="20"/>
                <w:szCs w:val="20"/>
              </w:rPr>
            </w:pPr>
            <w:r w:rsidRPr="004621CB">
              <w:rPr>
                <w:rFonts w:ascii="Arial Narrow" w:eastAsia="Times New Roman" w:hAnsi="Arial Narrow" w:cs="Calibri"/>
                <w:bCs/>
                <w:sz w:val="20"/>
                <w:szCs w:val="20"/>
              </w:rPr>
              <w:t>14 (7.7)</w:t>
            </w:r>
          </w:p>
        </w:tc>
        <w:tc>
          <w:tcPr>
            <w:tcW w:w="858" w:type="pct"/>
            <w:tcBorders>
              <w:left w:val="single" w:sz="4" w:space="0" w:color="auto"/>
              <w:right w:val="single" w:sz="4" w:space="0" w:color="auto"/>
            </w:tcBorders>
          </w:tcPr>
          <w:p w:rsidR="00095E93" w:rsidRPr="004621CB" w:rsidRDefault="00095E93" w:rsidP="00780E71">
            <w:pPr>
              <w:keepNext/>
              <w:keepLines/>
              <w:widowControl w:val="0"/>
              <w:spacing w:before="40" w:after="40"/>
              <w:jc w:val="center"/>
              <w:rPr>
                <w:rFonts w:ascii="Arial Narrow" w:eastAsia="Times New Roman" w:hAnsi="Arial Narrow" w:cs="Calibri"/>
                <w:b/>
                <w:bCs/>
                <w:sz w:val="20"/>
                <w:szCs w:val="20"/>
              </w:rPr>
            </w:pPr>
            <w:r w:rsidRPr="004621CB">
              <w:rPr>
                <w:rFonts w:ascii="Arial Narrow" w:eastAsia="Times New Roman" w:hAnsi="Arial Narrow" w:cs="Calibri"/>
                <w:b/>
                <w:bCs/>
                <w:sz w:val="20"/>
                <w:szCs w:val="20"/>
              </w:rPr>
              <w:t>2.59 (1.45, 4.62)</w:t>
            </w:r>
          </w:p>
        </w:tc>
      </w:tr>
      <w:tr w:rsidR="00095E93" w:rsidRPr="00835C91" w:rsidTr="00095E93">
        <w:tc>
          <w:tcPr>
            <w:tcW w:w="1045" w:type="pct"/>
            <w:tcBorders>
              <w:left w:val="single" w:sz="4" w:space="0" w:color="auto"/>
              <w:right w:val="single" w:sz="4" w:space="0" w:color="auto"/>
            </w:tcBorders>
          </w:tcPr>
          <w:p w:rsidR="00095E93" w:rsidRPr="004621CB" w:rsidRDefault="00095E93" w:rsidP="00095E93">
            <w:pPr>
              <w:keepNext/>
              <w:keepLines/>
              <w:widowControl w:val="0"/>
              <w:spacing w:before="40" w:after="40"/>
              <w:ind w:left="284"/>
              <w:jc w:val="left"/>
              <w:rPr>
                <w:rFonts w:ascii="Arial Narrow" w:eastAsia="Times New Roman" w:hAnsi="Arial Narrow" w:cs="Calibri"/>
                <w:bCs/>
                <w:sz w:val="20"/>
                <w:szCs w:val="20"/>
              </w:rPr>
            </w:pPr>
            <w:r w:rsidRPr="00835C91">
              <w:rPr>
                <w:rFonts w:ascii="Arial Narrow" w:eastAsia="Times New Roman" w:hAnsi="Arial Narrow" w:cs="Calibri"/>
                <w:bCs/>
                <w:sz w:val="20"/>
                <w:szCs w:val="20"/>
              </w:rPr>
              <w:t>ATZ/PBO</w:t>
            </w:r>
          </w:p>
        </w:tc>
        <w:tc>
          <w:tcPr>
            <w:tcW w:w="564" w:type="pct"/>
            <w:tcBorders>
              <w:left w:val="nil"/>
              <w:right w:val="single" w:sz="4" w:space="0" w:color="auto"/>
            </w:tcBorders>
          </w:tcPr>
          <w:p w:rsidR="00095E93" w:rsidRPr="004621CB" w:rsidRDefault="00095E93" w:rsidP="00780E71">
            <w:pPr>
              <w:keepNext/>
              <w:keepLines/>
              <w:widowControl w:val="0"/>
              <w:spacing w:before="40" w:after="40"/>
              <w:jc w:val="center"/>
              <w:rPr>
                <w:rFonts w:ascii="Arial Narrow" w:eastAsia="Times New Roman" w:hAnsi="Arial Narrow" w:cs="Calibri"/>
                <w:bCs/>
                <w:sz w:val="20"/>
                <w:szCs w:val="20"/>
              </w:rPr>
            </w:pPr>
            <w:r w:rsidRPr="004621CB">
              <w:rPr>
                <w:rFonts w:ascii="Arial Narrow" w:eastAsia="Times New Roman" w:hAnsi="Arial Narrow" w:cs="Calibri"/>
                <w:bCs/>
                <w:sz w:val="20"/>
                <w:szCs w:val="20"/>
              </w:rPr>
              <w:t>29 (6.4)</w:t>
            </w:r>
          </w:p>
        </w:tc>
        <w:tc>
          <w:tcPr>
            <w:tcW w:w="585" w:type="pct"/>
            <w:tcBorders>
              <w:left w:val="nil"/>
              <w:right w:val="single" w:sz="4" w:space="0" w:color="auto"/>
            </w:tcBorders>
          </w:tcPr>
          <w:p w:rsidR="00095E93" w:rsidRPr="004621CB" w:rsidRDefault="00095E93" w:rsidP="00780E71">
            <w:pPr>
              <w:keepNext/>
              <w:keepLines/>
              <w:widowControl w:val="0"/>
              <w:spacing w:before="40" w:after="40"/>
              <w:jc w:val="center"/>
              <w:rPr>
                <w:rFonts w:ascii="Arial Narrow" w:eastAsia="Times New Roman" w:hAnsi="Arial Narrow" w:cs="Calibri"/>
                <w:bCs/>
                <w:sz w:val="20"/>
                <w:szCs w:val="20"/>
              </w:rPr>
            </w:pPr>
            <w:r w:rsidRPr="004621CB">
              <w:rPr>
                <w:rFonts w:ascii="Arial Narrow" w:eastAsia="Times New Roman" w:hAnsi="Arial Narrow" w:cs="Calibri"/>
                <w:bCs/>
                <w:sz w:val="20"/>
                <w:szCs w:val="20"/>
              </w:rPr>
              <w:t>6 (1.4)</w:t>
            </w:r>
          </w:p>
        </w:tc>
        <w:tc>
          <w:tcPr>
            <w:tcW w:w="786" w:type="pct"/>
            <w:tcBorders>
              <w:left w:val="single" w:sz="4" w:space="0" w:color="auto"/>
              <w:right w:val="single" w:sz="4" w:space="0" w:color="auto"/>
            </w:tcBorders>
          </w:tcPr>
          <w:p w:rsidR="00095E93" w:rsidRPr="004621CB" w:rsidRDefault="00095E93" w:rsidP="0084016A">
            <w:pPr>
              <w:keepNext/>
              <w:keepLines/>
              <w:widowControl w:val="0"/>
              <w:spacing w:before="40" w:after="40"/>
              <w:ind w:left="-154" w:right="-136"/>
              <w:jc w:val="center"/>
              <w:rPr>
                <w:rFonts w:ascii="Arial Narrow" w:eastAsia="Times New Roman" w:hAnsi="Arial Narrow" w:cs="Calibri"/>
                <w:b/>
                <w:bCs/>
                <w:sz w:val="20"/>
                <w:szCs w:val="20"/>
              </w:rPr>
            </w:pPr>
            <w:r w:rsidRPr="004621CB">
              <w:rPr>
                <w:rFonts w:ascii="Arial Narrow" w:eastAsia="Times New Roman" w:hAnsi="Arial Narrow" w:cs="Calibri"/>
                <w:b/>
                <w:bCs/>
                <w:sz w:val="20"/>
                <w:szCs w:val="20"/>
              </w:rPr>
              <w:t>4.68 (1.96, 11.17)</w:t>
            </w:r>
          </w:p>
        </w:tc>
        <w:tc>
          <w:tcPr>
            <w:tcW w:w="569" w:type="pct"/>
            <w:tcBorders>
              <w:left w:val="single" w:sz="4" w:space="0" w:color="auto"/>
              <w:right w:val="single" w:sz="4" w:space="0" w:color="auto"/>
            </w:tcBorders>
          </w:tcPr>
          <w:p w:rsidR="00095E93" w:rsidRPr="004621CB" w:rsidRDefault="00095E93" w:rsidP="00780E71">
            <w:pPr>
              <w:keepNext/>
              <w:keepLines/>
              <w:widowControl w:val="0"/>
              <w:spacing w:before="40" w:after="40"/>
              <w:jc w:val="center"/>
              <w:rPr>
                <w:rFonts w:ascii="Arial Narrow" w:eastAsia="Times New Roman" w:hAnsi="Arial Narrow" w:cs="Calibri"/>
                <w:b/>
                <w:bCs/>
                <w:sz w:val="20"/>
                <w:szCs w:val="20"/>
              </w:rPr>
            </w:pPr>
            <w:r w:rsidRPr="004621CB">
              <w:rPr>
                <w:rFonts w:ascii="Arial Narrow" w:eastAsia="Times New Roman" w:hAnsi="Arial Narrow" w:cs="Calibri"/>
                <w:bCs/>
                <w:sz w:val="20"/>
                <w:szCs w:val="20"/>
              </w:rPr>
              <w:t>12 (6.5)</w:t>
            </w:r>
          </w:p>
        </w:tc>
        <w:tc>
          <w:tcPr>
            <w:tcW w:w="593" w:type="pct"/>
            <w:tcBorders>
              <w:left w:val="single" w:sz="4" w:space="0" w:color="auto"/>
              <w:right w:val="single" w:sz="4" w:space="0" w:color="auto"/>
            </w:tcBorders>
          </w:tcPr>
          <w:p w:rsidR="00095E93" w:rsidRPr="004621CB" w:rsidRDefault="00095E93" w:rsidP="00780E71">
            <w:pPr>
              <w:keepNext/>
              <w:keepLines/>
              <w:widowControl w:val="0"/>
              <w:spacing w:before="40" w:after="40"/>
              <w:jc w:val="center"/>
              <w:rPr>
                <w:rFonts w:ascii="Arial Narrow" w:eastAsia="Times New Roman" w:hAnsi="Arial Narrow" w:cs="Calibri"/>
                <w:b/>
                <w:bCs/>
                <w:sz w:val="20"/>
                <w:szCs w:val="20"/>
              </w:rPr>
            </w:pPr>
            <w:r w:rsidRPr="004621CB">
              <w:rPr>
                <w:rFonts w:ascii="Arial Narrow" w:eastAsia="Times New Roman" w:hAnsi="Arial Narrow" w:cs="Calibri"/>
                <w:bCs/>
                <w:sz w:val="20"/>
                <w:szCs w:val="20"/>
              </w:rPr>
              <w:t>4 (2.2)</w:t>
            </w:r>
          </w:p>
        </w:tc>
        <w:tc>
          <w:tcPr>
            <w:tcW w:w="858" w:type="pct"/>
            <w:tcBorders>
              <w:left w:val="single" w:sz="4" w:space="0" w:color="auto"/>
              <w:right w:val="single" w:sz="4" w:space="0" w:color="auto"/>
            </w:tcBorders>
          </w:tcPr>
          <w:p w:rsidR="00095E93" w:rsidRPr="004621CB" w:rsidRDefault="00095E93" w:rsidP="00780E71">
            <w:pPr>
              <w:keepNext/>
              <w:keepLines/>
              <w:widowControl w:val="0"/>
              <w:spacing w:before="40" w:after="40"/>
              <w:jc w:val="center"/>
              <w:rPr>
                <w:rFonts w:ascii="Arial Narrow" w:eastAsia="Times New Roman" w:hAnsi="Arial Narrow" w:cs="Calibri"/>
                <w:bCs/>
                <w:sz w:val="20"/>
                <w:szCs w:val="20"/>
              </w:rPr>
            </w:pPr>
            <w:r w:rsidRPr="004621CB">
              <w:rPr>
                <w:rFonts w:ascii="Arial Narrow" w:eastAsia="Times New Roman" w:hAnsi="Arial Narrow" w:cs="Calibri"/>
                <w:bCs/>
                <w:sz w:val="20"/>
                <w:szCs w:val="20"/>
              </w:rPr>
              <w:t>2.94 (0.96, 8.93)</w:t>
            </w:r>
          </w:p>
        </w:tc>
      </w:tr>
      <w:tr w:rsidR="00095E93" w:rsidRPr="00835C91" w:rsidTr="00095E93">
        <w:tc>
          <w:tcPr>
            <w:tcW w:w="1045" w:type="pct"/>
            <w:tcBorders>
              <w:left w:val="single" w:sz="4" w:space="0" w:color="auto"/>
              <w:right w:val="single" w:sz="4" w:space="0" w:color="auto"/>
            </w:tcBorders>
          </w:tcPr>
          <w:p w:rsidR="00095E93" w:rsidRPr="004621CB" w:rsidRDefault="00095E93" w:rsidP="00095E93">
            <w:pPr>
              <w:keepNext/>
              <w:keepLines/>
              <w:widowControl w:val="0"/>
              <w:spacing w:before="40" w:after="40"/>
              <w:ind w:left="284"/>
              <w:jc w:val="left"/>
              <w:rPr>
                <w:rFonts w:ascii="Arial Narrow" w:eastAsia="Times New Roman" w:hAnsi="Arial Narrow" w:cs="Calibri"/>
                <w:bCs/>
                <w:sz w:val="20"/>
                <w:szCs w:val="20"/>
              </w:rPr>
            </w:pPr>
            <w:r w:rsidRPr="004621CB">
              <w:rPr>
                <w:rFonts w:ascii="Arial Narrow" w:eastAsia="Times New Roman" w:hAnsi="Arial Narrow" w:cs="Calibri"/>
                <w:bCs/>
                <w:sz w:val="20"/>
                <w:szCs w:val="20"/>
              </w:rPr>
              <w:t>Nab-paclitaxel</w:t>
            </w:r>
          </w:p>
        </w:tc>
        <w:tc>
          <w:tcPr>
            <w:tcW w:w="564" w:type="pct"/>
            <w:tcBorders>
              <w:left w:val="nil"/>
              <w:right w:val="single" w:sz="4" w:space="0" w:color="auto"/>
            </w:tcBorders>
          </w:tcPr>
          <w:p w:rsidR="00095E93" w:rsidRPr="004621CB" w:rsidRDefault="00095E93" w:rsidP="00780E71">
            <w:pPr>
              <w:keepNext/>
              <w:keepLines/>
              <w:widowControl w:val="0"/>
              <w:spacing w:before="40" w:after="40"/>
              <w:jc w:val="center"/>
              <w:rPr>
                <w:rFonts w:ascii="Arial Narrow" w:eastAsia="Times New Roman" w:hAnsi="Arial Narrow" w:cs="Calibri"/>
                <w:bCs/>
                <w:sz w:val="20"/>
                <w:szCs w:val="20"/>
              </w:rPr>
            </w:pPr>
            <w:r w:rsidRPr="004621CB">
              <w:rPr>
                <w:rFonts w:ascii="Arial Narrow" w:eastAsia="Times New Roman" w:hAnsi="Arial Narrow" w:cs="Calibri"/>
                <w:bCs/>
                <w:sz w:val="20"/>
                <w:szCs w:val="20"/>
              </w:rPr>
              <w:t>72 (15.9)</w:t>
            </w:r>
          </w:p>
        </w:tc>
        <w:tc>
          <w:tcPr>
            <w:tcW w:w="585" w:type="pct"/>
            <w:tcBorders>
              <w:left w:val="nil"/>
              <w:right w:val="single" w:sz="4" w:space="0" w:color="auto"/>
            </w:tcBorders>
          </w:tcPr>
          <w:p w:rsidR="00095E93" w:rsidRPr="004621CB" w:rsidRDefault="00095E93" w:rsidP="00780E71">
            <w:pPr>
              <w:keepNext/>
              <w:keepLines/>
              <w:widowControl w:val="0"/>
              <w:spacing w:before="40" w:after="40"/>
              <w:jc w:val="center"/>
              <w:rPr>
                <w:rFonts w:ascii="Arial Narrow" w:eastAsia="Times New Roman" w:hAnsi="Arial Narrow" w:cs="Calibri"/>
                <w:bCs/>
                <w:sz w:val="20"/>
                <w:szCs w:val="20"/>
              </w:rPr>
            </w:pPr>
            <w:r w:rsidRPr="004621CB">
              <w:rPr>
                <w:rFonts w:ascii="Arial Narrow" w:eastAsia="Times New Roman" w:hAnsi="Arial Narrow" w:cs="Calibri"/>
                <w:bCs/>
                <w:sz w:val="20"/>
                <w:szCs w:val="20"/>
              </w:rPr>
              <w:t>36 (8.2)</w:t>
            </w:r>
          </w:p>
        </w:tc>
        <w:tc>
          <w:tcPr>
            <w:tcW w:w="786" w:type="pct"/>
            <w:tcBorders>
              <w:left w:val="single" w:sz="4" w:space="0" w:color="auto"/>
              <w:right w:val="single" w:sz="4" w:space="0" w:color="auto"/>
            </w:tcBorders>
          </w:tcPr>
          <w:p w:rsidR="00095E93" w:rsidRPr="004621CB" w:rsidRDefault="00095E93" w:rsidP="00780E71">
            <w:pPr>
              <w:keepNext/>
              <w:keepLines/>
              <w:widowControl w:val="0"/>
              <w:spacing w:before="40" w:after="40"/>
              <w:jc w:val="center"/>
              <w:rPr>
                <w:rFonts w:ascii="Arial Narrow" w:eastAsia="Times New Roman" w:hAnsi="Arial Narrow" w:cs="Calibri"/>
                <w:b/>
                <w:bCs/>
                <w:sz w:val="20"/>
                <w:szCs w:val="20"/>
              </w:rPr>
            </w:pPr>
            <w:r w:rsidRPr="004621CB">
              <w:rPr>
                <w:rFonts w:ascii="Arial Narrow" w:eastAsia="Times New Roman" w:hAnsi="Arial Narrow" w:cs="Calibri"/>
                <w:b/>
                <w:bCs/>
                <w:sz w:val="20"/>
                <w:szCs w:val="20"/>
              </w:rPr>
              <w:t>1.94 (1.33, 2.83)</w:t>
            </w:r>
          </w:p>
        </w:tc>
        <w:tc>
          <w:tcPr>
            <w:tcW w:w="569" w:type="pct"/>
            <w:tcBorders>
              <w:left w:val="single" w:sz="4" w:space="0" w:color="auto"/>
              <w:right w:val="single" w:sz="4" w:space="0" w:color="auto"/>
            </w:tcBorders>
          </w:tcPr>
          <w:p w:rsidR="00095E93" w:rsidRPr="004621CB" w:rsidRDefault="00095E93" w:rsidP="00780E71">
            <w:pPr>
              <w:keepNext/>
              <w:keepLines/>
              <w:widowControl w:val="0"/>
              <w:spacing w:before="40" w:after="40"/>
              <w:jc w:val="center"/>
              <w:rPr>
                <w:rFonts w:ascii="Arial Narrow" w:eastAsia="Times New Roman" w:hAnsi="Arial Narrow" w:cs="Calibri"/>
                <w:b/>
                <w:bCs/>
                <w:sz w:val="20"/>
                <w:szCs w:val="20"/>
              </w:rPr>
            </w:pPr>
            <w:r w:rsidRPr="004621CB">
              <w:rPr>
                <w:rFonts w:ascii="Arial Narrow" w:eastAsia="Times New Roman" w:hAnsi="Arial Narrow" w:cs="Calibri"/>
                <w:bCs/>
                <w:sz w:val="20"/>
                <w:szCs w:val="20"/>
              </w:rPr>
              <w:t>37 (20.0)</w:t>
            </w:r>
          </w:p>
        </w:tc>
        <w:tc>
          <w:tcPr>
            <w:tcW w:w="593" w:type="pct"/>
            <w:tcBorders>
              <w:left w:val="single" w:sz="4" w:space="0" w:color="auto"/>
              <w:right w:val="single" w:sz="4" w:space="0" w:color="auto"/>
            </w:tcBorders>
          </w:tcPr>
          <w:p w:rsidR="00095E93" w:rsidRPr="004621CB" w:rsidRDefault="00095E93" w:rsidP="00780E71">
            <w:pPr>
              <w:keepNext/>
              <w:keepLines/>
              <w:widowControl w:val="0"/>
              <w:spacing w:before="40" w:after="40"/>
              <w:jc w:val="center"/>
              <w:rPr>
                <w:rFonts w:ascii="Arial Narrow" w:eastAsia="Times New Roman" w:hAnsi="Arial Narrow" w:cs="Calibri"/>
                <w:b/>
                <w:bCs/>
                <w:sz w:val="20"/>
                <w:szCs w:val="20"/>
              </w:rPr>
            </w:pPr>
            <w:r w:rsidRPr="004621CB">
              <w:rPr>
                <w:rFonts w:ascii="Arial Narrow" w:eastAsia="Times New Roman" w:hAnsi="Arial Narrow" w:cs="Calibri"/>
                <w:bCs/>
                <w:sz w:val="20"/>
                <w:szCs w:val="20"/>
              </w:rPr>
              <w:t>14 (7.7)</w:t>
            </w:r>
          </w:p>
        </w:tc>
        <w:tc>
          <w:tcPr>
            <w:tcW w:w="858" w:type="pct"/>
            <w:tcBorders>
              <w:left w:val="single" w:sz="4" w:space="0" w:color="auto"/>
              <w:right w:val="single" w:sz="4" w:space="0" w:color="auto"/>
            </w:tcBorders>
          </w:tcPr>
          <w:p w:rsidR="00095E93" w:rsidRPr="004621CB" w:rsidRDefault="00095E93" w:rsidP="00780E71">
            <w:pPr>
              <w:keepNext/>
              <w:keepLines/>
              <w:widowControl w:val="0"/>
              <w:spacing w:before="40" w:after="40"/>
              <w:jc w:val="center"/>
              <w:rPr>
                <w:rFonts w:ascii="Arial Narrow" w:eastAsia="Times New Roman" w:hAnsi="Arial Narrow" w:cs="Calibri"/>
                <w:b/>
                <w:bCs/>
                <w:sz w:val="20"/>
                <w:szCs w:val="20"/>
              </w:rPr>
            </w:pPr>
            <w:r w:rsidRPr="004621CB">
              <w:rPr>
                <w:rFonts w:ascii="Arial Narrow" w:eastAsia="Times New Roman" w:hAnsi="Arial Narrow" w:cs="Calibri"/>
                <w:b/>
                <w:bCs/>
                <w:sz w:val="20"/>
                <w:szCs w:val="20"/>
              </w:rPr>
              <w:t>2.59 (1.45, 4.62)</w:t>
            </w:r>
          </w:p>
        </w:tc>
      </w:tr>
      <w:tr w:rsidR="00095E93" w:rsidRPr="00835C91" w:rsidTr="007774B3">
        <w:tc>
          <w:tcPr>
            <w:tcW w:w="1045" w:type="pct"/>
            <w:tcBorders>
              <w:left w:val="single" w:sz="4" w:space="0" w:color="auto"/>
              <w:right w:val="single" w:sz="4" w:space="0" w:color="auto"/>
            </w:tcBorders>
          </w:tcPr>
          <w:p w:rsidR="00095E93" w:rsidRPr="004621CB" w:rsidRDefault="00095E93" w:rsidP="00095E93">
            <w:pPr>
              <w:keepNext/>
              <w:keepLines/>
              <w:widowControl w:val="0"/>
              <w:spacing w:before="40" w:after="40"/>
              <w:jc w:val="left"/>
              <w:rPr>
                <w:rFonts w:ascii="Arial Narrow" w:eastAsia="Times New Roman" w:hAnsi="Arial Narrow" w:cs="Calibri"/>
                <w:bCs/>
                <w:sz w:val="20"/>
                <w:szCs w:val="20"/>
              </w:rPr>
            </w:pPr>
            <w:r w:rsidRPr="004621CB">
              <w:rPr>
                <w:rFonts w:ascii="Arial Narrow" w:eastAsia="Times New Roman" w:hAnsi="Arial Narrow" w:cs="Calibri"/>
                <w:bCs/>
                <w:sz w:val="20"/>
                <w:szCs w:val="20"/>
              </w:rPr>
              <w:t xml:space="preserve">AE leading to any dose interruption of </w:t>
            </w:r>
            <w:r w:rsidRPr="00835C91">
              <w:rPr>
                <w:rFonts w:ascii="Arial Narrow" w:eastAsia="Times New Roman" w:hAnsi="Arial Narrow" w:cs="Calibri"/>
                <w:bCs/>
                <w:sz w:val="20"/>
                <w:szCs w:val="20"/>
              </w:rPr>
              <w:t>ATZ/PBO</w:t>
            </w:r>
          </w:p>
        </w:tc>
        <w:tc>
          <w:tcPr>
            <w:tcW w:w="564" w:type="pct"/>
            <w:tcBorders>
              <w:left w:val="nil"/>
              <w:right w:val="single" w:sz="4" w:space="0" w:color="auto"/>
            </w:tcBorders>
          </w:tcPr>
          <w:p w:rsidR="00095E93" w:rsidRPr="004621CB" w:rsidRDefault="00095E93" w:rsidP="00780E71">
            <w:pPr>
              <w:keepNext/>
              <w:keepLines/>
              <w:widowControl w:val="0"/>
              <w:spacing w:before="40" w:after="40"/>
              <w:jc w:val="center"/>
              <w:rPr>
                <w:rFonts w:ascii="Arial Narrow" w:eastAsia="Times New Roman" w:hAnsi="Arial Narrow" w:cs="Calibri"/>
                <w:bCs/>
                <w:sz w:val="20"/>
                <w:szCs w:val="20"/>
              </w:rPr>
            </w:pPr>
            <w:r w:rsidRPr="004621CB">
              <w:rPr>
                <w:rFonts w:ascii="Arial Narrow" w:eastAsia="Times New Roman" w:hAnsi="Arial Narrow" w:cs="Calibri"/>
                <w:bCs/>
                <w:sz w:val="20"/>
                <w:szCs w:val="20"/>
              </w:rPr>
              <w:t>139 (30.8)</w:t>
            </w:r>
          </w:p>
        </w:tc>
        <w:tc>
          <w:tcPr>
            <w:tcW w:w="585" w:type="pct"/>
            <w:tcBorders>
              <w:left w:val="nil"/>
              <w:right w:val="single" w:sz="4" w:space="0" w:color="auto"/>
            </w:tcBorders>
          </w:tcPr>
          <w:p w:rsidR="00095E93" w:rsidRPr="004621CB" w:rsidRDefault="00095E93" w:rsidP="00780E71">
            <w:pPr>
              <w:keepNext/>
              <w:keepLines/>
              <w:widowControl w:val="0"/>
              <w:spacing w:before="40" w:after="40"/>
              <w:jc w:val="center"/>
              <w:rPr>
                <w:rFonts w:ascii="Arial Narrow" w:eastAsia="Times New Roman" w:hAnsi="Arial Narrow" w:cs="Calibri"/>
                <w:bCs/>
                <w:sz w:val="20"/>
                <w:szCs w:val="20"/>
              </w:rPr>
            </w:pPr>
            <w:r w:rsidRPr="004621CB">
              <w:rPr>
                <w:rFonts w:ascii="Arial Narrow" w:eastAsia="Times New Roman" w:hAnsi="Arial Narrow" w:cs="Calibri"/>
                <w:bCs/>
                <w:sz w:val="20"/>
                <w:szCs w:val="20"/>
              </w:rPr>
              <w:t>103 (23.5)</w:t>
            </w:r>
          </w:p>
        </w:tc>
        <w:tc>
          <w:tcPr>
            <w:tcW w:w="786" w:type="pct"/>
            <w:tcBorders>
              <w:left w:val="single" w:sz="4" w:space="0" w:color="auto"/>
              <w:right w:val="single" w:sz="4" w:space="0" w:color="auto"/>
            </w:tcBorders>
          </w:tcPr>
          <w:p w:rsidR="00095E93" w:rsidRPr="004621CB" w:rsidRDefault="00095E93" w:rsidP="00780E71">
            <w:pPr>
              <w:keepNext/>
              <w:keepLines/>
              <w:widowControl w:val="0"/>
              <w:spacing w:before="40" w:after="40"/>
              <w:jc w:val="center"/>
              <w:rPr>
                <w:rFonts w:ascii="Arial Narrow" w:eastAsia="Times New Roman" w:hAnsi="Arial Narrow" w:cs="Calibri"/>
                <w:b/>
                <w:bCs/>
                <w:sz w:val="20"/>
                <w:szCs w:val="20"/>
              </w:rPr>
            </w:pPr>
            <w:r w:rsidRPr="004621CB">
              <w:rPr>
                <w:rFonts w:ascii="Arial Narrow" w:eastAsia="Times New Roman" w:hAnsi="Arial Narrow" w:cs="Calibri"/>
                <w:b/>
                <w:bCs/>
                <w:sz w:val="20"/>
                <w:szCs w:val="20"/>
              </w:rPr>
              <w:t>1.31 (1.05, 1.63)</w:t>
            </w:r>
          </w:p>
        </w:tc>
        <w:tc>
          <w:tcPr>
            <w:tcW w:w="569" w:type="pct"/>
            <w:tcBorders>
              <w:left w:val="single" w:sz="4" w:space="0" w:color="auto"/>
              <w:right w:val="single" w:sz="4" w:space="0" w:color="auto"/>
            </w:tcBorders>
          </w:tcPr>
          <w:p w:rsidR="00095E93" w:rsidRPr="004621CB" w:rsidRDefault="00095E93" w:rsidP="00780E71">
            <w:pPr>
              <w:keepNext/>
              <w:keepLines/>
              <w:widowControl w:val="0"/>
              <w:spacing w:before="40" w:after="40"/>
              <w:jc w:val="center"/>
              <w:rPr>
                <w:rFonts w:ascii="Arial Narrow" w:eastAsia="Times New Roman" w:hAnsi="Arial Narrow" w:cs="Calibri"/>
                <w:b/>
                <w:bCs/>
                <w:sz w:val="20"/>
                <w:szCs w:val="20"/>
              </w:rPr>
            </w:pPr>
            <w:r w:rsidRPr="004621CB">
              <w:rPr>
                <w:rFonts w:ascii="Arial Narrow" w:eastAsia="Times New Roman" w:hAnsi="Arial Narrow" w:cs="Calibri"/>
                <w:bCs/>
                <w:sz w:val="20"/>
                <w:szCs w:val="20"/>
              </w:rPr>
              <w:t>60 (32.4)</w:t>
            </w:r>
          </w:p>
        </w:tc>
        <w:tc>
          <w:tcPr>
            <w:tcW w:w="593" w:type="pct"/>
            <w:tcBorders>
              <w:left w:val="single" w:sz="4" w:space="0" w:color="auto"/>
              <w:right w:val="single" w:sz="4" w:space="0" w:color="auto"/>
            </w:tcBorders>
          </w:tcPr>
          <w:p w:rsidR="00095E93" w:rsidRPr="004621CB" w:rsidRDefault="00095E93" w:rsidP="00780E71">
            <w:pPr>
              <w:keepNext/>
              <w:keepLines/>
              <w:widowControl w:val="0"/>
              <w:spacing w:before="40" w:after="40"/>
              <w:jc w:val="center"/>
              <w:rPr>
                <w:rFonts w:ascii="Arial Narrow" w:eastAsia="Times New Roman" w:hAnsi="Arial Narrow" w:cs="Calibri"/>
                <w:b/>
                <w:bCs/>
                <w:sz w:val="20"/>
                <w:szCs w:val="20"/>
              </w:rPr>
            </w:pPr>
            <w:r w:rsidRPr="004621CB">
              <w:rPr>
                <w:rFonts w:ascii="Arial Narrow" w:eastAsia="Times New Roman" w:hAnsi="Arial Narrow" w:cs="Calibri"/>
                <w:bCs/>
                <w:sz w:val="20"/>
                <w:szCs w:val="20"/>
              </w:rPr>
              <w:t>38 (21.0)</w:t>
            </w:r>
          </w:p>
        </w:tc>
        <w:tc>
          <w:tcPr>
            <w:tcW w:w="858" w:type="pct"/>
            <w:tcBorders>
              <w:left w:val="single" w:sz="4" w:space="0" w:color="auto"/>
              <w:right w:val="single" w:sz="4" w:space="0" w:color="auto"/>
            </w:tcBorders>
          </w:tcPr>
          <w:p w:rsidR="00095E93" w:rsidRPr="004621CB" w:rsidRDefault="00095E93" w:rsidP="00780E71">
            <w:pPr>
              <w:keepNext/>
              <w:keepLines/>
              <w:widowControl w:val="0"/>
              <w:spacing w:before="40" w:after="40"/>
              <w:jc w:val="center"/>
              <w:rPr>
                <w:rFonts w:ascii="Arial Narrow" w:eastAsia="Times New Roman" w:hAnsi="Arial Narrow" w:cs="Calibri"/>
                <w:b/>
                <w:bCs/>
                <w:sz w:val="20"/>
                <w:szCs w:val="20"/>
              </w:rPr>
            </w:pPr>
            <w:r w:rsidRPr="004621CB">
              <w:rPr>
                <w:rFonts w:ascii="Arial Narrow" w:eastAsia="Times New Roman" w:hAnsi="Arial Narrow" w:cs="Calibri"/>
                <w:b/>
                <w:bCs/>
                <w:sz w:val="20"/>
                <w:szCs w:val="20"/>
              </w:rPr>
              <w:t>1.54 (1.09, 2.19)</w:t>
            </w:r>
          </w:p>
        </w:tc>
      </w:tr>
      <w:tr w:rsidR="0073437F" w:rsidRPr="00835C91" w:rsidTr="00095E93">
        <w:tc>
          <w:tcPr>
            <w:tcW w:w="1045" w:type="pct"/>
            <w:tcBorders>
              <w:left w:val="single" w:sz="4" w:space="0" w:color="auto"/>
              <w:bottom w:val="single" w:sz="4" w:space="0" w:color="auto"/>
              <w:right w:val="single" w:sz="4" w:space="0" w:color="auto"/>
            </w:tcBorders>
          </w:tcPr>
          <w:p w:rsidR="0073437F" w:rsidRDefault="00CA2F97" w:rsidP="00095E93">
            <w:pPr>
              <w:keepNext/>
              <w:keepLines/>
              <w:widowControl w:val="0"/>
              <w:spacing w:before="40" w:after="40"/>
              <w:jc w:val="left"/>
              <w:rPr>
                <w:rFonts w:ascii="Arial Narrow" w:eastAsia="Times New Roman" w:hAnsi="Arial Narrow" w:cs="Calibri"/>
                <w:bCs/>
                <w:sz w:val="20"/>
                <w:szCs w:val="20"/>
              </w:rPr>
            </w:pPr>
            <w:r>
              <w:rPr>
                <w:rFonts w:ascii="Arial Narrow" w:eastAsia="Times New Roman" w:hAnsi="Arial Narrow" w:cs="Calibri"/>
                <w:bCs/>
                <w:sz w:val="20"/>
                <w:szCs w:val="20"/>
              </w:rPr>
              <w:t>AESI</w:t>
            </w:r>
          </w:p>
          <w:p w:rsidR="00CA2F97" w:rsidRDefault="00CA2F97" w:rsidP="00CA2F97">
            <w:pPr>
              <w:keepNext/>
              <w:keepLines/>
              <w:widowControl w:val="0"/>
              <w:spacing w:before="40" w:after="40"/>
              <w:ind w:left="306"/>
              <w:jc w:val="left"/>
              <w:rPr>
                <w:rFonts w:ascii="Arial Narrow" w:eastAsia="Times New Roman" w:hAnsi="Arial Narrow" w:cs="Calibri"/>
                <w:bCs/>
                <w:sz w:val="20"/>
                <w:szCs w:val="20"/>
              </w:rPr>
            </w:pPr>
            <w:r>
              <w:rPr>
                <w:rFonts w:ascii="Arial Narrow" w:eastAsia="Times New Roman" w:hAnsi="Arial Narrow" w:cs="Calibri"/>
                <w:bCs/>
                <w:sz w:val="20"/>
                <w:szCs w:val="20"/>
              </w:rPr>
              <w:t>Any grade</w:t>
            </w:r>
          </w:p>
          <w:p w:rsidR="000D7F59" w:rsidRDefault="00CA2F97" w:rsidP="000D7F59">
            <w:pPr>
              <w:keepNext/>
              <w:keepLines/>
              <w:widowControl w:val="0"/>
              <w:spacing w:before="40" w:after="40"/>
              <w:ind w:left="306"/>
              <w:jc w:val="left"/>
              <w:rPr>
                <w:rFonts w:ascii="Arial Narrow" w:eastAsia="Times New Roman" w:hAnsi="Arial Narrow" w:cs="Calibri"/>
                <w:bCs/>
                <w:sz w:val="20"/>
                <w:szCs w:val="20"/>
              </w:rPr>
            </w:pPr>
            <w:r>
              <w:rPr>
                <w:rFonts w:ascii="Arial Narrow" w:eastAsia="Times New Roman" w:hAnsi="Arial Narrow" w:cs="Calibri"/>
                <w:bCs/>
                <w:sz w:val="20"/>
                <w:szCs w:val="20"/>
              </w:rPr>
              <w:t>Grade 3-4</w:t>
            </w:r>
          </w:p>
          <w:p w:rsidR="000D7F59" w:rsidRPr="004621CB" w:rsidRDefault="000D7F59" w:rsidP="000D7F59">
            <w:pPr>
              <w:keepNext/>
              <w:keepLines/>
              <w:widowControl w:val="0"/>
              <w:spacing w:before="40" w:after="40"/>
              <w:ind w:left="306"/>
              <w:jc w:val="left"/>
              <w:rPr>
                <w:rFonts w:ascii="Arial Narrow" w:eastAsia="Times New Roman" w:hAnsi="Arial Narrow" w:cs="Calibri"/>
                <w:bCs/>
                <w:sz w:val="20"/>
                <w:szCs w:val="20"/>
              </w:rPr>
            </w:pPr>
            <w:r>
              <w:rPr>
                <w:rFonts w:ascii="Arial Narrow" w:eastAsia="Times New Roman" w:hAnsi="Arial Narrow" w:cs="Calibri"/>
                <w:bCs/>
                <w:sz w:val="20"/>
                <w:szCs w:val="20"/>
              </w:rPr>
              <w:t>Serious AESIs</w:t>
            </w:r>
          </w:p>
        </w:tc>
        <w:tc>
          <w:tcPr>
            <w:tcW w:w="564" w:type="pct"/>
            <w:tcBorders>
              <w:left w:val="nil"/>
              <w:bottom w:val="single" w:sz="4" w:space="0" w:color="auto"/>
              <w:right w:val="single" w:sz="4" w:space="0" w:color="auto"/>
            </w:tcBorders>
          </w:tcPr>
          <w:p w:rsidR="0073437F" w:rsidRDefault="0073437F" w:rsidP="00780E71">
            <w:pPr>
              <w:keepNext/>
              <w:keepLines/>
              <w:widowControl w:val="0"/>
              <w:spacing w:before="40" w:after="40"/>
              <w:jc w:val="center"/>
              <w:rPr>
                <w:rFonts w:ascii="Arial Narrow" w:eastAsia="Times New Roman" w:hAnsi="Arial Narrow" w:cs="Calibri"/>
                <w:bCs/>
                <w:sz w:val="20"/>
                <w:szCs w:val="20"/>
              </w:rPr>
            </w:pPr>
          </w:p>
          <w:p w:rsidR="00CA2F97" w:rsidRDefault="00CA2F97" w:rsidP="00780E71">
            <w:pPr>
              <w:keepNext/>
              <w:keepLines/>
              <w:widowControl w:val="0"/>
              <w:spacing w:before="40" w:after="40"/>
              <w:jc w:val="center"/>
              <w:rPr>
                <w:rFonts w:ascii="Arial Narrow" w:eastAsia="Times New Roman" w:hAnsi="Arial Narrow" w:cs="Calibri"/>
                <w:bCs/>
                <w:sz w:val="20"/>
                <w:szCs w:val="20"/>
              </w:rPr>
            </w:pPr>
            <w:r>
              <w:rPr>
                <w:rFonts w:ascii="Arial Narrow" w:eastAsia="Times New Roman" w:hAnsi="Arial Narrow" w:cs="Calibri"/>
                <w:bCs/>
                <w:sz w:val="20"/>
                <w:szCs w:val="20"/>
              </w:rPr>
              <w:t>259 (57.3)</w:t>
            </w:r>
          </w:p>
          <w:p w:rsidR="00BA66FC" w:rsidRDefault="00CA2F97" w:rsidP="00BA66FC">
            <w:pPr>
              <w:keepNext/>
              <w:keepLines/>
              <w:widowControl w:val="0"/>
              <w:spacing w:before="40" w:after="40"/>
              <w:jc w:val="center"/>
              <w:rPr>
                <w:rFonts w:ascii="Arial Narrow" w:eastAsia="Times New Roman" w:hAnsi="Arial Narrow" w:cs="Calibri"/>
                <w:bCs/>
                <w:sz w:val="20"/>
                <w:szCs w:val="20"/>
              </w:rPr>
            </w:pPr>
            <w:r>
              <w:rPr>
                <w:rFonts w:ascii="Arial Narrow" w:eastAsia="Times New Roman" w:hAnsi="Arial Narrow" w:cs="Calibri"/>
                <w:bCs/>
                <w:sz w:val="20"/>
                <w:szCs w:val="20"/>
              </w:rPr>
              <w:t>34 (7.5)</w:t>
            </w:r>
          </w:p>
          <w:p w:rsidR="000D7F59" w:rsidRPr="004621CB" w:rsidRDefault="000D7F59" w:rsidP="00BA66FC">
            <w:pPr>
              <w:keepNext/>
              <w:keepLines/>
              <w:widowControl w:val="0"/>
              <w:spacing w:before="40" w:after="40"/>
              <w:jc w:val="center"/>
              <w:rPr>
                <w:rFonts w:ascii="Arial Narrow" w:eastAsia="Times New Roman" w:hAnsi="Arial Narrow" w:cs="Calibri"/>
                <w:bCs/>
                <w:sz w:val="20"/>
                <w:szCs w:val="20"/>
              </w:rPr>
            </w:pPr>
            <w:r>
              <w:rPr>
                <w:rFonts w:ascii="Arial Narrow" w:eastAsia="Times New Roman" w:hAnsi="Arial Narrow" w:cs="Calibri"/>
                <w:bCs/>
                <w:sz w:val="20"/>
                <w:szCs w:val="20"/>
              </w:rPr>
              <w:t>19 (4.2)</w:t>
            </w:r>
          </w:p>
        </w:tc>
        <w:tc>
          <w:tcPr>
            <w:tcW w:w="585" w:type="pct"/>
            <w:tcBorders>
              <w:left w:val="nil"/>
              <w:bottom w:val="single" w:sz="4" w:space="0" w:color="auto"/>
              <w:right w:val="single" w:sz="4" w:space="0" w:color="auto"/>
            </w:tcBorders>
          </w:tcPr>
          <w:p w:rsidR="0073437F" w:rsidRDefault="0073437F" w:rsidP="00780E71">
            <w:pPr>
              <w:keepNext/>
              <w:keepLines/>
              <w:widowControl w:val="0"/>
              <w:spacing w:before="40" w:after="40"/>
              <w:jc w:val="center"/>
              <w:rPr>
                <w:rFonts w:ascii="Arial Narrow" w:eastAsia="Times New Roman" w:hAnsi="Arial Narrow" w:cs="Calibri"/>
                <w:bCs/>
                <w:sz w:val="20"/>
                <w:szCs w:val="20"/>
              </w:rPr>
            </w:pPr>
          </w:p>
          <w:p w:rsidR="00CA2F97" w:rsidRDefault="00CA2F97" w:rsidP="00780E71">
            <w:pPr>
              <w:keepNext/>
              <w:keepLines/>
              <w:widowControl w:val="0"/>
              <w:spacing w:before="40" w:after="40"/>
              <w:jc w:val="center"/>
              <w:rPr>
                <w:rFonts w:ascii="Arial Narrow" w:eastAsia="Times New Roman" w:hAnsi="Arial Narrow" w:cs="Calibri"/>
                <w:bCs/>
                <w:sz w:val="20"/>
                <w:szCs w:val="20"/>
              </w:rPr>
            </w:pPr>
            <w:r>
              <w:rPr>
                <w:rFonts w:ascii="Arial Narrow" w:eastAsia="Times New Roman" w:hAnsi="Arial Narrow" w:cs="Calibri"/>
                <w:bCs/>
                <w:sz w:val="20"/>
                <w:szCs w:val="20"/>
              </w:rPr>
              <w:t>183 (41.8)</w:t>
            </w:r>
          </w:p>
          <w:p w:rsidR="00BA66FC" w:rsidRDefault="00CA2F97" w:rsidP="00BA66FC">
            <w:pPr>
              <w:keepNext/>
              <w:keepLines/>
              <w:widowControl w:val="0"/>
              <w:spacing w:before="40" w:after="40"/>
              <w:jc w:val="center"/>
              <w:rPr>
                <w:rFonts w:ascii="Arial Narrow" w:eastAsia="Times New Roman" w:hAnsi="Arial Narrow" w:cs="Calibri"/>
                <w:bCs/>
                <w:sz w:val="20"/>
                <w:szCs w:val="20"/>
              </w:rPr>
            </w:pPr>
            <w:r>
              <w:rPr>
                <w:rFonts w:ascii="Arial Narrow" w:eastAsia="Times New Roman" w:hAnsi="Arial Narrow" w:cs="Calibri"/>
                <w:bCs/>
                <w:sz w:val="20"/>
                <w:szCs w:val="20"/>
              </w:rPr>
              <w:t>19 (4.3)</w:t>
            </w:r>
          </w:p>
          <w:p w:rsidR="000D7F59" w:rsidRPr="004621CB" w:rsidRDefault="000D7F59" w:rsidP="00BA66FC">
            <w:pPr>
              <w:keepNext/>
              <w:keepLines/>
              <w:widowControl w:val="0"/>
              <w:spacing w:before="40" w:after="40"/>
              <w:jc w:val="center"/>
              <w:rPr>
                <w:rFonts w:ascii="Arial Narrow" w:eastAsia="Times New Roman" w:hAnsi="Arial Narrow" w:cs="Calibri"/>
                <w:bCs/>
                <w:sz w:val="20"/>
                <w:szCs w:val="20"/>
              </w:rPr>
            </w:pPr>
            <w:r>
              <w:rPr>
                <w:rFonts w:ascii="Arial Narrow" w:eastAsia="Times New Roman" w:hAnsi="Arial Narrow" w:cs="Calibri"/>
                <w:bCs/>
                <w:sz w:val="20"/>
                <w:szCs w:val="20"/>
              </w:rPr>
              <w:t>6 (1.4)</w:t>
            </w:r>
          </w:p>
        </w:tc>
        <w:tc>
          <w:tcPr>
            <w:tcW w:w="786" w:type="pct"/>
            <w:tcBorders>
              <w:left w:val="single" w:sz="4" w:space="0" w:color="auto"/>
              <w:bottom w:val="single" w:sz="4" w:space="0" w:color="auto"/>
              <w:right w:val="single" w:sz="4" w:space="0" w:color="auto"/>
            </w:tcBorders>
          </w:tcPr>
          <w:p w:rsidR="0073437F" w:rsidRPr="0084016A" w:rsidRDefault="0073437F" w:rsidP="00780E71">
            <w:pPr>
              <w:keepNext/>
              <w:keepLines/>
              <w:widowControl w:val="0"/>
              <w:spacing w:before="40" w:after="40"/>
              <w:jc w:val="center"/>
              <w:rPr>
                <w:rFonts w:ascii="Arial Narrow" w:eastAsia="Times New Roman" w:hAnsi="Arial Narrow" w:cs="Calibri"/>
                <w:bCs/>
                <w:sz w:val="20"/>
                <w:szCs w:val="20"/>
              </w:rPr>
            </w:pPr>
          </w:p>
          <w:p w:rsidR="00CA2F97" w:rsidRDefault="00CA2F97" w:rsidP="00780E71">
            <w:pPr>
              <w:keepNext/>
              <w:keepLines/>
              <w:widowControl w:val="0"/>
              <w:spacing w:before="40" w:after="40"/>
              <w:jc w:val="center"/>
              <w:rPr>
                <w:rFonts w:ascii="Arial Narrow" w:eastAsia="Times New Roman" w:hAnsi="Arial Narrow" w:cs="Calibri"/>
                <w:b/>
                <w:bCs/>
                <w:sz w:val="20"/>
                <w:szCs w:val="20"/>
              </w:rPr>
            </w:pPr>
            <w:r>
              <w:rPr>
                <w:rFonts w:ascii="Arial Narrow" w:eastAsia="Times New Roman" w:hAnsi="Arial Narrow" w:cs="Calibri"/>
                <w:b/>
                <w:bCs/>
                <w:sz w:val="20"/>
                <w:szCs w:val="20"/>
              </w:rPr>
              <w:t>1.37 (1.20, 1.57)</w:t>
            </w:r>
          </w:p>
          <w:p w:rsidR="00CA2F97" w:rsidRDefault="00CA2F97" w:rsidP="00780E71">
            <w:pPr>
              <w:keepNext/>
              <w:keepLines/>
              <w:widowControl w:val="0"/>
              <w:spacing w:before="40" w:after="40"/>
              <w:jc w:val="center"/>
              <w:rPr>
                <w:rFonts w:ascii="Arial Narrow" w:eastAsia="Times New Roman" w:hAnsi="Arial Narrow" w:cs="Calibri"/>
                <w:b/>
                <w:bCs/>
                <w:sz w:val="20"/>
                <w:szCs w:val="20"/>
              </w:rPr>
            </w:pPr>
            <w:r>
              <w:rPr>
                <w:rFonts w:ascii="Arial Narrow" w:eastAsia="Times New Roman" w:hAnsi="Arial Narrow" w:cs="Calibri"/>
                <w:b/>
                <w:bCs/>
                <w:sz w:val="20"/>
                <w:szCs w:val="20"/>
              </w:rPr>
              <w:t>1.73 (1.00, 2.99)</w:t>
            </w:r>
          </w:p>
          <w:p w:rsidR="000D7F59" w:rsidRPr="004621CB" w:rsidRDefault="00A41EB0" w:rsidP="00780E71">
            <w:pPr>
              <w:keepNext/>
              <w:keepLines/>
              <w:widowControl w:val="0"/>
              <w:spacing w:before="40" w:after="40"/>
              <w:jc w:val="center"/>
              <w:rPr>
                <w:rFonts w:ascii="Arial Narrow" w:eastAsia="Times New Roman" w:hAnsi="Arial Narrow" w:cs="Calibri"/>
                <w:b/>
                <w:bCs/>
                <w:sz w:val="20"/>
                <w:szCs w:val="20"/>
              </w:rPr>
            </w:pPr>
            <w:r>
              <w:rPr>
                <w:rFonts w:ascii="Arial Narrow" w:eastAsia="Times New Roman" w:hAnsi="Arial Narrow" w:cs="Calibri"/>
                <w:b/>
                <w:bCs/>
                <w:sz w:val="20"/>
                <w:szCs w:val="20"/>
              </w:rPr>
              <w:t>3.07 (1.24, 7.61)</w:t>
            </w:r>
          </w:p>
        </w:tc>
        <w:tc>
          <w:tcPr>
            <w:tcW w:w="569" w:type="pct"/>
            <w:tcBorders>
              <w:left w:val="single" w:sz="4" w:space="0" w:color="auto"/>
              <w:bottom w:val="single" w:sz="4" w:space="0" w:color="auto"/>
              <w:right w:val="single" w:sz="4" w:space="0" w:color="auto"/>
            </w:tcBorders>
          </w:tcPr>
          <w:p w:rsidR="0073437F" w:rsidRDefault="0073437F" w:rsidP="00780E71">
            <w:pPr>
              <w:keepNext/>
              <w:keepLines/>
              <w:widowControl w:val="0"/>
              <w:spacing w:before="40" w:after="40"/>
              <w:jc w:val="center"/>
              <w:rPr>
                <w:rFonts w:ascii="Arial Narrow" w:eastAsia="Times New Roman" w:hAnsi="Arial Narrow" w:cs="Calibri"/>
                <w:bCs/>
                <w:sz w:val="20"/>
                <w:szCs w:val="20"/>
              </w:rPr>
            </w:pPr>
          </w:p>
          <w:p w:rsidR="00166C0D" w:rsidRDefault="00166C0D" w:rsidP="00780E71">
            <w:pPr>
              <w:keepNext/>
              <w:keepLines/>
              <w:widowControl w:val="0"/>
              <w:spacing w:before="40" w:after="40"/>
              <w:jc w:val="center"/>
              <w:rPr>
                <w:rFonts w:ascii="Arial Narrow" w:eastAsia="Times New Roman" w:hAnsi="Arial Narrow" w:cs="Calibri"/>
                <w:bCs/>
                <w:sz w:val="20"/>
                <w:szCs w:val="20"/>
              </w:rPr>
            </w:pPr>
            <w:r>
              <w:rPr>
                <w:rFonts w:ascii="Arial Narrow" w:eastAsia="Times New Roman" w:hAnsi="Arial Narrow" w:cs="Calibri"/>
                <w:bCs/>
                <w:sz w:val="20"/>
                <w:szCs w:val="20"/>
              </w:rPr>
              <w:t>66 (36.5)</w:t>
            </w:r>
          </w:p>
          <w:p w:rsidR="00166C0D" w:rsidRDefault="00166C0D" w:rsidP="00780E71">
            <w:pPr>
              <w:keepNext/>
              <w:keepLines/>
              <w:widowControl w:val="0"/>
              <w:spacing w:before="40" w:after="40"/>
              <w:jc w:val="center"/>
              <w:rPr>
                <w:rFonts w:ascii="Arial Narrow" w:eastAsia="Times New Roman" w:hAnsi="Arial Narrow" w:cs="Calibri"/>
                <w:bCs/>
                <w:sz w:val="20"/>
                <w:szCs w:val="20"/>
              </w:rPr>
            </w:pPr>
            <w:r>
              <w:rPr>
                <w:rFonts w:ascii="Arial Narrow" w:eastAsia="Times New Roman" w:hAnsi="Arial Narrow" w:cs="Calibri"/>
                <w:bCs/>
                <w:sz w:val="20"/>
                <w:szCs w:val="20"/>
              </w:rPr>
              <w:t>7 (3.9)</w:t>
            </w:r>
          </w:p>
          <w:p w:rsidR="00A41EB0" w:rsidRPr="004621CB" w:rsidRDefault="00A41EB0" w:rsidP="00780E71">
            <w:pPr>
              <w:keepNext/>
              <w:keepLines/>
              <w:widowControl w:val="0"/>
              <w:spacing w:before="40" w:after="40"/>
              <w:jc w:val="center"/>
              <w:rPr>
                <w:rFonts w:ascii="Arial Narrow" w:eastAsia="Times New Roman" w:hAnsi="Arial Narrow" w:cs="Calibri"/>
                <w:bCs/>
                <w:sz w:val="20"/>
                <w:szCs w:val="20"/>
              </w:rPr>
            </w:pPr>
            <w:r>
              <w:rPr>
                <w:rFonts w:ascii="Arial Narrow" w:eastAsia="Times New Roman" w:hAnsi="Arial Narrow" w:cs="Calibri"/>
                <w:bCs/>
                <w:sz w:val="20"/>
                <w:szCs w:val="20"/>
              </w:rPr>
              <w:t>-</w:t>
            </w:r>
          </w:p>
        </w:tc>
        <w:tc>
          <w:tcPr>
            <w:tcW w:w="593" w:type="pct"/>
            <w:tcBorders>
              <w:left w:val="single" w:sz="4" w:space="0" w:color="auto"/>
              <w:bottom w:val="single" w:sz="4" w:space="0" w:color="auto"/>
              <w:right w:val="single" w:sz="4" w:space="0" w:color="auto"/>
            </w:tcBorders>
          </w:tcPr>
          <w:p w:rsidR="0073437F" w:rsidRDefault="0073437F" w:rsidP="00780E71">
            <w:pPr>
              <w:keepNext/>
              <w:keepLines/>
              <w:widowControl w:val="0"/>
              <w:spacing w:before="40" w:after="40"/>
              <w:jc w:val="center"/>
              <w:rPr>
                <w:rFonts w:ascii="Arial Narrow" w:eastAsia="Times New Roman" w:hAnsi="Arial Narrow" w:cs="Calibri"/>
                <w:bCs/>
                <w:sz w:val="20"/>
                <w:szCs w:val="20"/>
              </w:rPr>
            </w:pPr>
          </w:p>
          <w:p w:rsidR="00166C0D" w:rsidRDefault="00166C0D" w:rsidP="00780E71">
            <w:pPr>
              <w:keepNext/>
              <w:keepLines/>
              <w:widowControl w:val="0"/>
              <w:spacing w:before="40" w:after="40"/>
              <w:jc w:val="center"/>
              <w:rPr>
                <w:rFonts w:ascii="Arial Narrow" w:eastAsia="Times New Roman" w:hAnsi="Arial Narrow" w:cs="Calibri"/>
                <w:bCs/>
                <w:sz w:val="20"/>
                <w:szCs w:val="20"/>
              </w:rPr>
            </w:pPr>
            <w:r>
              <w:rPr>
                <w:rFonts w:ascii="Arial Narrow" w:eastAsia="Times New Roman" w:hAnsi="Arial Narrow" w:cs="Calibri"/>
                <w:bCs/>
                <w:sz w:val="20"/>
                <w:szCs w:val="20"/>
              </w:rPr>
              <w:t>105 (56.8)</w:t>
            </w:r>
          </w:p>
          <w:p w:rsidR="00166C0D" w:rsidRDefault="00166C0D" w:rsidP="00780E71">
            <w:pPr>
              <w:keepNext/>
              <w:keepLines/>
              <w:widowControl w:val="0"/>
              <w:spacing w:before="40" w:after="40"/>
              <w:jc w:val="center"/>
              <w:rPr>
                <w:rFonts w:ascii="Arial Narrow" w:eastAsia="Times New Roman" w:hAnsi="Arial Narrow" w:cs="Calibri"/>
                <w:bCs/>
                <w:sz w:val="20"/>
                <w:szCs w:val="20"/>
              </w:rPr>
            </w:pPr>
            <w:r>
              <w:rPr>
                <w:rFonts w:ascii="Arial Narrow" w:eastAsia="Times New Roman" w:hAnsi="Arial Narrow" w:cs="Calibri"/>
                <w:bCs/>
                <w:sz w:val="20"/>
                <w:szCs w:val="20"/>
              </w:rPr>
              <w:t>10 (5.4)</w:t>
            </w:r>
          </w:p>
          <w:p w:rsidR="00A41EB0" w:rsidRPr="004621CB" w:rsidRDefault="00A41EB0" w:rsidP="00780E71">
            <w:pPr>
              <w:keepNext/>
              <w:keepLines/>
              <w:widowControl w:val="0"/>
              <w:spacing w:before="40" w:after="40"/>
              <w:jc w:val="center"/>
              <w:rPr>
                <w:rFonts w:ascii="Arial Narrow" w:eastAsia="Times New Roman" w:hAnsi="Arial Narrow" w:cs="Calibri"/>
                <w:bCs/>
                <w:sz w:val="20"/>
                <w:szCs w:val="20"/>
              </w:rPr>
            </w:pPr>
            <w:r>
              <w:rPr>
                <w:rFonts w:ascii="Arial Narrow" w:eastAsia="Times New Roman" w:hAnsi="Arial Narrow" w:cs="Calibri"/>
                <w:bCs/>
                <w:sz w:val="20"/>
                <w:szCs w:val="20"/>
              </w:rPr>
              <w:t>-</w:t>
            </w:r>
          </w:p>
        </w:tc>
        <w:tc>
          <w:tcPr>
            <w:tcW w:w="858" w:type="pct"/>
            <w:tcBorders>
              <w:left w:val="single" w:sz="4" w:space="0" w:color="auto"/>
              <w:bottom w:val="single" w:sz="4" w:space="0" w:color="auto"/>
              <w:right w:val="single" w:sz="4" w:space="0" w:color="auto"/>
            </w:tcBorders>
          </w:tcPr>
          <w:p w:rsidR="0073437F" w:rsidRPr="0084016A" w:rsidRDefault="0073437F" w:rsidP="00780E71">
            <w:pPr>
              <w:keepNext/>
              <w:keepLines/>
              <w:widowControl w:val="0"/>
              <w:spacing w:before="40" w:after="40"/>
              <w:jc w:val="center"/>
              <w:rPr>
                <w:rFonts w:ascii="Arial Narrow" w:eastAsia="Times New Roman" w:hAnsi="Arial Narrow" w:cs="Calibri"/>
                <w:bCs/>
                <w:sz w:val="20"/>
                <w:szCs w:val="20"/>
              </w:rPr>
            </w:pPr>
          </w:p>
          <w:p w:rsidR="009D67D4" w:rsidRDefault="009D67D4" w:rsidP="00780E71">
            <w:pPr>
              <w:keepNext/>
              <w:keepLines/>
              <w:widowControl w:val="0"/>
              <w:spacing w:before="40" w:after="40"/>
              <w:jc w:val="center"/>
              <w:rPr>
                <w:rFonts w:ascii="Arial Narrow" w:eastAsia="Times New Roman" w:hAnsi="Arial Narrow" w:cs="Calibri"/>
                <w:b/>
                <w:bCs/>
                <w:sz w:val="20"/>
                <w:szCs w:val="20"/>
              </w:rPr>
            </w:pPr>
            <w:r>
              <w:rPr>
                <w:rFonts w:ascii="Arial Narrow" w:eastAsia="Times New Roman" w:hAnsi="Arial Narrow" w:cs="Calibri"/>
                <w:b/>
                <w:bCs/>
                <w:sz w:val="20"/>
                <w:szCs w:val="20"/>
              </w:rPr>
              <w:t>0.61 (0.49, 0.77)</w:t>
            </w:r>
          </w:p>
          <w:p w:rsidR="009D67D4" w:rsidRDefault="009D67D4" w:rsidP="00780E71">
            <w:pPr>
              <w:keepNext/>
              <w:keepLines/>
              <w:widowControl w:val="0"/>
              <w:spacing w:before="40" w:after="40"/>
              <w:jc w:val="center"/>
              <w:rPr>
                <w:rFonts w:ascii="Arial Narrow" w:eastAsia="Times New Roman" w:hAnsi="Arial Narrow" w:cs="Calibri"/>
                <w:b/>
                <w:bCs/>
                <w:sz w:val="20"/>
                <w:szCs w:val="20"/>
              </w:rPr>
            </w:pPr>
            <w:r>
              <w:rPr>
                <w:rFonts w:ascii="Arial Narrow" w:eastAsia="Times New Roman" w:hAnsi="Arial Narrow" w:cs="Calibri"/>
                <w:b/>
                <w:bCs/>
                <w:sz w:val="20"/>
                <w:szCs w:val="20"/>
              </w:rPr>
              <w:t>0.68 (0.27, 1.76)</w:t>
            </w:r>
          </w:p>
          <w:p w:rsidR="00A41EB0" w:rsidRPr="00A41EB0" w:rsidRDefault="00A41EB0" w:rsidP="00780E71">
            <w:pPr>
              <w:keepNext/>
              <w:keepLines/>
              <w:widowControl w:val="0"/>
              <w:spacing w:before="40" w:after="40"/>
              <w:jc w:val="center"/>
              <w:rPr>
                <w:rFonts w:ascii="Arial Narrow" w:eastAsia="Times New Roman" w:hAnsi="Arial Narrow" w:cs="Calibri"/>
                <w:bCs/>
                <w:sz w:val="20"/>
                <w:szCs w:val="20"/>
              </w:rPr>
            </w:pPr>
            <w:r w:rsidRPr="00A41EB0">
              <w:rPr>
                <w:rFonts w:ascii="Arial Narrow" w:eastAsia="Times New Roman" w:hAnsi="Arial Narrow" w:cs="Calibri"/>
                <w:bCs/>
                <w:sz w:val="20"/>
                <w:szCs w:val="20"/>
              </w:rPr>
              <w:t>-</w:t>
            </w:r>
          </w:p>
        </w:tc>
      </w:tr>
    </w:tbl>
    <w:p w:rsidR="001B15C6" w:rsidRPr="008D1A28" w:rsidRDefault="001B15C6" w:rsidP="001B15C6">
      <w:pPr>
        <w:pStyle w:val="TableFooter"/>
      </w:pPr>
      <w:r w:rsidRPr="00675701">
        <w:t xml:space="preserve">Notes: Relative risks and 95% confidence intervals for relative risks were calculated using the Normal approximation to the binomial distribution. </w:t>
      </w:r>
      <w:r w:rsidRPr="00F8289C">
        <w:rPr>
          <w:b/>
        </w:rPr>
        <w:t>Statistically significant relative risks are bolded</w:t>
      </w:r>
      <w:r w:rsidRPr="00675701">
        <w:t>.</w:t>
      </w:r>
      <w:r>
        <w:t xml:space="preserve"> All patients were divided according to the VENTANA SP142-IC assay.</w:t>
      </w:r>
    </w:p>
    <w:p w:rsidR="00340547" w:rsidRPr="00675701" w:rsidRDefault="00340547" w:rsidP="00340547">
      <w:pPr>
        <w:pStyle w:val="TableFooter"/>
        <w:rPr>
          <w:rFonts w:eastAsia="MS Mincho"/>
        </w:rPr>
      </w:pPr>
      <w:r w:rsidRPr="00675701">
        <w:rPr>
          <w:rFonts w:eastAsia="MS Mincho"/>
        </w:rPr>
        <w:t>AE = adverse event;</w:t>
      </w:r>
      <w:r w:rsidR="00EB4B06">
        <w:rPr>
          <w:rFonts w:eastAsia="MS Mincho"/>
        </w:rPr>
        <w:t xml:space="preserve"> AESI = adverse event of special interest;</w:t>
      </w:r>
      <w:r w:rsidRPr="00675701">
        <w:rPr>
          <w:rFonts w:eastAsia="MS Mincho"/>
        </w:rPr>
        <w:t xml:space="preserve"> ATZ+nab-P = </w:t>
      </w:r>
      <w:r w:rsidR="002D0BCC" w:rsidRPr="00675701">
        <w:rPr>
          <w:rFonts w:eastAsia="MS Mincho"/>
        </w:rPr>
        <w:t>a</w:t>
      </w:r>
      <w:r w:rsidRPr="00675701">
        <w:rPr>
          <w:rFonts w:eastAsia="MS Mincho"/>
        </w:rPr>
        <w:t xml:space="preserve">tezolizumab + nab-paclitaxel; CI = confidence interval; N = total participants in group; NC = not calculable; No. = number; PD-L1=programmed death-ligand 1; PBO+nab-P = </w:t>
      </w:r>
      <w:r w:rsidR="002D0BCC" w:rsidRPr="00675701">
        <w:rPr>
          <w:rFonts w:eastAsia="MS Mincho"/>
        </w:rPr>
        <w:t>p</w:t>
      </w:r>
      <w:r w:rsidRPr="00675701">
        <w:rPr>
          <w:rFonts w:eastAsia="MS Mincho"/>
        </w:rPr>
        <w:t>lacebo + nab-paclitaxel; SAE = serious adverse event; vs</w:t>
      </w:r>
      <w:r>
        <w:rPr>
          <w:rFonts w:eastAsia="MS Mincho"/>
        </w:rPr>
        <w:t xml:space="preserve"> </w:t>
      </w:r>
      <w:r w:rsidRPr="00675701">
        <w:rPr>
          <w:rFonts w:eastAsia="MS Mincho"/>
        </w:rPr>
        <w:t>=</w:t>
      </w:r>
      <w:r>
        <w:rPr>
          <w:rFonts w:eastAsia="MS Mincho"/>
        </w:rPr>
        <w:t xml:space="preserve"> </w:t>
      </w:r>
      <w:r w:rsidRPr="00675701">
        <w:rPr>
          <w:rFonts w:eastAsia="MS Mincho"/>
        </w:rPr>
        <w:t>versus</w:t>
      </w:r>
    </w:p>
    <w:p w:rsidR="00095E93" w:rsidRPr="00675701" w:rsidRDefault="00095E93" w:rsidP="00095E93">
      <w:pPr>
        <w:pStyle w:val="TableFooter"/>
        <w:rPr>
          <w:rFonts w:eastAsia="MS Mincho"/>
        </w:rPr>
      </w:pPr>
      <w:r w:rsidRPr="00675701">
        <w:rPr>
          <w:rFonts w:eastAsia="MS Mincho"/>
        </w:rPr>
        <w:t xml:space="preserve">Source: Data combined from Table 2.5.12, p 101 and Table 2.5.13, p 102 of the </w:t>
      </w:r>
      <w:r w:rsidR="008D006C">
        <w:rPr>
          <w:rFonts w:eastAsia="MS Mincho"/>
        </w:rPr>
        <w:t>s</w:t>
      </w:r>
      <w:r w:rsidRPr="009B24FF">
        <w:rPr>
          <w:rFonts w:eastAsia="MS Mincho"/>
        </w:rPr>
        <w:t>ubmission</w:t>
      </w:r>
      <w:r w:rsidR="00CA2F97">
        <w:rPr>
          <w:rFonts w:eastAsia="MS Mincho"/>
        </w:rPr>
        <w:t xml:space="preserve"> and </w:t>
      </w:r>
      <w:r w:rsidR="00A41EB0" w:rsidRPr="00A41EB0">
        <w:rPr>
          <w:rFonts w:eastAsia="MS Mincho"/>
        </w:rPr>
        <w:t>Table 42, p. 145</w:t>
      </w:r>
      <w:r w:rsidR="00A41EB0">
        <w:rPr>
          <w:rFonts w:eastAsia="MS Mincho"/>
        </w:rPr>
        <w:t>, and T</w:t>
      </w:r>
      <w:r w:rsidR="00CA2F97">
        <w:rPr>
          <w:rFonts w:eastAsia="MS Mincho"/>
        </w:rPr>
        <w:t>able 67, p. 169</w:t>
      </w:r>
      <w:r w:rsidR="00A41EB0">
        <w:rPr>
          <w:rFonts w:eastAsia="MS Mincho"/>
        </w:rPr>
        <w:t xml:space="preserve"> </w:t>
      </w:r>
      <w:r w:rsidR="00CA2F97">
        <w:rPr>
          <w:rFonts w:eastAsia="MS Mincho"/>
        </w:rPr>
        <w:t>of the CSR IMpassion130 Aug2018</w:t>
      </w:r>
      <w:r w:rsidRPr="00675701">
        <w:rPr>
          <w:rFonts w:eastAsia="MS Mincho"/>
        </w:rPr>
        <w:t>.</w:t>
      </w:r>
    </w:p>
    <w:p w:rsidR="00095E93" w:rsidRDefault="00095E93" w:rsidP="00095E93">
      <w:pPr>
        <w:pStyle w:val="ListParagraph"/>
        <w:numPr>
          <w:ilvl w:val="4"/>
          <w:numId w:val="1"/>
        </w:numPr>
        <w:rPr>
          <w:color w:val="auto"/>
        </w:rPr>
      </w:pPr>
      <w:r w:rsidRPr="00914B85">
        <w:rPr>
          <w:color w:val="auto"/>
        </w:rPr>
        <w:lastRenderedPageBreak/>
        <w:t>In the safety-evaluable population, a higher proportion of ATZ+nab-P compared to PBO+nab-P patients also had adverse events of special interest (AESIs) (</w:t>
      </w:r>
      <w:r w:rsidR="00BA66FC">
        <w:rPr>
          <w:color w:val="auto"/>
        </w:rPr>
        <w:t>57.3% versus 41.8%</w:t>
      </w:r>
      <w:r w:rsidRPr="00914B85">
        <w:rPr>
          <w:color w:val="auto"/>
        </w:rPr>
        <w:t>) and Grade 3-4 AESIs (7.5% versus 4.3%)</w:t>
      </w:r>
      <w:r w:rsidR="00BA66FC">
        <w:rPr>
          <w:color w:val="auto"/>
        </w:rPr>
        <w:t>. The most common AESIs were immune-related rash, hepatitis, hypothyroidism and hyperthyroidism.</w:t>
      </w:r>
    </w:p>
    <w:p w:rsidR="009A3F70" w:rsidRDefault="009A3F70" w:rsidP="009A3F70">
      <w:pPr>
        <w:pStyle w:val="ListParagraph"/>
        <w:rPr>
          <w:color w:val="auto"/>
        </w:rPr>
      </w:pPr>
      <w:r w:rsidRPr="009A3F70">
        <w:rPr>
          <w:color w:val="auto"/>
        </w:rPr>
        <w:t xml:space="preserve">In the safety-evaluable population at the </w:t>
      </w:r>
      <w:r w:rsidR="00922D70">
        <w:rPr>
          <w:color w:val="auto"/>
        </w:rPr>
        <w:t>data cut-off of</w:t>
      </w:r>
      <w:r w:rsidRPr="009A3F70">
        <w:rPr>
          <w:color w:val="auto"/>
        </w:rPr>
        <w:t xml:space="preserve"> 17 April 2018, </w:t>
      </w:r>
      <w:r w:rsidR="008E55DB">
        <w:rPr>
          <w:color w:val="auto"/>
        </w:rPr>
        <w:t>more</w:t>
      </w:r>
      <w:r>
        <w:rPr>
          <w:color w:val="auto"/>
        </w:rPr>
        <w:t xml:space="preserve"> patients in the ATZ+nab-P arm compared to the PBO+nab-P arm had died due to AEs. </w:t>
      </w:r>
      <w:r w:rsidRPr="009A3F70">
        <w:rPr>
          <w:color w:val="auto"/>
        </w:rPr>
        <w:t xml:space="preserve">A summary of these deaths </w:t>
      </w:r>
      <w:r w:rsidR="00417E3F">
        <w:rPr>
          <w:color w:val="auto"/>
        </w:rPr>
        <w:t>is</w:t>
      </w:r>
      <w:r w:rsidRPr="009A3F70">
        <w:rPr>
          <w:color w:val="auto"/>
        </w:rPr>
        <w:t xml:space="preserve"> in</w:t>
      </w:r>
      <w:r>
        <w:rPr>
          <w:color w:val="auto"/>
        </w:rPr>
        <w:t xml:space="preserve"> </w:t>
      </w:r>
      <w:r w:rsidR="00074BE0">
        <w:t xml:space="preserve">Table </w:t>
      </w:r>
      <w:r w:rsidR="00074BE0">
        <w:rPr>
          <w:noProof/>
        </w:rPr>
        <w:t>9</w:t>
      </w:r>
      <w:r w:rsidRPr="009A3F70">
        <w:rPr>
          <w:color w:val="auto"/>
        </w:rPr>
        <w:t>.</w:t>
      </w:r>
    </w:p>
    <w:p w:rsidR="009A3F70" w:rsidRPr="009A3F70" w:rsidRDefault="009A3F70" w:rsidP="000A1E52">
      <w:pPr>
        <w:pStyle w:val="Caption"/>
        <w:keepLines/>
      </w:pPr>
      <w:bookmarkStart w:id="24" w:name="_Ref27051510"/>
      <w:r>
        <w:t xml:space="preserve">Table </w:t>
      </w:r>
      <w:r w:rsidR="00074BE0">
        <w:rPr>
          <w:noProof/>
        </w:rPr>
        <w:t>9</w:t>
      </w:r>
      <w:bookmarkEnd w:id="24"/>
      <w:r w:rsidR="00EF5451">
        <w:rPr>
          <w:noProof/>
        </w:rPr>
        <w:t xml:space="preserve">: </w:t>
      </w:r>
      <w:r w:rsidRPr="009A3F70">
        <w:rPr>
          <w:iCs w:val="0"/>
        </w:rPr>
        <w:t>Summary of deaths in the safety-evaluable population in IMpassion130 (</w:t>
      </w:r>
      <w:r w:rsidR="00922D70">
        <w:rPr>
          <w:iCs w:val="0"/>
        </w:rPr>
        <w:t>data cut-off</w:t>
      </w:r>
      <w:r w:rsidRPr="009A3F70">
        <w:rPr>
          <w:iCs w:val="0"/>
        </w:rPr>
        <w:t xml:space="preserve"> 17 April 2018)</w:t>
      </w:r>
    </w:p>
    <w:tbl>
      <w:tblPr>
        <w:tblW w:w="5000" w:type="pct"/>
        <w:tblLayout w:type="fixed"/>
        <w:tblLook w:val="04A0" w:firstRow="1" w:lastRow="0" w:firstColumn="1" w:lastColumn="0" w:noHBand="0" w:noVBand="1"/>
      </w:tblPr>
      <w:tblGrid>
        <w:gridCol w:w="2825"/>
        <w:gridCol w:w="855"/>
        <w:gridCol w:w="994"/>
        <w:gridCol w:w="849"/>
        <w:gridCol w:w="851"/>
        <w:gridCol w:w="2642"/>
      </w:tblGrid>
      <w:tr w:rsidR="009A3F70" w:rsidTr="00057FA9">
        <w:trPr>
          <w:trHeight w:val="64"/>
        </w:trPr>
        <w:tc>
          <w:tcPr>
            <w:tcW w:w="156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A3F70" w:rsidRDefault="009A3F70" w:rsidP="000A1E52">
            <w:pPr>
              <w:keepNext/>
              <w:keepLines/>
              <w:spacing w:before="40" w:after="40" w:line="254" w:lineRule="auto"/>
              <w:rPr>
                <w:rFonts w:ascii="Arial Narrow" w:eastAsia="Times New Roman" w:hAnsi="Arial Narrow" w:cs="Calibri"/>
                <w:b/>
                <w:sz w:val="20"/>
                <w:szCs w:val="20"/>
              </w:rPr>
            </w:pPr>
          </w:p>
        </w:tc>
        <w:tc>
          <w:tcPr>
            <w:tcW w:w="1968" w:type="pct"/>
            <w:gridSpan w:val="4"/>
            <w:tcBorders>
              <w:top w:val="single" w:sz="4" w:space="0" w:color="auto"/>
              <w:left w:val="nil"/>
              <w:bottom w:val="single" w:sz="4" w:space="0" w:color="auto"/>
              <w:right w:val="single" w:sz="4" w:space="0" w:color="auto"/>
            </w:tcBorders>
            <w:shd w:val="clear" w:color="auto" w:fill="auto"/>
            <w:vAlign w:val="center"/>
            <w:hideMark/>
          </w:tcPr>
          <w:p w:rsidR="009A3F70" w:rsidRDefault="009A3F70" w:rsidP="000A1E52">
            <w:pPr>
              <w:keepNext/>
              <w:keepLines/>
              <w:spacing w:before="40" w:after="40" w:line="254" w:lineRule="auto"/>
              <w:jc w:val="center"/>
              <w:rPr>
                <w:rFonts w:ascii="Arial Narrow" w:eastAsia="Times New Roman" w:hAnsi="Arial Narrow" w:cs="Calibri"/>
                <w:b/>
                <w:sz w:val="20"/>
                <w:szCs w:val="20"/>
              </w:rPr>
            </w:pPr>
            <w:r>
              <w:rPr>
                <w:rFonts w:ascii="Arial Narrow" w:eastAsia="Times New Roman" w:hAnsi="Arial Narrow" w:cs="Calibri"/>
                <w:b/>
                <w:sz w:val="20"/>
                <w:szCs w:val="20"/>
              </w:rPr>
              <w:t>Number of patients (%)</w:t>
            </w:r>
          </w:p>
        </w:tc>
        <w:tc>
          <w:tcPr>
            <w:tcW w:w="146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3F70" w:rsidRDefault="009A3F70" w:rsidP="00DD2784">
            <w:pPr>
              <w:keepNext/>
              <w:keepLines/>
              <w:spacing w:before="40" w:after="40" w:line="254" w:lineRule="auto"/>
              <w:jc w:val="center"/>
              <w:rPr>
                <w:rFonts w:ascii="Arial Narrow" w:eastAsia="Times New Roman" w:hAnsi="Arial Narrow" w:cs="Calibri"/>
                <w:b/>
                <w:sz w:val="20"/>
                <w:szCs w:val="20"/>
                <w:lang w:val="it-IT"/>
              </w:rPr>
            </w:pPr>
            <w:r>
              <w:rPr>
                <w:rFonts w:ascii="Arial Narrow" w:eastAsia="Times New Roman" w:hAnsi="Arial Narrow" w:cs="Calibri"/>
                <w:b/>
                <w:sz w:val="20"/>
                <w:szCs w:val="20"/>
                <w:lang w:val="it-IT"/>
              </w:rPr>
              <w:t>Relative risk (95% CI)</w:t>
            </w:r>
          </w:p>
          <w:p w:rsidR="009A3F70" w:rsidRDefault="009A3F70" w:rsidP="000A1E52">
            <w:pPr>
              <w:keepNext/>
              <w:keepLines/>
              <w:spacing w:before="40" w:after="40" w:line="254" w:lineRule="auto"/>
              <w:jc w:val="center"/>
              <w:rPr>
                <w:rFonts w:ascii="Arial Narrow" w:eastAsia="Times New Roman" w:hAnsi="Arial Narrow" w:cs="Calibri"/>
                <w:b/>
                <w:sz w:val="20"/>
                <w:szCs w:val="20"/>
                <w:lang w:val="it-IT"/>
              </w:rPr>
            </w:pPr>
            <w:r>
              <w:rPr>
                <w:rFonts w:ascii="Arial Narrow" w:eastAsia="Times New Roman" w:hAnsi="Arial Narrow" w:cs="Calibri"/>
                <w:b/>
                <w:sz w:val="20"/>
                <w:szCs w:val="20"/>
                <w:lang w:val="it-IT"/>
              </w:rPr>
              <w:t>(ATZ+nab-P vs. PBO+nab-P)</w:t>
            </w:r>
          </w:p>
        </w:tc>
      </w:tr>
      <w:tr w:rsidR="00780E71" w:rsidTr="00057FA9">
        <w:trPr>
          <w:trHeight w:val="64"/>
        </w:trPr>
        <w:tc>
          <w:tcPr>
            <w:tcW w:w="156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A3F70" w:rsidRDefault="009A3F70" w:rsidP="000A1E52">
            <w:pPr>
              <w:keepNext/>
              <w:keepLines/>
              <w:rPr>
                <w:rFonts w:ascii="Arial Narrow" w:eastAsia="Times New Roman" w:hAnsi="Arial Narrow" w:cs="Calibri"/>
                <w:b/>
                <w:sz w:val="20"/>
                <w:szCs w:val="20"/>
              </w:rPr>
            </w:pPr>
          </w:p>
        </w:tc>
        <w:tc>
          <w:tcPr>
            <w:tcW w:w="1025" w:type="pct"/>
            <w:gridSpan w:val="2"/>
            <w:tcBorders>
              <w:top w:val="single" w:sz="4" w:space="0" w:color="auto"/>
              <w:left w:val="nil"/>
              <w:bottom w:val="single" w:sz="4" w:space="0" w:color="auto"/>
              <w:right w:val="single" w:sz="4" w:space="0" w:color="auto"/>
            </w:tcBorders>
            <w:shd w:val="clear" w:color="auto" w:fill="auto"/>
            <w:vAlign w:val="center"/>
            <w:hideMark/>
          </w:tcPr>
          <w:p w:rsidR="009A3F70" w:rsidRDefault="009A3F70" w:rsidP="000A1E52">
            <w:pPr>
              <w:keepNext/>
              <w:keepLines/>
              <w:spacing w:before="40" w:after="40" w:line="254" w:lineRule="auto"/>
              <w:jc w:val="center"/>
              <w:rPr>
                <w:rFonts w:ascii="Arial Narrow" w:eastAsia="Times New Roman" w:hAnsi="Arial Narrow" w:cs="Calibri"/>
                <w:b/>
                <w:sz w:val="20"/>
                <w:szCs w:val="20"/>
              </w:rPr>
            </w:pPr>
            <w:r>
              <w:rPr>
                <w:rFonts w:ascii="Arial Narrow" w:eastAsia="Times New Roman" w:hAnsi="Arial Narrow" w:cs="Calibri"/>
                <w:b/>
                <w:sz w:val="20"/>
                <w:szCs w:val="20"/>
              </w:rPr>
              <w:t>ATZ+nab-P</w:t>
            </w:r>
            <w:r>
              <w:rPr>
                <w:rFonts w:ascii="Arial Narrow" w:eastAsia="Times New Roman" w:hAnsi="Arial Narrow" w:cs="Calibri"/>
                <w:b/>
                <w:sz w:val="20"/>
                <w:szCs w:val="20"/>
              </w:rPr>
              <w:br/>
              <w:t>(N=452)</w:t>
            </w:r>
          </w:p>
        </w:tc>
        <w:tc>
          <w:tcPr>
            <w:tcW w:w="943" w:type="pct"/>
            <w:gridSpan w:val="2"/>
            <w:tcBorders>
              <w:top w:val="single" w:sz="4" w:space="0" w:color="auto"/>
              <w:left w:val="nil"/>
              <w:bottom w:val="single" w:sz="4" w:space="0" w:color="auto"/>
              <w:right w:val="single" w:sz="4" w:space="0" w:color="auto"/>
            </w:tcBorders>
            <w:shd w:val="clear" w:color="auto" w:fill="auto"/>
            <w:vAlign w:val="center"/>
            <w:hideMark/>
          </w:tcPr>
          <w:p w:rsidR="009A3F70" w:rsidRDefault="009A3F70" w:rsidP="000A1E52">
            <w:pPr>
              <w:keepNext/>
              <w:keepLines/>
              <w:spacing w:before="40" w:after="40" w:line="254" w:lineRule="auto"/>
              <w:jc w:val="center"/>
              <w:rPr>
                <w:rFonts w:ascii="Arial Narrow" w:eastAsia="Times New Roman" w:hAnsi="Arial Narrow" w:cs="Calibri"/>
                <w:b/>
                <w:sz w:val="20"/>
                <w:szCs w:val="20"/>
              </w:rPr>
            </w:pPr>
            <w:r>
              <w:rPr>
                <w:rFonts w:ascii="Arial Narrow" w:eastAsia="Times New Roman" w:hAnsi="Arial Narrow" w:cs="Calibri"/>
                <w:b/>
                <w:sz w:val="20"/>
                <w:szCs w:val="20"/>
              </w:rPr>
              <w:t>PBO+nab-P</w:t>
            </w:r>
            <w:r>
              <w:rPr>
                <w:rFonts w:ascii="Arial Narrow" w:eastAsia="Times New Roman" w:hAnsi="Arial Narrow" w:cs="Calibri"/>
                <w:b/>
                <w:sz w:val="20"/>
                <w:szCs w:val="20"/>
              </w:rPr>
              <w:br/>
              <w:t>(N=438)</w:t>
            </w:r>
          </w:p>
        </w:tc>
        <w:tc>
          <w:tcPr>
            <w:tcW w:w="146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A3F70" w:rsidRDefault="009A3F70" w:rsidP="000A1E52">
            <w:pPr>
              <w:keepNext/>
              <w:keepLines/>
              <w:jc w:val="center"/>
              <w:rPr>
                <w:rFonts w:ascii="Arial Narrow" w:eastAsia="Times New Roman" w:hAnsi="Arial Narrow" w:cs="Calibri"/>
                <w:b/>
                <w:sz w:val="20"/>
                <w:szCs w:val="20"/>
                <w:lang w:val="it-IT"/>
              </w:rPr>
            </w:pPr>
          </w:p>
        </w:tc>
      </w:tr>
      <w:tr w:rsidR="00780E71" w:rsidTr="00057FA9">
        <w:tc>
          <w:tcPr>
            <w:tcW w:w="1567" w:type="pct"/>
            <w:tcBorders>
              <w:top w:val="single" w:sz="4" w:space="0" w:color="auto"/>
              <w:left w:val="single" w:sz="4" w:space="0" w:color="auto"/>
              <w:bottom w:val="nil"/>
              <w:right w:val="single" w:sz="4" w:space="0" w:color="auto"/>
            </w:tcBorders>
            <w:shd w:val="clear" w:color="auto" w:fill="auto"/>
            <w:hideMark/>
          </w:tcPr>
          <w:p w:rsidR="009A3F70" w:rsidRDefault="009A3F70" w:rsidP="000A1E52">
            <w:pPr>
              <w:keepNext/>
              <w:keepLines/>
              <w:spacing w:before="40" w:after="40" w:line="254" w:lineRule="auto"/>
              <w:rPr>
                <w:rFonts w:ascii="Arial Narrow" w:eastAsia="Times New Roman" w:hAnsi="Arial Narrow" w:cs="Calibri"/>
                <w:bCs/>
                <w:sz w:val="20"/>
                <w:szCs w:val="20"/>
              </w:rPr>
            </w:pPr>
            <w:r>
              <w:rPr>
                <w:rFonts w:ascii="Arial Narrow" w:eastAsia="Times New Roman" w:hAnsi="Arial Narrow" w:cs="Calibri"/>
                <w:bCs/>
                <w:sz w:val="20"/>
                <w:szCs w:val="20"/>
              </w:rPr>
              <w:t>Deaths</w:t>
            </w:r>
          </w:p>
        </w:tc>
        <w:tc>
          <w:tcPr>
            <w:tcW w:w="474" w:type="pct"/>
            <w:tcBorders>
              <w:top w:val="single" w:sz="4" w:space="0" w:color="auto"/>
              <w:left w:val="nil"/>
              <w:bottom w:val="nil"/>
              <w:right w:val="nil"/>
            </w:tcBorders>
            <w:shd w:val="clear" w:color="auto" w:fill="auto"/>
            <w:hideMark/>
          </w:tcPr>
          <w:p w:rsidR="009A3F70" w:rsidRDefault="009A3F70" w:rsidP="000A1E52">
            <w:pPr>
              <w:keepNext/>
              <w:keepLines/>
              <w:spacing w:before="40" w:after="40" w:line="254" w:lineRule="auto"/>
              <w:jc w:val="center"/>
              <w:rPr>
                <w:rFonts w:ascii="Arial Narrow" w:eastAsia="Times New Roman" w:hAnsi="Arial Narrow" w:cs="Calibri"/>
                <w:bCs/>
                <w:sz w:val="20"/>
                <w:szCs w:val="20"/>
              </w:rPr>
            </w:pPr>
            <w:r>
              <w:rPr>
                <w:rFonts w:ascii="Arial Narrow" w:eastAsia="Times New Roman" w:hAnsi="Arial Narrow" w:cs="Calibri"/>
                <w:bCs/>
                <w:sz w:val="20"/>
                <w:szCs w:val="20"/>
              </w:rPr>
              <w:t>181</w:t>
            </w:r>
          </w:p>
        </w:tc>
        <w:tc>
          <w:tcPr>
            <w:tcW w:w="551" w:type="pct"/>
            <w:tcBorders>
              <w:top w:val="single" w:sz="4" w:space="0" w:color="auto"/>
              <w:left w:val="nil"/>
              <w:bottom w:val="nil"/>
              <w:right w:val="single" w:sz="4" w:space="0" w:color="auto"/>
            </w:tcBorders>
            <w:shd w:val="clear" w:color="auto" w:fill="auto"/>
            <w:hideMark/>
          </w:tcPr>
          <w:p w:rsidR="009A3F70" w:rsidRDefault="009A3F70" w:rsidP="000A1E52">
            <w:pPr>
              <w:keepNext/>
              <w:keepLines/>
              <w:spacing w:before="40" w:after="40" w:line="254" w:lineRule="auto"/>
              <w:jc w:val="center"/>
              <w:rPr>
                <w:rFonts w:ascii="Arial Narrow" w:eastAsia="Times New Roman" w:hAnsi="Arial Narrow" w:cs="Calibri"/>
                <w:bCs/>
                <w:sz w:val="20"/>
                <w:szCs w:val="20"/>
              </w:rPr>
            </w:pPr>
            <w:r>
              <w:rPr>
                <w:rFonts w:ascii="Arial Narrow" w:eastAsia="Times New Roman" w:hAnsi="Arial Narrow" w:cs="Calibri"/>
                <w:bCs/>
                <w:sz w:val="20"/>
                <w:szCs w:val="20"/>
              </w:rPr>
              <w:t>(40.0)</w:t>
            </w:r>
          </w:p>
        </w:tc>
        <w:tc>
          <w:tcPr>
            <w:tcW w:w="471" w:type="pct"/>
            <w:tcBorders>
              <w:top w:val="single" w:sz="4" w:space="0" w:color="auto"/>
              <w:left w:val="nil"/>
              <w:bottom w:val="nil"/>
              <w:right w:val="nil"/>
            </w:tcBorders>
            <w:shd w:val="clear" w:color="auto" w:fill="auto"/>
            <w:hideMark/>
          </w:tcPr>
          <w:p w:rsidR="009A3F70" w:rsidRDefault="009A3F70" w:rsidP="000A1E52">
            <w:pPr>
              <w:keepNext/>
              <w:keepLines/>
              <w:spacing w:before="40" w:after="40" w:line="254" w:lineRule="auto"/>
              <w:jc w:val="center"/>
              <w:rPr>
                <w:rFonts w:ascii="Arial Narrow" w:eastAsia="Times New Roman" w:hAnsi="Arial Narrow" w:cs="Calibri"/>
                <w:bCs/>
                <w:sz w:val="20"/>
                <w:szCs w:val="20"/>
              </w:rPr>
            </w:pPr>
            <w:r>
              <w:rPr>
                <w:rFonts w:ascii="Arial Narrow" w:eastAsia="Times New Roman" w:hAnsi="Arial Narrow" w:cs="Calibri"/>
                <w:bCs/>
                <w:sz w:val="20"/>
                <w:szCs w:val="20"/>
              </w:rPr>
              <w:t>203</w:t>
            </w:r>
          </w:p>
        </w:tc>
        <w:tc>
          <w:tcPr>
            <w:tcW w:w="472" w:type="pct"/>
            <w:tcBorders>
              <w:top w:val="single" w:sz="4" w:space="0" w:color="auto"/>
              <w:left w:val="nil"/>
              <w:bottom w:val="nil"/>
              <w:right w:val="single" w:sz="4" w:space="0" w:color="auto"/>
            </w:tcBorders>
            <w:shd w:val="clear" w:color="auto" w:fill="auto"/>
            <w:hideMark/>
          </w:tcPr>
          <w:p w:rsidR="009A3F70" w:rsidRDefault="009A3F70" w:rsidP="000A1E52">
            <w:pPr>
              <w:keepNext/>
              <w:keepLines/>
              <w:spacing w:before="40" w:after="40" w:line="254" w:lineRule="auto"/>
              <w:jc w:val="center"/>
              <w:rPr>
                <w:rFonts w:ascii="Arial Narrow" w:eastAsia="Times New Roman" w:hAnsi="Arial Narrow" w:cs="Calibri"/>
                <w:bCs/>
                <w:sz w:val="20"/>
                <w:szCs w:val="20"/>
              </w:rPr>
            </w:pPr>
            <w:r>
              <w:rPr>
                <w:rFonts w:ascii="Arial Narrow" w:eastAsia="Times New Roman" w:hAnsi="Arial Narrow" w:cs="Calibri"/>
                <w:bCs/>
                <w:sz w:val="20"/>
                <w:szCs w:val="20"/>
              </w:rPr>
              <w:t>(46.3)</w:t>
            </w:r>
          </w:p>
        </w:tc>
        <w:tc>
          <w:tcPr>
            <w:tcW w:w="1465" w:type="pct"/>
            <w:tcBorders>
              <w:top w:val="single" w:sz="4" w:space="0" w:color="auto"/>
              <w:left w:val="single" w:sz="4" w:space="0" w:color="auto"/>
              <w:bottom w:val="nil"/>
              <w:right w:val="single" w:sz="4" w:space="0" w:color="auto"/>
            </w:tcBorders>
            <w:shd w:val="clear" w:color="auto" w:fill="auto"/>
            <w:hideMark/>
          </w:tcPr>
          <w:p w:rsidR="009A3F70" w:rsidRDefault="009A3F70" w:rsidP="000A1E52">
            <w:pPr>
              <w:keepNext/>
              <w:keepLines/>
              <w:spacing w:before="40" w:after="40" w:line="254" w:lineRule="auto"/>
              <w:jc w:val="center"/>
              <w:rPr>
                <w:rFonts w:ascii="Arial Narrow" w:eastAsia="Times New Roman" w:hAnsi="Arial Narrow" w:cs="Calibri"/>
                <w:bCs/>
                <w:sz w:val="20"/>
                <w:szCs w:val="20"/>
              </w:rPr>
            </w:pPr>
            <w:r>
              <w:rPr>
                <w:rFonts w:ascii="Arial Narrow" w:eastAsia="Times New Roman" w:hAnsi="Arial Narrow" w:cs="Calibri"/>
                <w:bCs/>
                <w:sz w:val="20"/>
                <w:szCs w:val="20"/>
              </w:rPr>
              <w:t>0.86 (0.74, 1.01)</w:t>
            </w:r>
          </w:p>
        </w:tc>
      </w:tr>
      <w:tr w:rsidR="00780E71" w:rsidTr="00057FA9">
        <w:tc>
          <w:tcPr>
            <w:tcW w:w="1567" w:type="pct"/>
            <w:tcBorders>
              <w:top w:val="nil"/>
              <w:left w:val="single" w:sz="4" w:space="0" w:color="auto"/>
              <w:bottom w:val="nil"/>
              <w:right w:val="single" w:sz="4" w:space="0" w:color="auto"/>
            </w:tcBorders>
            <w:shd w:val="clear" w:color="auto" w:fill="auto"/>
            <w:hideMark/>
          </w:tcPr>
          <w:p w:rsidR="009A3F70" w:rsidRDefault="009A3F70" w:rsidP="000A1E52">
            <w:pPr>
              <w:keepNext/>
              <w:keepLines/>
              <w:spacing w:before="40" w:after="40" w:line="254" w:lineRule="auto"/>
              <w:rPr>
                <w:rFonts w:ascii="Arial Narrow" w:eastAsia="Times New Roman" w:hAnsi="Arial Narrow" w:cs="Calibri"/>
                <w:bCs/>
                <w:sz w:val="20"/>
                <w:szCs w:val="20"/>
              </w:rPr>
            </w:pPr>
            <w:r>
              <w:rPr>
                <w:rFonts w:ascii="Arial Narrow" w:eastAsia="Times New Roman" w:hAnsi="Arial Narrow" w:cs="Calibri"/>
                <w:bCs/>
                <w:sz w:val="20"/>
                <w:szCs w:val="20"/>
              </w:rPr>
              <w:t>Cause of death</w:t>
            </w:r>
          </w:p>
        </w:tc>
        <w:tc>
          <w:tcPr>
            <w:tcW w:w="474" w:type="pct"/>
            <w:shd w:val="clear" w:color="auto" w:fill="auto"/>
          </w:tcPr>
          <w:p w:rsidR="009A3F70" w:rsidRDefault="009A3F70" w:rsidP="000A1E52">
            <w:pPr>
              <w:keepNext/>
              <w:keepLines/>
              <w:spacing w:before="40" w:after="40" w:line="254" w:lineRule="auto"/>
              <w:jc w:val="center"/>
              <w:rPr>
                <w:rFonts w:ascii="Arial Narrow" w:eastAsia="Times New Roman" w:hAnsi="Arial Narrow" w:cs="Calibri"/>
                <w:bCs/>
                <w:sz w:val="20"/>
                <w:szCs w:val="20"/>
              </w:rPr>
            </w:pPr>
          </w:p>
        </w:tc>
        <w:tc>
          <w:tcPr>
            <w:tcW w:w="551" w:type="pct"/>
            <w:tcBorders>
              <w:top w:val="nil"/>
              <w:left w:val="nil"/>
              <w:bottom w:val="nil"/>
              <w:right w:val="single" w:sz="4" w:space="0" w:color="auto"/>
            </w:tcBorders>
            <w:shd w:val="clear" w:color="auto" w:fill="auto"/>
          </w:tcPr>
          <w:p w:rsidR="009A3F70" w:rsidRDefault="009A3F70" w:rsidP="000A1E52">
            <w:pPr>
              <w:keepNext/>
              <w:keepLines/>
              <w:spacing w:before="40" w:after="40" w:line="254" w:lineRule="auto"/>
              <w:jc w:val="center"/>
              <w:rPr>
                <w:rFonts w:ascii="Arial Narrow" w:eastAsia="Times New Roman" w:hAnsi="Arial Narrow" w:cs="Calibri"/>
                <w:bCs/>
                <w:sz w:val="20"/>
                <w:szCs w:val="20"/>
              </w:rPr>
            </w:pPr>
          </w:p>
        </w:tc>
        <w:tc>
          <w:tcPr>
            <w:tcW w:w="471" w:type="pct"/>
            <w:shd w:val="clear" w:color="auto" w:fill="auto"/>
          </w:tcPr>
          <w:p w:rsidR="009A3F70" w:rsidRDefault="009A3F70" w:rsidP="000A1E52">
            <w:pPr>
              <w:keepNext/>
              <w:keepLines/>
              <w:spacing w:before="40" w:after="40" w:line="254" w:lineRule="auto"/>
              <w:jc w:val="center"/>
              <w:rPr>
                <w:rFonts w:ascii="Arial Narrow" w:eastAsia="Times New Roman" w:hAnsi="Arial Narrow" w:cs="Calibri"/>
                <w:bCs/>
                <w:sz w:val="20"/>
                <w:szCs w:val="20"/>
              </w:rPr>
            </w:pPr>
          </w:p>
        </w:tc>
        <w:tc>
          <w:tcPr>
            <w:tcW w:w="472" w:type="pct"/>
            <w:tcBorders>
              <w:top w:val="nil"/>
              <w:left w:val="nil"/>
              <w:bottom w:val="nil"/>
              <w:right w:val="single" w:sz="4" w:space="0" w:color="auto"/>
            </w:tcBorders>
            <w:shd w:val="clear" w:color="auto" w:fill="auto"/>
          </w:tcPr>
          <w:p w:rsidR="009A3F70" w:rsidRDefault="009A3F70" w:rsidP="000A1E52">
            <w:pPr>
              <w:keepNext/>
              <w:keepLines/>
              <w:spacing w:before="40" w:after="40" w:line="254" w:lineRule="auto"/>
              <w:jc w:val="center"/>
              <w:rPr>
                <w:rFonts w:ascii="Arial Narrow" w:eastAsia="Times New Roman" w:hAnsi="Arial Narrow" w:cs="Calibri"/>
                <w:bCs/>
                <w:sz w:val="20"/>
                <w:szCs w:val="20"/>
              </w:rPr>
            </w:pPr>
          </w:p>
        </w:tc>
        <w:tc>
          <w:tcPr>
            <w:tcW w:w="1465" w:type="pct"/>
            <w:tcBorders>
              <w:top w:val="nil"/>
              <w:left w:val="single" w:sz="4" w:space="0" w:color="auto"/>
              <w:bottom w:val="nil"/>
              <w:right w:val="single" w:sz="4" w:space="0" w:color="auto"/>
            </w:tcBorders>
            <w:shd w:val="clear" w:color="auto" w:fill="auto"/>
          </w:tcPr>
          <w:p w:rsidR="009A3F70" w:rsidRDefault="009A3F70" w:rsidP="000A1E52">
            <w:pPr>
              <w:keepNext/>
              <w:keepLines/>
              <w:spacing w:before="40" w:after="40" w:line="254" w:lineRule="auto"/>
              <w:jc w:val="center"/>
              <w:rPr>
                <w:rFonts w:ascii="Arial Narrow" w:eastAsia="Times New Roman" w:hAnsi="Arial Narrow" w:cs="Calibri"/>
                <w:bCs/>
                <w:sz w:val="20"/>
                <w:szCs w:val="20"/>
              </w:rPr>
            </w:pPr>
          </w:p>
        </w:tc>
      </w:tr>
      <w:tr w:rsidR="00780E71" w:rsidTr="00057FA9">
        <w:tc>
          <w:tcPr>
            <w:tcW w:w="1567" w:type="pct"/>
            <w:tcBorders>
              <w:top w:val="nil"/>
              <w:left w:val="single" w:sz="4" w:space="0" w:color="auto"/>
              <w:bottom w:val="nil"/>
              <w:right w:val="single" w:sz="4" w:space="0" w:color="auto"/>
            </w:tcBorders>
            <w:shd w:val="clear" w:color="auto" w:fill="auto"/>
            <w:hideMark/>
          </w:tcPr>
          <w:p w:rsidR="009A3F70" w:rsidRDefault="009A3F70" w:rsidP="000A1E52">
            <w:pPr>
              <w:keepNext/>
              <w:keepLines/>
              <w:spacing w:before="40" w:after="40" w:line="254" w:lineRule="auto"/>
              <w:ind w:left="318"/>
              <w:rPr>
                <w:rFonts w:ascii="Arial Narrow" w:eastAsia="Times New Roman" w:hAnsi="Arial Narrow" w:cs="Calibri"/>
                <w:bCs/>
                <w:sz w:val="20"/>
                <w:szCs w:val="20"/>
              </w:rPr>
            </w:pPr>
            <w:r>
              <w:rPr>
                <w:rFonts w:ascii="Arial Narrow" w:eastAsia="Times New Roman" w:hAnsi="Arial Narrow" w:cs="Calibri"/>
                <w:bCs/>
                <w:sz w:val="20"/>
                <w:szCs w:val="20"/>
              </w:rPr>
              <w:t>Adverse event</w:t>
            </w:r>
          </w:p>
        </w:tc>
        <w:tc>
          <w:tcPr>
            <w:tcW w:w="474" w:type="pct"/>
            <w:shd w:val="clear" w:color="auto" w:fill="auto"/>
            <w:hideMark/>
          </w:tcPr>
          <w:p w:rsidR="009A3F70" w:rsidRDefault="009A3F70" w:rsidP="000A1E52">
            <w:pPr>
              <w:keepNext/>
              <w:keepLines/>
              <w:spacing w:before="40" w:after="40" w:line="254" w:lineRule="auto"/>
              <w:jc w:val="center"/>
              <w:rPr>
                <w:rFonts w:ascii="Arial Narrow" w:eastAsia="Times New Roman" w:hAnsi="Arial Narrow" w:cs="Calibri"/>
                <w:bCs/>
                <w:sz w:val="20"/>
                <w:szCs w:val="20"/>
              </w:rPr>
            </w:pPr>
            <w:r>
              <w:rPr>
                <w:rFonts w:ascii="Arial Narrow" w:eastAsia="Times New Roman" w:hAnsi="Arial Narrow" w:cs="Calibri"/>
                <w:bCs/>
                <w:sz w:val="20"/>
                <w:szCs w:val="20"/>
              </w:rPr>
              <w:t>6</w:t>
            </w:r>
          </w:p>
        </w:tc>
        <w:tc>
          <w:tcPr>
            <w:tcW w:w="551" w:type="pct"/>
            <w:tcBorders>
              <w:top w:val="nil"/>
              <w:left w:val="nil"/>
              <w:bottom w:val="nil"/>
              <w:right w:val="single" w:sz="4" w:space="0" w:color="auto"/>
            </w:tcBorders>
            <w:shd w:val="clear" w:color="auto" w:fill="auto"/>
            <w:hideMark/>
          </w:tcPr>
          <w:p w:rsidR="009A3F70" w:rsidRDefault="009A3F70" w:rsidP="000A1E52">
            <w:pPr>
              <w:keepNext/>
              <w:keepLines/>
              <w:spacing w:before="40" w:after="40" w:line="254" w:lineRule="auto"/>
              <w:jc w:val="center"/>
              <w:rPr>
                <w:rFonts w:ascii="Arial Narrow" w:eastAsia="Times New Roman" w:hAnsi="Arial Narrow" w:cs="Calibri"/>
                <w:bCs/>
                <w:sz w:val="20"/>
                <w:szCs w:val="20"/>
              </w:rPr>
            </w:pPr>
            <w:r>
              <w:rPr>
                <w:rFonts w:ascii="Arial Narrow" w:eastAsia="Times New Roman" w:hAnsi="Arial Narrow" w:cs="Calibri"/>
                <w:bCs/>
                <w:sz w:val="20"/>
                <w:szCs w:val="20"/>
              </w:rPr>
              <w:t>(1.3)</w:t>
            </w:r>
          </w:p>
        </w:tc>
        <w:tc>
          <w:tcPr>
            <w:tcW w:w="471" w:type="pct"/>
            <w:shd w:val="clear" w:color="auto" w:fill="auto"/>
            <w:hideMark/>
          </w:tcPr>
          <w:p w:rsidR="009A3F70" w:rsidRDefault="009A3F70" w:rsidP="000A1E52">
            <w:pPr>
              <w:keepNext/>
              <w:keepLines/>
              <w:spacing w:before="40" w:after="40" w:line="254" w:lineRule="auto"/>
              <w:jc w:val="center"/>
              <w:rPr>
                <w:rFonts w:ascii="Arial Narrow" w:eastAsia="Times New Roman" w:hAnsi="Arial Narrow" w:cs="Calibri"/>
                <w:bCs/>
                <w:sz w:val="20"/>
                <w:szCs w:val="20"/>
              </w:rPr>
            </w:pPr>
            <w:r>
              <w:rPr>
                <w:rFonts w:ascii="Arial Narrow" w:eastAsia="Times New Roman" w:hAnsi="Arial Narrow" w:cs="Calibri"/>
                <w:bCs/>
                <w:sz w:val="20"/>
                <w:szCs w:val="20"/>
              </w:rPr>
              <w:t>3</w:t>
            </w:r>
          </w:p>
        </w:tc>
        <w:tc>
          <w:tcPr>
            <w:tcW w:w="472" w:type="pct"/>
            <w:tcBorders>
              <w:top w:val="nil"/>
              <w:left w:val="nil"/>
              <w:bottom w:val="nil"/>
              <w:right w:val="single" w:sz="4" w:space="0" w:color="auto"/>
            </w:tcBorders>
            <w:shd w:val="clear" w:color="auto" w:fill="auto"/>
            <w:hideMark/>
          </w:tcPr>
          <w:p w:rsidR="009A3F70" w:rsidRDefault="009A3F70" w:rsidP="000A1E52">
            <w:pPr>
              <w:keepNext/>
              <w:keepLines/>
              <w:spacing w:before="40" w:after="40" w:line="254" w:lineRule="auto"/>
              <w:jc w:val="center"/>
              <w:rPr>
                <w:rFonts w:ascii="Arial Narrow" w:eastAsia="Times New Roman" w:hAnsi="Arial Narrow" w:cs="Calibri"/>
                <w:bCs/>
                <w:sz w:val="20"/>
                <w:szCs w:val="20"/>
              </w:rPr>
            </w:pPr>
            <w:r>
              <w:rPr>
                <w:rFonts w:ascii="Arial Narrow" w:eastAsia="Times New Roman" w:hAnsi="Arial Narrow" w:cs="Calibri"/>
                <w:bCs/>
                <w:sz w:val="20"/>
                <w:szCs w:val="20"/>
              </w:rPr>
              <w:t>(0.7)</w:t>
            </w:r>
          </w:p>
        </w:tc>
        <w:tc>
          <w:tcPr>
            <w:tcW w:w="1465" w:type="pct"/>
            <w:tcBorders>
              <w:top w:val="nil"/>
              <w:left w:val="single" w:sz="4" w:space="0" w:color="auto"/>
              <w:bottom w:val="nil"/>
              <w:right w:val="single" w:sz="4" w:space="0" w:color="auto"/>
            </w:tcBorders>
            <w:shd w:val="clear" w:color="auto" w:fill="auto"/>
            <w:hideMark/>
          </w:tcPr>
          <w:p w:rsidR="009A3F70" w:rsidRDefault="009A3F70" w:rsidP="000A1E52">
            <w:pPr>
              <w:keepNext/>
              <w:keepLines/>
              <w:spacing w:before="40" w:after="40" w:line="254" w:lineRule="auto"/>
              <w:jc w:val="center"/>
              <w:rPr>
                <w:rFonts w:ascii="Arial Narrow" w:eastAsia="Times New Roman" w:hAnsi="Arial Narrow" w:cs="Calibri"/>
                <w:bCs/>
                <w:sz w:val="20"/>
                <w:szCs w:val="20"/>
              </w:rPr>
            </w:pPr>
            <w:r>
              <w:rPr>
                <w:rFonts w:ascii="Arial Narrow" w:eastAsia="Times New Roman" w:hAnsi="Arial Narrow" w:cs="Calibri"/>
                <w:bCs/>
                <w:sz w:val="20"/>
                <w:szCs w:val="20"/>
              </w:rPr>
              <w:t>1.94 (0.49, 7.70)</w:t>
            </w:r>
          </w:p>
        </w:tc>
      </w:tr>
      <w:tr w:rsidR="00780E71" w:rsidTr="00057FA9">
        <w:tc>
          <w:tcPr>
            <w:tcW w:w="1567" w:type="pct"/>
            <w:tcBorders>
              <w:top w:val="nil"/>
              <w:left w:val="single" w:sz="4" w:space="0" w:color="auto"/>
              <w:bottom w:val="nil"/>
              <w:right w:val="single" w:sz="4" w:space="0" w:color="auto"/>
            </w:tcBorders>
            <w:shd w:val="clear" w:color="auto" w:fill="auto"/>
            <w:hideMark/>
          </w:tcPr>
          <w:p w:rsidR="009A3F70" w:rsidRDefault="009A3F70" w:rsidP="000A1E52">
            <w:pPr>
              <w:keepNext/>
              <w:keepLines/>
              <w:spacing w:before="40" w:after="40" w:line="254" w:lineRule="auto"/>
              <w:ind w:left="318"/>
              <w:rPr>
                <w:rFonts w:ascii="Arial Narrow" w:eastAsia="Times New Roman" w:hAnsi="Arial Narrow" w:cs="Calibri"/>
                <w:bCs/>
                <w:sz w:val="20"/>
                <w:szCs w:val="20"/>
              </w:rPr>
            </w:pPr>
            <w:r>
              <w:rPr>
                <w:rFonts w:ascii="Arial Narrow" w:eastAsia="Times New Roman" w:hAnsi="Arial Narrow" w:cs="Calibri"/>
                <w:bCs/>
                <w:sz w:val="20"/>
                <w:szCs w:val="20"/>
              </w:rPr>
              <w:t>Progressive disease</w:t>
            </w:r>
          </w:p>
        </w:tc>
        <w:tc>
          <w:tcPr>
            <w:tcW w:w="474" w:type="pct"/>
            <w:shd w:val="clear" w:color="auto" w:fill="auto"/>
            <w:hideMark/>
          </w:tcPr>
          <w:p w:rsidR="009A3F70" w:rsidRDefault="009A3F70" w:rsidP="000A1E52">
            <w:pPr>
              <w:keepNext/>
              <w:keepLines/>
              <w:spacing w:before="40" w:after="40" w:line="254" w:lineRule="auto"/>
              <w:jc w:val="center"/>
              <w:rPr>
                <w:rFonts w:ascii="Arial Narrow" w:eastAsia="Times New Roman" w:hAnsi="Arial Narrow" w:cs="Calibri"/>
                <w:bCs/>
                <w:sz w:val="20"/>
                <w:szCs w:val="20"/>
              </w:rPr>
            </w:pPr>
            <w:r>
              <w:rPr>
                <w:rFonts w:ascii="Arial Narrow" w:eastAsia="Times New Roman" w:hAnsi="Arial Narrow" w:cs="Calibri"/>
                <w:bCs/>
                <w:sz w:val="20"/>
                <w:szCs w:val="20"/>
              </w:rPr>
              <w:t>157</w:t>
            </w:r>
          </w:p>
        </w:tc>
        <w:tc>
          <w:tcPr>
            <w:tcW w:w="551" w:type="pct"/>
            <w:tcBorders>
              <w:top w:val="nil"/>
              <w:left w:val="nil"/>
              <w:bottom w:val="nil"/>
              <w:right w:val="single" w:sz="4" w:space="0" w:color="auto"/>
            </w:tcBorders>
            <w:shd w:val="clear" w:color="auto" w:fill="auto"/>
            <w:hideMark/>
          </w:tcPr>
          <w:p w:rsidR="009A3F70" w:rsidRDefault="009A3F70" w:rsidP="000A1E52">
            <w:pPr>
              <w:keepNext/>
              <w:keepLines/>
              <w:spacing w:before="40" w:after="40" w:line="254" w:lineRule="auto"/>
              <w:jc w:val="center"/>
              <w:rPr>
                <w:rFonts w:ascii="Arial Narrow" w:eastAsia="Times New Roman" w:hAnsi="Arial Narrow" w:cs="Calibri"/>
                <w:bCs/>
                <w:sz w:val="20"/>
                <w:szCs w:val="20"/>
              </w:rPr>
            </w:pPr>
            <w:r>
              <w:rPr>
                <w:rFonts w:ascii="Arial Narrow" w:eastAsia="Times New Roman" w:hAnsi="Arial Narrow" w:cs="Calibri"/>
                <w:bCs/>
                <w:sz w:val="20"/>
                <w:szCs w:val="20"/>
              </w:rPr>
              <w:t>(34.7)</w:t>
            </w:r>
          </w:p>
        </w:tc>
        <w:tc>
          <w:tcPr>
            <w:tcW w:w="471" w:type="pct"/>
            <w:shd w:val="clear" w:color="auto" w:fill="auto"/>
            <w:hideMark/>
          </w:tcPr>
          <w:p w:rsidR="009A3F70" w:rsidRDefault="009A3F70" w:rsidP="000A1E52">
            <w:pPr>
              <w:keepNext/>
              <w:keepLines/>
              <w:spacing w:before="40" w:after="40" w:line="254" w:lineRule="auto"/>
              <w:jc w:val="center"/>
              <w:rPr>
                <w:rFonts w:ascii="Arial Narrow" w:eastAsia="Times New Roman" w:hAnsi="Arial Narrow" w:cs="Calibri"/>
                <w:bCs/>
                <w:sz w:val="20"/>
                <w:szCs w:val="20"/>
              </w:rPr>
            </w:pPr>
            <w:r>
              <w:rPr>
                <w:rFonts w:ascii="Arial Narrow" w:eastAsia="Times New Roman" w:hAnsi="Arial Narrow" w:cs="Calibri"/>
                <w:bCs/>
                <w:sz w:val="20"/>
                <w:szCs w:val="20"/>
              </w:rPr>
              <w:t>186</w:t>
            </w:r>
          </w:p>
        </w:tc>
        <w:tc>
          <w:tcPr>
            <w:tcW w:w="472" w:type="pct"/>
            <w:tcBorders>
              <w:top w:val="nil"/>
              <w:left w:val="nil"/>
              <w:bottom w:val="nil"/>
              <w:right w:val="single" w:sz="4" w:space="0" w:color="auto"/>
            </w:tcBorders>
            <w:shd w:val="clear" w:color="auto" w:fill="auto"/>
            <w:hideMark/>
          </w:tcPr>
          <w:p w:rsidR="009A3F70" w:rsidRDefault="009A3F70" w:rsidP="000A1E52">
            <w:pPr>
              <w:keepNext/>
              <w:keepLines/>
              <w:spacing w:before="40" w:after="40" w:line="254" w:lineRule="auto"/>
              <w:jc w:val="center"/>
              <w:rPr>
                <w:rFonts w:ascii="Arial Narrow" w:eastAsia="Times New Roman" w:hAnsi="Arial Narrow" w:cs="Calibri"/>
                <w:bCs/>
                <w:sz w:val="20"/>
                <w:szCs w:val="20"/>
              </w:rPr>
            </w:pPr>
            <w:r>
              <w:rPr>
                <w:rFonts w:ascii="Arial Narrow" w:eastAsia="Times New Roman" w:hAnsi="Arial Narrow" w:cs="Calibri"/>
                <w:bCs/>
                <w:sz w:val="20"/>
                <w:szCs w:val="20"/>
              </w:rPr>
              <w:t>(42.5)</w:t>
            </w:r>
          </w:p>
        </w:tc>
        <w:tc>
          <w:tcPr>
            <w:tcW w:w="1465" w:type="pct"/>
            <w:tcBorders>
              <w:top w:val="nil"/>
              <w:left w:val="single" w:sz="4" w:space="0" w:color="auto"/>
              <w:bottom w:val="nil"/>
              <w:right w:val="single" w:sz="4" w:space="0" w:color="auto"/>
            </w:tcBorders>
            <w:shd w:val="clear" w:color="auto" w:fill="auto"/>
            <w:hideMark/>
          </w:tcPr>
          <w:p w:rsidR="009A3F70" w:rsidRDefault="009A3F70" w:rsidP="000A1E52">
            <w:pPr>
              <w:keepNext/>
              <w:keepLines/>
              <w:spacing w:before="40" w:after="40" w:line="254" w:lineRule="auto"/>
              <w:jc w:val="center"/>
              <w:rPr>
                <w:rFonts w:ascii="Arial Narrow" w:eastAsia="Times New Roman" w:hAnsi="Arial Narrow" w:cs="Calibri"/>
                <w:bCs/>
                <w:sz w:val="20"/>
                <w:szCs w:val="20"/>
              </w:rPr>
            </w:pPr>
            <w:r>
              <w:rPr>
                <w:rFonts w:ascii="Arial Narrow" w:eastAsia="Times New Roman" w:hAnsi="Arial Narrow" w:cs="Calibri"/>
                <w:bCs/>
                <w:sz w:val="20"/>
                <w:szCs w:val="20"/>
              </w:rPr>
              <w:t>0.82 (0.69, 0.97)</w:t>
            </w:r>
          </w:p>
        </w:tc>
      </w:tr>
      <w:tr w:rsidR="00780E71" w:rsidTr="00057FA9">
        <w:tc>
          <w:tcPr>
            <w:tcW w:w="1567" w:type="pct"/>
            <w:tcBorders>
              <w:top w:val="nil"/>
              <w:left w:val="single" w:sz="4" w:space="0" w:color="auto"/>
              <w:bottom w:val="single" w:sz="4" w:space="0" w:color="auto"/>
              <w:right w:val="single" w:sz="4" w:space="0" w:color="auto"/>
            </w:tcBorders>
            <w:shd w:val="clear" w:color="auto" w:fill="auto"/>
            <w:hideMark/>
          </w:tcPr>
          <w:p w:rsidR="009A3F70" w:rsidRDefault="009A3F70" w:rsidP="000A1E52">
            <w:pPr>
              <w:keepNext/>
              <w:keepLines/>
              <w:spacing w:before="40" w:after="40" w:line="254" w:lineRule="auto"/>
              <w:ind w:left="318"/>
              <w:rPr>
                <w:rFonts w:ascii="Arial Narrow" w:eastAsia="Times New Roman" w:hAnsi="Arial Narrow" w:cs="Calibri"/>
                <w:bCs/>
                <w:sz w:val="20"/>
                <w:szCs w:val="20"/>
                <w:vertAlign w:val="superscript"/>
              </w:rPr>
            </w:pPr>
            <w:r>
              <w:rPr>
                <w:rFonts w:ascii="Arial Narrow" w:eastAsia="Times New Roman" w:hAnsi="Arial Narrow" w:cs="Calibri"/>
                <w:bCs/>
                <w:sz w:val="20"/>
                <w:szCs w:val="20"/>
              </w:rPr>
              <w:t>Other</w:t>
            </w:r>
            <w:r>
              <w:rPr>
                <w:rFonts w:ascii="Arial Narrow" w:eastAsia="Times New Roman" w:hAnsi="Arial Narrow" w:cs="Calibri"/>
                <w:bCs/>
                <w:sz w:val="20"/>
                <w:szCs w:val="20"/>
                <w:vertAlign w:val="superscript"/>
              </w:rPr>
              <w:t>a</w:t>
            </w:r>
          </w:p>
        </w:tc>
        <w:tc>
          <w:tcPr>
            <w:tcW w:w="474" w:type="pct"/>
            <w:tcBorders>
              <w:top w:val="nil"/>
              <w:left w:val="nil"/>
              <w:bottom w:val="single" w:sz="4" w:space="0" w:color="auto"/>
              <w:right w:val="nil"/>
            </w:tcBorders>
            <w:shd w:val="clear" w:color="auto" w:fill="auto"/>
            <w:hideMark/>
          </w:tcPr>
          <w:p w:rsidR="009A3F70" w:rsidRDefault="009A3F70" w:rsidP="000A1E52">
            <w:pPr>
              <w:keepNext/>
              <w:keepLines/>
              <w:spacing w:before="40" w:after="40" w:line="254" w:lineRule="auto"/>
              <w:jc w:val="center"/>
              <w:rPr>
                <w:rFonts w:ascii="Arial Narrow" w:eastAsia="Times New Roman" w:hAnsi="Arial Narrow" w:cs="Calibri"/>
                <w:bCs/>
                <w:sz w:val="20"/>
                <w:szCs w:val="20"/>
              </w:rPr>
            </w:pPr>
            <w:r>
              <w:rPr>
                <w:rFonts w:ascii="Arial Narrow" w:eastAsia="Times New Roman" w:hAnsi="Arial Narrow" w:cs="Calibri"/>
                <w:bCs/>
                <w:sz w:val="20"/>
                <w:szCs w:val="20"/>
              </w:rPr>
              <w:t>18</w:t>
            </w:r>
          </w:p>
        </w:tc>
        <w:tc>
          <w:tcPr>
            <w:tcW w:w="551" w:type="pct"/>
            <w:tcBorders>
              <w:top w:val="nil"/>
              <w:left w:val="nil"/>
              <w:bottom w:val="single" w:sz="4" w:space="0" w:color="auto"/>
              <w:right w:val="single" w:sz="4" w:space="0" w:color="auto"/>
            </w:tcBorders>
            <w:shd w:val="clear" w:color="auto" w:fill="auto"/>
            <w:hideMark/>
          </w:tcPr>
          <w:p w:rsidR="009A3F70" w:rsidRDefault="009A3F70" w:rsidP="000A1E52">
            <w:pPr>
              <w:keepNext/>
              <w:keepLines/>
              <w:spacing w:before="40" w:after="40" w:line="254" w:lineRule="auto"/>
              <w:jc w:val="center"/>
              <w:rPr>
                <w:rFonts w:ascii="Arial Narrow" w:eastAsia="Times New Roman" w:hAnsi="Arial Narrow" w:cs="Calibri"/>
                <w:bCs/>
                <w:sz w:val="20"/>
                <w:szCs w:val="20"/>
              </w:rPr>
            </w:pPr>
            <w:r>
              <w:rPr>
                <w:rFonts w:ascii="Arial Narrow" w:eastAsia="Times New Roman" w:hAnsi="Arial Narrow" w:cs="Calibri"/>
                <w:bCs/>
                <w:sz w:val="20"/>
                <w:szCs w:val="20"/>
              </w:rPr>
              <w:t>(4.0)</w:t>
            </w:r>
          </w:p>
        </w:tc>
        <w:tc>
          <w:tcPr>
            <w:tcW w:w="471" w:type="pct"/>
            <w:tcBorders>
              <w:top w:val="nil"/>
              <w:left w:val="nil"/>
              <w:bottom w:val="single" w:sz="4" w:space="0" w:color="auto"/>
              <w:right w:val="nil"/>
            </w:tcBorders>
            <w:shd w:val="clear" w:color="auto" w:fill="auto"/>
            <w:hideMark/>
          </w:tcPr>
          <w:p w:rsidR="009A3F70" w:rsidRDefault="009A3F70" w:rsidP="000A1E52">
            <w:pPr>
              <w:keepNext/>
              <w:keepLines/>
              <w:spacing w:before="40" w:after="40" w:line="254" w:lineRule="auto"/>
              <w:jc w:val="center"/>
              <w:rPr>
                <w:rFonts w:ascii="Arial Narrow" w:eastAsia="Times New Roman" w:hAnsi="Arial Narrow" w:cs="Calibri"/>
                <w:bCs/>
                <w:sz w:val="20"/>
                <w:szCs w:val="20"/>
              </w:rPr>
            </w:pPr>
            <w:r>
              <w:rPr>
                <w:rFonts w:ascii="Arial Narrow" w:eastAsia="Times New Roman" w:hAnsi="Arial Narrow" w:cs="Calibri"/>
                <w:bCs/>
                <w:sz w:val="20"/>
                <w:szCs w:val="20"/>
              </w:rPr>
              <w:t>14</w:t>
            </w:r>
          </w:p>
        </w:tc>
        <w:tc>
          <w:tcPr>
            <w:tcW w:w="472" w:type="pct"/>
            <w:tcBorders>
              <w:top w:val="nil"/>
              <w:left w:val="nil"/>
              <w:bottom w:val="single" w:sz="4" w:space="0" w:color="auto"/>
              <w:right w:val="single" w:sz="4" w:space="0" w:color="auto"/>
            </w:tcBorders>
            <w:shd w:val="clear" w:color="auto" w:fill="auto"/>
            <w:hideMark/>
          </w:tcPr>
          <w:p w:rsidR="009A3F70" w:rsidRDefault="009A3F70" w:rsidP="000A1E52">
            <w:pPr>
              <w:keepNext/>
              <w:keepLines/>
              <w:spacing w:before="40" w:after="40" w:line="254" w:lineRule="auto"/>
              <w:jc w:val="center"/>
              <w:rPr>
                <w:rFonts w:ascii="Arial Narrow" w:eastAsia="Times New Roman" w:hAnsi="Arial Narrow" w:cs="Calibri"/>
                <w:bCs/>
                <w:sz w:val="20"/>
                <w:szCs w:val="20"/>
              </w:rPr>
            </w:pPr>
            <w:r>
              <w:rPr>
                <w:rFonts w:ascii="Arial Narrow" w:eastAsia="Times New Roman" w:hAnsi="Arial Narrow" w:cs="Calibri"/>
                <w:bCs/>
                <w:sz w:val="20"/>
                <w:szCs w:val="20"/>
              </w:rPr>
              <w:t>(3.2)</w:t>
            </w:r>
          </w:p>
        </w:tc>
        <w:tc>
          <w:tcPr>
            <w:tcW w:w="1465" w:type="pct"/>
            <w:tcBorders>
              <w:top w:val="nil"/>
              <w:left w:val="single" w:sz="4" w:space="0" w:color="auto"/>
              <w:bottom w:val="single" w:sz="4" w:space="0" w:color="auto"/>
              <w:right w:val="single" w:sz="4" w:space="0" w:color="auto"/>
            </w:tcBorders>
            <w:shd w:val="clear" w:color="auto" w:fill="auto"/>
            <w:hideMark/>
          </w:tcPr>
          <w:p w:rsidR="009A3F70" w:rsidRDefault="009A3F70" w:rsidP="000A1E52">
            <w:pPr>
              <w:keepNext/>
              <w:keepLines/>
              <w:spacing w:before="40" w:after="40" w:line="254" w:lineRule="auto"/>
              <w:jc w:val="center"/>
              <w:rPr>
                <w:rFonts w:ascii="Arial Narrow" w:eastAsia="Times New Roman" w:hAnsi="Arial Narrow" w:cs="Calibri"/>
                <w:bCs/>
                <w:sz w:val="20"/>
                <w:szCs w:val="20"/>
              </w:rPr>
            </w:pPr>
            <w:r>
              <w:rPr>
                <w:rFonts w:ascii="Arial Narrow" w:eastAsia="Times New Roman" w:hAnsi="Arial Narrow" w:cs="Calibri"/>
                <w:bCs/>
                <w:sz w:val="20"/>
                <w:szCs w:val="20"/>
              </w:rPr>
              <w:t>1.25 (0.63, 2.47)</w:t>
            </w:r>
          </w:p>
        </w:tc>
      </w:tr>
    </w:tbl>
    <w:p w:rsidR="009A3F70" w:rsidRDefault="009A3F70" w:rsidP="000A1E52">
      <w:pPr>
        <w:keepNext/>
        <w:keepLines/>
        <w:widowControl w:val="0"/>
        <w:snapToGrid w:val="0"/>
        <w:spacing w:after="240"/>
        <w:contextualSpacing/>
        <w:rPr>
          <w:rFonts w:ascii="Arial Narrow" w:eastAsia="Times New Roman" w:hAnsi="Arial Narrow" w:cs="Arial"/>
          <w:sz w:val="18"/>
          <w:szCs w:val="20"/>
        </w:rPr>
      </w:pPr>
      <w:r>
        <w:rPr>
          <w:rFonts w:ascii="Arial Narrow" w:eastAsia="Times New Roman" w:hAnsi="Arial Narrow" w:cs="Arial"/>
          <w:sz w:val="18"/>
          <w:szCs w:val="20"/>
        </w:rPr>
        <w:t xml:space="preserve">ATZ+nab-P = </w:t>
      </w:r>
      <w:r w:rsidR="002D0BCC">
        <w:rPr>
          <w:rFonts w:ascii="Arial Narrow" w:eastAsia="Times New Roman" w:hAnsi="Arial Narrow" w:cs="Arial"/>
          <w:sz w:val="18"/>
          <w:szCs w:val="20"/>
        </w:rPr>
        <w:t>a</w:t>
      </w:r>
      <w:r>
        <w:rPr>
          <w:rFonts w:ascii="Arial Narrow" w:eastAsia="Times New Roman" w:hAnsi="Arial Narrow" w:cs="Arial"/>
          <w:sz w:val="18"/>
          <w:szCs w:val="20"/>
        </w:rPr>
        <w:t>tezolizumab + nab-paclitaxel; CI</w:t>
      </w:r>
      <w:r w:rsidR="001B15C6">
        <w:rPr>
          <w:rFonts w:ascii="Arial Narrow" w:eastAsia="Times New Roman" w:hAnsi="Arial Narrow" w:cs="Arial"/>
          <w:sz w:val="18"/>
          <w:szCs w:val="20"/>
        </w:rPr>
        <w:t xml:space="preserve"> </w:t>
      </w:r>
      <w:r>
        <w:rPr>
          <w:rFonts w:ascii="Arial Narrow" w:eastAsia="Times New Roman" w:hAnsi="Arial Narrow" w:cs="Arial"/>
          <w:sz w:val="18"/>
          <w:szCs w:val="20"/>
        </w:rPr>
        <w:t>=</w:t>
      </w:r>
      <w:r w:rsidR="001B15C6">
        <w:rPr>
          <w:rFonts w:ascii="Arial Narrow" w:eastAsia="Times New Roman" w:hAnsi="Arial Narrow" w:cs="Arial"/>
          <w:sz w:val="18"/>
          <w:szCs w:val="20"/>
        </w:rPr>
        <w:t xml:space="preserve"> </w:t>
      </w:r>
      <w:r>
        <w:rPr>
          <w:rFonts w:ascii="Arial Narrow" w:eastAsia="Times New Roman" w:hAnsi="Arial Narrow" w:cs="Arial"/>
          <w:sz w:val="18"/>
          <w:szCs w:val="20"/>
        </w:rPr>
        <w:t>confidence interval; MedDRA</w:t>
      </w:r>
      <w:r w:rsidR="001B15C6">
        <w:rPr>
          <w:rFonts w:ascii="Arial Narrow" w:eastAsia="Times New Roman" w:hAnsi="Arial Narrow" w:cs="Arial"/>
          <w:sz w:val="18"/>
          <w:szCs w:val="20"/>
        </w:rPr>
        <w:t xml:space="preserve"> </w:t>
      </w:r>
      <w:r>
        <w:rPr>
          <w:rFonts w:ascii="Arial Narrow" w:eastAsia="Times New Roman" w:hAnsi="Arial Narrow" w:cs="Arial"/>
          <w:sz w:val="18"/>
          <w:szCs w:val="20"/>
        </w:rPr>
        <w:t>=</w:t>
      </w:r>
      <w:r w:rsidR="001B15C6">
        <w:rPr>
          <w:rFonts w:ascii="Arial Narrow" w:eastAsia="Times New Roman" w:hAnsi="Arial Narrow" w:cs="Arial"/>
          <w:sz w:val="18"/>
          <w:szCs w:val="20"/>
        </w:rPr>
        <w:t xml:space="preserve"> </w:t>
      </w:r>
      <w:r>
        <w:rPr>
          <w:rFonts w:ascii="Arial Narrow" w:eastAsia="Times New Roman" w:hAnsi="Arial Narrow" w:cs="Arial"/>
          <w:sz w:val="18"/>
          <w:szCs w:val="20"/>
        </w:rPr>
        <w:t>Medical Dictionary for Regulatory Activities; N</w:t>
      </w:r>
      <w:r w:rsidR="001B15C6">
        <w:rPr>
          <w:rFonts w:ascii="Arial Narrow" w:eastAsia="Times New Roman" w:hAnsi="Arial Narrow" w:cs="Arial"/>
          <w:sz w:val="18"/>
          <w:szCs w:val="20"/>
        </w:rPr>
        <w:t xml:space="preserve"> </w:t>
      </w:r>
      <w:r>
        <w:rPr>
          <w:rFonts w:ascii="Arial Narrow" w:eastAsia="Times New Roman" w:hAnsi="Arial Narrow" w:cs="Arial"/>
          <w:sz w:val="18"/>
          <w:szCs w:val="20"/>
        </w:rPr>
        <w:t>=</w:t>
      </w:r>
      <w:r w:rsidR="001B15C6">
        <w:rPr>
          <w:rFonts w:ascii="Arial Narrow" w:eastAsia="Times New Roman" w:hAnsi="Arial Narrow" w:cs="Arial"/>
          <w:sz w:val="18"/>
          <w:szCs w:val="20"/>
        </w:rPr>
        <w:t xml:space="preserve"> </w:t>
      </w:r>
      <w:r>
        <w:rPr>
          <w:rFonts w:ascii="Arial Narrow" w:eastAsia="Times New Roman" w:hAnsi="Arial Narrow" w:cs="Arial"/>
          <w:sz w:val="18"/>
          <w:szCs w:val="20"/>
        </w:rPr>
        <w:t xml:space="preserve">total participants in group; PBO+nab-P = </w:t>
      </w:r>
      <w:r w:rsidR="002D0BCC">
        <w:rPr>
          <w:rFonts w:ascii="Arial Narrow" w:eastAsia="Times New Roman" w:hAnsi="Arial Narrow" w:cs="Arial"/>
          <w:sz w:val="18"/>
          <w:szCs w:val="20"/>
        </w:rPr>
        <w:t>p</w:t>
      </w:r>
      <w:r>
        <w:rPr>
          <w:rFonts w:ascii="Arial Narrow" w:eastAsia="Times New Roman" w:hAnsi="Arial Narrow" w:cs="Arial"/>
          <w:sz w:val="18"/>
          <w:szCs w:val="20"/>
        </w:rPr>
        <w:t>lacebo + nab-paclitaxel; vs</w:t>
      </w:r>
      <w:r w:rsidR="001B15C6">
        <w:rPr>
          <w:rFonts w:ascii="Arial Narrow" w:eastAsia="Times New Roman" w:hAnsi="Arial Narrow" w:cs="Arial"/>
          <w:sz w:val="18"/>
          <w:szCs w:val="20"/>
        </w:rPr>
        <w:t xml:space="preserve"> </w:t>
      </w:r>
      <w:r>
        <w:rPr>
          <w:rFonts w:ascii="Arial Narrow" w:eastAsia="Times New Roman" w:hAnsi="Arial Narrow" w:cs="Arial"/>
          <w:sz w:val="18"/>
          <w:szCs w:val="20"/>
        </w:rPr>
        <w:t>=</w:t>
      </w:r>
      <w:r w:rsidR="001B15C6">
        <w:rPr>
          <w:rFonts w:ascii="Arial Narrow" w:eastAsia="Times New Roman" w:hAnsi="Arial Narrow" w:cs="Arial"/>
          <w:sz w:val="18"/>
          <w:szCs w:val="20"/>
        </w:rPr>
        <w:t xml:space="preserve"> </w:t>
      </w:r>
      <w:r>
        <w:rPr>
          <w:rFonts w:ascii="Arial Narrow" w:eastAsia="Times New Roman" w:hAnsi="Arial Narrow" w:cs="Arial"/>
          <w:sz w:val="18"/>
          <w:szCs w:val="20"/>
        </w:rPr>
        <w:t>versus.</w:t>
      </w:r>
    </w:p>
    <w:p w:rsidR="009A3F70" w:rsidRDefault="009A3F70" w:rsidP="000A1E52">
      <w:pPr>
        <w:keepNext/>
        <w:keepLines/>
        <w:widowControl w:val="0"/>
        <w:snapToGrid w:val="0"/>
        <w:spacing w:after="240"/>
        <w:contextualSpacing/>
        <w:rPr>
          <w:rFonts w:ascii="Arial Narrow" w:eastAsia="Times New Roman" w:hAnsi="Arial Narrow" w:cs="Arial"/>
          <w:sz w:val="18"/>
          <w:szCs w:val="20"/>
        </w:rPr>
      </w:pPr>
      <w:r>
        <w:rPr>
          <w:rFonts w:ascii="Arial Narrow" w:eastAsia="Times New Roman" w:hAnsi="Arial Narrow" w:cs="Arial"/>
          <w:sz w:val="18"/>
          <w:szCs w:val="20"/>
        </w:rPr>
        <w:t>Notes: Relative risks and 95% confidence intervals for relative risks were calculated using the Normal approximation to the binomial distribution. Statistically signifi</w:t>
      </w:r>
      <w:r w:rsidR="002D0BCC">
        <w:rPr>
          <w:rFonts w:ascii="Arial Narrow" w:eastAsia="Times New Roman" w:hAnsi="Arial Narrow" w:cs="Arial"/>
          <w:sz w:val="18"/>
          <w:szCs w:val="20"/>
        </w:rPr>
        <w:t>cant relative risks are bolded.</w:t>
      </w:r>
    </w:p>
    <w:p w:rsidR="009A3F70" w:rsidRDefault="009A3F70" w:rsidP="000A1E52">
      <w:pPr>
        <w:keepNext/>
        <w:keepLines/>
        <w:widowControl w:val="0"/>
        <w:snapToGrid w:val="0"/>
        <w:spacing w:after="240"/>
        <w:contextualSpacing/>
        <w:rPr>
          <w:rFonts w:ascii="Arial Narrow" w:eastAsia="Times New Roman" w:hAnsi="Arial Narrow" w:cs="Arial"/>
          <w:sz w:val="18"/>
          <w:szCs w:val="20"/>
        </w:rPr>
      </w:pPr>
      <w:r>
        <w:rPr>
          <w:rFonts w:ascii="Arial Narrow" w:eastAsia="Times New Roman" w:hAnsi="Arial Narrow" w:cs="Arial"/>
          <w:sz w:val="18"/>
          <w:szCs w:val="20"/>
          <w:vertAlign w:val="superscript"/>
        </w:rPr>
        <w:t>a</w:t>
      </w:r>
      <w:r>
        <w:rPr>
          <w:rFonts w:ascii="Arial Narrow" w:eastAsia="Times New Roman" w:hAnsi="Arial Narrow" w:cs="Arial"/>
          <w:sz w:val="18"/>
          <w:szCs w:val="20"/>
        </w:rPr>
        <w:t xml:space="preserve"> Includes deaths due to AEs, unrelated, and those outside of the 30-day reporting period from the last dose.</w:t>
      </w:r>
    </w:p>
    <w:p w:rsidR="009A3F70" w:rsidRDefault="009A3F70" w:rsidP="000A1E52">
      <w:pPr>
        <w:keepNext/>
        <w:keepLines/>
        <w:widowControl w:val="0"/>
        <w:snapToGrid w:val="0"/>
        <w:spacing w:after="240"/>
        <w:contextualSpacing/>
        <w:rPr>
          <w:rFonts w:ascii="Arial Narrow" w:eastAsia="Times New Roman" w:hAnsi="Arial Narrow" w:cs="Arial"/>
          <w:sz w:val="18"/>
          <w:szCs w:val="20"/>
        </w:rPr>
      </w:pPr>
      <w:r>
        <w:rPr>
          <w:rFonts w:ascii="Arial Narrow" w:eastAsia="Times New Roman" w:hAnsi="Arial Narrow" w:cs="Arial"/>
          <w:sz w:val="18"/>
          <w:szCs w:val="20"/>
        </w:rPr>
        <w:t xml:space="preserve">Source: Table 2.5.19, p 106 of the </w:t>
      </w:r>
      <w:r w:rsidR="008D006C">
        <w:rPr>
          <w:rFonts w:ascii="Arial Narrow" w:eastAsia="Times New Roman" w:hAnsi="Arial Narrow" w:cs="Arial"/>
          <w:sz w:val="18"/>
          <w:szCs w:val="20"/>
        </w:rPr>
        <w:t>s</w:t>
      </w:r>
      <w:r>
        <w:rPr>
          <w:rFonts w:ascii="Arial Narrow" w:eastAsia="Times New Roman" w:hAnsi="Arial Narrow" w:cs="Arial"/>
          <w:sz w:val="18"/>
          <w:szCs w:val="20"/>
        </w:rPr>
        <w:t>ubmission with ‘other’ definition taken from Table 38, p 138 of the CSR for IMpassion130Aug2018.</w:t>
      </w:r>
    </w:p>
    <w:p w:rsidR="009A3F70" w:rsidRPr="008F6F21" w:rsidRDefault="009A3F70" w:rsidP="00AD3FF3">
      <w:pPr>
        <w:pStyle w:val="ListParagraph"/>
        <w:rPr>
          <w:color w:val="auto"/>
        </w:rPr>
      </w:pPr>
      <w:r w:rsidRPr="006D388C">
        <w:rPr>
          <w:color w:val="auto"/>
        </w:rPr>
        <w:t>The CSR defined ‘other’ as including deaths due to AEs</w:t>
      </w:r>
      <w:r w:rsidRPr="008F6F21">
        <w:rPr>
          <w:color w:val="auto"/>
        </w:rPr>
        <w:t xml:space="preserve">. </w:t>
      </w:r>
      <w:r w:rsidR="000A1E52" w:rsidRPr="008F6F21">
        <w:rPr>
          <w:color w:val="auto"/>
        </w:rPr>
        <w:t xml:space="preserve">The PSCR clarified that deaths due to progression of metastatic breast cancer were captured as progressive disease, not as adverse events. </w:t>
      </w:r>
      <w:r w:rsidR="00AD3FF3" w:rsidRPr="008F6F21">
        <w:rPr>
          <w:color w:val="auto"/>
        </w:rPr>
        <w:t xml:space="preserve">All other deaths, irrespective of the relationship to study </w:t>
      </w:r>
      <w:r w:rsidR="00051615" w:rsidRPr="008F6F21">
        <w:rPr>
          <w:color w:val="auto"/>
        </w:rPr>
        <w:t>drug, which</w:t>
      </w:r>
      <w:r w:rsidR="00AD3FF3" w:rsidRPr="008F6F21">
        <w:rPr>
          <w:color w:val="auto"/>
        </w:rPr>
        <w:t xml:space="preserve"> occurred during the safety follow up period (30 days after the last dose of study drug or until initiation of another anti-cancer therapy, whichever occurs first) were captured as “death due to AE”. Once the safety follow-up period had ended any deaths that were considered related to study treatment were also captured as “death due to AE”. The ESC</w:t>
      </w:r>
      <w:r w:rsidR="00DC7815" w:rsidRPr="008F6F21">
        <w:rPr>
          <w:color w:val="auto"/>
        </w:rPr>
        <w:t>s</w:t>
      </w:r>
      <w:r w:rsidR="00AD3FF3" w:rsidRPr="008F6F21">
        <w:rPr>
          <w:color w:val="auto"/>
        </w:rPr>
        <w:t xml:space="preserve"> considered this issue was appropriately addressed.</w:t>
      </w:r>
    </w:p>
    <w:p w:rsidR="00095E93" w:rsidRPr="00914B85" w:rsidRDefault="00095E93" w:rsidP="00095E93">
      <w:pPr>
        <w:pStyle w:val="ListParagraph"/>
        <w:numPr>
          <w:ilvl w:val="4"/>
          <w:numId w:val="1"/>
        </w:numPr>
        <w:rPr>
          <w:color w:val="auto"/>
        </w:rPr>
      </w:pPr>
      <w:r w:rsidRPr="00823698">
        <w:rPr>
          <w:color w:val="auto"/>
        </w:rPr>
        <w:t xml:space="preserve">The submission provided updated Periodic Benefit-Risk Evaluation Report/Periodic Safety Update Report (PBRER/PSUR) for atezolizumab covering the interval 18 November 2018 to 17 May 2019 (inclusive). This update has identified a risk of immune-related myositis associated with the use of atezolizumab, based on 4 cases of myositis with a fatal outcome in 3 cases suggestive of cardiac involvement. </w:t>
      </w:r>
      <w:r>
        <w:rPr>
          <w:color w:val="auto"/>
        </w:rPr>
        <w:t>A</w:t>
      </w:r>
      <w:r w:rsidRPr="00823698">
        <w:rPr>
          <w:color w:val="auto"/>
        </w:rPr>
        <w:t xml:space="preserve">tezolizumab </w:t>
      </w:r>
      <w:r>
        <w:rPr>
          <w:color w:val="auto"/>
        </w:rPr>
        <w:t xml:space="preserve">is recommended to be withheld </w:t>
      </w:r>
      <w:r w:rsidRPr="00823698">
        <w:rPr>
          <w:color w:val="auto"/>
        </w:rPr>
        <w:t xml:space="preserve">for moderate or severe (grade 2 or 3) immune-related myositis and </w:t>
      </w:r>
      <w:r>
        <w:rPr>
          <w:color w:val="auto"/>
        </w:rPr>
        <w:t xml:space="preserve">to be </w:t>
      </w:r>
      <w:r w:rsidRPr="00823698">
        <w:rPr>
          <w:color w:val="auto"/>
        </w:rPr>
        <w:t>permanently discontinue</w:t>
      </w:r>
      <w:r>
        <w:rPr>
          <w:color w:val="auto"/>
        </w:rPr>
        <w:t>d</w:t>
      </w:r>
      <w:r w:rsidRPr="00823698">
        <w:rPr>
          <w:color w:val="auto"/>
        </w:rPr>
        <w:t xml:space="preserve"> for recurrent severe or life-threatening myositis (recurrent grade 3 and grade 4).</w:t>
      </w:r>
    </w:p>
    <w:p w:rsidR="00095E93" w:rsidRPr="00A54259" w:rsidRDefault="00095E93" w:rsidP="00434533">
      <w:pPr>
        <w:pStyle w:val="PBACESHeading2"/>
        <w:numPr>
          <w:ilvl w:val="0"/>
          <w:numId w:val="0"/>
        </w:numPr>
        <w:ind w:left="720"/>
      </w:pPr>
      <w:bookmarkStart w:id="25" w:name="_Toc497226188"/>
      <w:bookmarkStart w:id="26" w:name="_Toc30411834"/>
      <w:bookmarkStart w:id="27" w:name="_Toc413139281"/>
      <w:r w:rsidRPr="00A54259">
        <w:lastRenderedPageBreak/>
        <w:t>Benefits</w:t>
      </w:r>
      <w:r w:rsidR="00983112">
        <w:t>/</w:t>
      </w:r>
      <w:r w:rsidRPr="00A54259">
        <w:t>harms</w:t>
      </w:r>
      <w:bookmarkEnd w:id="25"/>
      <w:bookmarkEnd w:id="26"/>
    </w:p>
    <w:p w:rsidR="00095E93" w:rsidRPr="00945A89" w:rsidRDefault="00095E93" w:rsidP="00095E93">
      <w:pPr>
        <w:pStyle w:val="ListParagraph"/>
        <w:numPr>
          <w:ilvl w:val="4"/>
          <w:numId w:val="1"/>
        </w:numPr>
      </w:pPr>
      <w:r w:rsidRPr="004E6CFF">
        <w:rPr>
          <w:color w:val="auto"/>
        </w:rPr>
        <w:t xml:space="preserve">A summary of the comparative benefits and harms for </w:t>
      </w:r>
      <w:r>
        <w:rPr>
          <w:color w:val="auto"/>
        </w:rPr>
        <w:t>ATZ+nab-P</w:t>
      </w:r>
      <w:r w:rsidRPr="004E6CFF">
        <w:rPr>
          <w:color w:val="auto"/>
        </w:rPr>
        <w:t xml:space="preserve"> versus </w:t>
      </w:r>
      <w:r>
        <w:rPr>
          <w:color w:val="auto"/>
        </w:rPr>
        <w:t>PBO+nab-P</w:t>
      </w:r>
      <w:r w:rsidRPr="004E6CFF">
        <w:rPr>
          <w:color w:val="auto"/>
        </w:rPr>
        <w:t xml:space="preserve"> is presented in the table below.</w:t>
      </w:r>
    </w:p>
    <w:p w:rsidR="00095E93" w:rsidRDefault="00095E93" w:rsidP="00095E93">
      <w:pPr>
        <w:pStyle w:val="Caption"/>
      </w:pPr>
      <w:bookmarkStart w:id="28" w:name="_Toc413139282"/>
      <w:bookmarkEnd w:id="27"/>
      <w:r>
        <w:t xml:space="preserve">Table </w:t>
      </w:r>
      <w:r w:rsidR="00074BE0">
        <w:rPr>
          <w:noProof/>
        </w:rPr>
        <w:t>10</w:t>
      </w:r>
      <w:r w:rsidR="00EF5451">
        <w:rPr>
          <w:noProof/>
        </w:rPr>
        <w:t xml:space="preserve">: </w:t>
      </w:r>
      <w:r w:rsidRPr="00AD542F">
        <w:t xml:space="preserve">Summary of comparative benefits and harms for </w:t>
      </w:r>
      <w:r>
        <w:t>ATZ+nab-P</w:t>
      </w:r>
      <w:r w:rsidRPr="00AD542F">
        <w:t xml:space="preserve"> and PBO</w:t>
      </w:r>
      <w:r>
        <w:t>+nab-P</w:t>
      </w:r>
    </w:p>
    <w:tbl>
      <w:tblPr>
        <w:tblStyle w:val="ASDTable1"/>
        <w:tblW w:w="5000" w:type="pct"/>
        <w:tblLayout w:type="fixed"/>
        <w:tblCellMar>
          <w:left w:w="28" w:type="dxa"/>
          <w:right w:w="28" w:type="dxa"/>
        </w:tblCellMar>
        <w:tblLook w:val="04A0" w:firstRow="1" w:lastRow="0" w:firstColumn="1" w:lastColumn="0" w:noHBand="0" w:noVBand="1"/>
        <w:tblCaption w:val="Summary of comparative benefits and harms for ATZ+nab-P and PBO+nab-P"/>
      </w:tblPr>
      <w:tblGrid>
        <w:gridCol w:w="2459"/>
        <w:gridCol w:w="1541"/>
        <w:gridCol w:w="1654"/>
        <w:gridCol w:w="1773"/>
        <w:gridCol w:w="1589"/>
      </w:tblGrid>
      <w:tr w:rsidR="00095E93" w:rsidRPr="008D2B62" w:rsidTr="00657695">
        <w:trPr>
          <w:trHeight w:val="20"/>
        </w:trPr>
        <w:tc>
          <w:tcPr>
            <w:tcW w:w="1364" w:type="pct"/>
            <w:tcBorders>
              <w:bottom w:val="single" w:sz="4" w:space="0" w:color="auto"/>
            </w:tcBorders>
            <w:shd w:val="clear" w:color="auto" w:fill="auto"/>
          </w:tcPr>
          <w:p w:rsidR="00095E93" w:rsidRPr="008D2B62" w:rsidRDefault="00095E93" w:rsidP="00095E93">
            <w:pPr>
              <w:keepNext/>
              <w:spacing w:before="0"/>
              <w:jc w:val="left"/>
              <w:rPr>
                <w:rFonts w:ascii="Arial Narrow" w:eastAsia="MS Gothic" w:hAnsi="Arial Narrow"/>
                <w:b/>
                <w:sz w:val="20"/>
                <w:szCs w:val="24"/>
                <w:lang w:val="en-US"/>
              </w:rPr>
            </w:pPr>
            <w:r w:rsidRPr="008D2B62">
              <w:rPr>
                <w:rFonts w:ascii="Arial Narrow" w:eastAsia="MS Gothic" w:hAnsi="Arial Narrow"/>
                <w:b/>
                <w:sz w:val="20"/>
                <w:szCs w:val="24"/>
                <w:lang w:val="en-US"/>
              </w:rPr>
              <w:t>Event</w:t>
            </w:r>
          </w:p>
        </w:tc>
        <w:tc>
          <w:tcPr>
            <w:tcW w:w="855" w:type="pct"/>
            <w:tcBorders>
              <w:bottom w:val="single" w:sz="4" w:space="0" w:color="auto"/>
            </w:tcBorders>
            <w:shd w:val="clear" w:color="auto" w:fill="auto"/>
          </w:tcPr>
          <w:p w:rsidR="00095E93" w:rsidRPr="008D2B62" w:rsidRDefault="00095E93" w:rsidP="00095E93">
            <w:pPr>
              <w:keepNext/>
              <w:spacing w:before="0"/>
              <w:jc w:val="center"/>
              <w:rPr>
                <w:rFonts w:ascii="Arial Narrow" w:eastAsia="MS Gothic" w:hAnsi="Arial Narrow"/>
                <w:b/>
                <w:sz w:val="20"/>
                <w:szCs w:val="24"/>
                <w:lang w:val="en-US"/>
              </w:rPr>
            </w:pPr>
            <w:r>
              <w:rPr>
                <w:rFonts w:ascii="Arial Narrow" w:eastAsia="MS Gothic" w:hAnsi="Arial Narrow"/>
                <w:b/>
                <w:sz w:val="20"/>
                <w:szCs w:val="24"/>
                <w:lang w:val="en-US"/>
              </w:rPr>
              <w:t>ATZ+nab-P</w:t>
            </w:r>
          </w:p>
        </w:tc>
        <w:tc>
          <w:tcPr>
            <w:tcW w:w="917" w:type="pct"/>
            <w:tcBorders>
              <w:bottom w:val="single" w:sz="4" w:space="0" w:color="auto"/>
            </w:tcBorders>
            <w:shd w:val="clear" w:color="auto" w:fill="auto"/>
          </w:tcPr>
          <w:p w:rsidR="00095E93" w:rsidRPr="008D2B62" w:rsidRDefault="00095E93" w:rsidP="00095E93">
            <w:pPr>
              <w:keepNext/>
              <w:spacing w:before="0"/>
              <w:jc w:val="center"/>
              <w:rPr>
                <w:rFonts w:ascii="Arial Narrow" w:eastAsia="MS Gothic" w:hAnsi="Arial Narrow"/>
                <w:b/>
                <w:sz w:val="20"/>
                <w:szCs w:val="24"/>
                <w:lang w:val="en-US"/>
              </w:rPr>
            </w:pPr>
            <w:r>
              <w:rPr>
                <w:rFonts w:ascii="Arial Narrow" w:eastAsia="MS Gothic" w:hAnsi="Arial Narrow"/>
                <w:b/>
                <w:sz w:val="20"/>
                <w:szCs w:val="24"/>
                <w:lang w:val="en-US"/>
              </w:rPr>
              <w:t>PBO+nab-P</w:t>
            </w:r>
          </w:p>
        </w:tc>
        <w:tc>
          <w:tcPr>
            <w:tcW w:w="983" w:type="pct"/>
            <w:tcBorders>
              <w:bottom w:val="single" w:sz="4" w:space="0" w:color="auto"/>
            </w:tcBorders>
            <w:shd w:val="clear" w:color="auto" w:fill="auto"/>
          </w:tcPr>
          <w:p w:rsidR="00095E93" w:rsidRPr="008D2B62" w:rsidRDefault="00095E93" w:rsidP="00095E93">
            <w:pPr>
              <w:keepNext/>
              <w:spacing w:before="0"/>
              <w:jc w:val="center"/>
              <w:rPr>
                <w:rFonts w:ascii="Calibri" w:eastAsia="MS Gothic" w:hAnsi="Calibri"/>
                <w:b/>
                <w:sz w:val="20"/>
                <w:szCs w:val="24"/>
                <w:lang w:val="en-US"/>
              </w:rPr>
            </w:pPr>
            <w:r w:rsidRPr="008D2B62">
              <w:rPr>
                <w:rFonts w:ascii="Arial Narrow" w:eastAsia="MS Gothic" w:hAnsi="Arial Narrow"/>
                <w:b/>
                <w:sz w:val="20"/>
                <w:szCs w:val="24"/>
                <w:lang w:val="en-US"/>
              </w:rPr>
              <w:t xml:space="preserve">Absolute </w:t>
            </w:r>
            <w:r w:rsidR="00F71008" w:rsidRPr="008D2B62">
              <w:rPr>
                <w:rFonts w:ascii="Arial Narrow" w:eastAsia="MS Gothic" w:hAnsi="Arial Narrow"/>
                <w:b/>
                <w:sz w:val="20"/>
                <w:szCs w:val="24"/>
                <w:lang w:val="en-US"/>
              </w:rPr>
              <w:t>d</w:t>
            </w:r>
            <w:r w:rsidRPr="008D2B62">
              <w:rPr>
                <w:rFonts w:ascii="Arial Narrow" w:eastAsia="MS Gothic" w:hAnsi="Arial Narrow"/>
                <w:b/>
                <w:sz w:val="20"/>
                <w:szCs w:val="24"/>
                <w:lang w:val="en-US"/>
              </w:rPr>
              <w:t>ifference</w:t>
            </w:r>
          </w:p>
        </w:tc>
        <w:tc>
          <w:tcPr>
            <w:tcW w:w="880" w:type="pct"/>
            <w:tcBorders>
              <w:bottom w:val="single" w:sz="4" w:space="0" w:color="auto"/>
            </w:tcBorders>
            <w:shd w:val="clear" w:color="auto" w:fill="auto"/>
          </w:tcPr>
          <w:p w:rsidR="00095E93" w:rsidRPr="00502FF1" w:rsidRDefault="00095E93" w:rsidP="00095E93">
            <w:pPr>
              <w:keepNext/>
              <w:spacing w:before="0"/>
              <w:jc w:val="center"/>
              <w:rPr>
                <w:rFonts w:ascii="Arial Narrow" w:eastAsia="MS Gothic" w:hAnsi="Arial Narrow"/>
                <w:b/>
                <w:sz w:val="20"/>
                <w:szCs w:val="24"/>
                <w:vertAlign w:val="superscript"/>
                <w:lang w:val="en-US"/>
              </w:rPr>
            </w:pPr>
            <w:r w:rsidRPr="008D2B62">
              <w:rPr>
                <w:rFonts w:ascii="Arial Narrow" w:eastAsia="MS Gothic" w:hAnsi="Arial Narrow"/>
                <w:b/>
                <w:sz w:val="20"/>
                <w:szCs w:val="24"/>
                <w:lang w:val="en-US"/>
              </w:rPr>
              <w:t>HR (95% CI)</w:t>
            </w:r>
            <w:r w:rsidR="00502FF1">
              <w:rPr>
                <w:rFonts w:ascii="Arial Narrow" w:eastAsia="MS Gothic" w:hAnsi="Arial Narrow"/>
                <w:b/>
                <w:sz w:val="20"/>
                <w:szCs w:val="24"/>
                <w:vertAlign w:val="superscript"/>
                <w:lang w:val="en-US"/>
              </w:rPr>
              <w:t>d</w:t>
            </w:r>
          </w:p>
        </w:tc>
      </w:tr>
      <w:tr w:rsidR="00095E93" w:rsidRPr="008D2B62" w:rsidTr="00657695">
        <w:trPr>
          <w:trHeight w:val="20"/>
        </w:trPr>
        <w:tc>
          <w:tcPr>
            <w:tcW w:w="5000" w:type="pct"/>
            <w:gridSpan w:val="5"/>
            <w:tcBorders>
              <w:bottom w:val="single" w:sz="4" w:space="0" w:color="auto"/>
            </w:tcBorders>
            <w:shd w:val="clear" w:color="auto" w:fill="auto"/>
            <w:vAlign w:val="center"/>
          </w:tcPr>
          <w:p w:rsidR="00095E93" w:rsidRPr="008D2B62" w:rsidRDefault="00095E93" w:rsidP="00095E93">
            <w:pPr>
              <w:keepNext/>
              <w:spacing w:before="0"/>
              <w:jc w:val="left"/>
              <w:rPr>
                <w:rFonts w:ascii="Arial Narrow" w:eastAsia="MS Gothic" w:hAnsi="Arial Narrow"/>
                <w:b/>
                <w:sz w:val="20"/>
                <w:szCs w:val="24"/>
                <w:lang w:val="en-US"/>
              </w:rPr>
            </w:pPr>
            <w:r w:rsidRPr="008D2B62">
              <w:rPr>
                <w:rFonts w:ascii="Arial Narrow" w:eastAsia="MS Gothic" w:hAnsi="Arial Narrow"/>
                <w:b/>
                <w:sz w:val="20"/>
                <w:szCs w:val="24"/>
                <w:lang w:val="en-US"/>
              </w:rPr>
              <w:t xml:space="preserve">Progression free </w:t>
            </w:r>
            <w:r w:rsidRPr="009B24FF">
              <w:rPr>
                <w:rFonts w:ascii="Arial Narrow" w:eastAsia="MS Gothic" w:hAnsi="Arial Narrow"/>
                <w:b/>
                <w:sz w:val="20"/>
                <w:szCs w:val="24"/>
                <w:lang w:val="en-US"/>
              </w:rPr>
              <w:t>survival (median duration of follow up 18 months)</w:t>
            </w:r>
          </w:p>
        </w:tc>
      </w:tr>
      <w:tr w:rsidR="00095E93" w:rsidRPr="008D2B62" w:rsidTr="00657695">
        <w:trPr>
          <w:trHeight w:val="20"/>
        </w:trPr>
        <w:tc>
          <w:tcPr>
            <w:tcW w:w="5000" w:type="pct"/>
            <w:gridSpan w:val="5"/>
            <w:tcBorders>
              <w:bottom w:val="single" w:sz="4" w:space="0" w:color="auto"/>
            </w:tcBorders>
            <w:shd w:val="clear" w:color="auto" w:fill="auto"/>
            <w:vAlign w:val="center"/>
          </w:tcPr>
          <w:p w:rsidR="00095E93" w:rsidRPr="008D2B62" w:rsidRDefault="00095E93" w:rsidP="00095E93">
            <w:pPr>
              <w:keepNext/>
              <w:keepLines/>
              <w:widowControl w:val="0"/>
              <w:spacing w:before="0"/>
              <w:jc w:val="left"/>
              <w:rPr>
                <w:rFonts w:ascii="Arial Narrow" w:eastAsia="MS Gothic" w:hAnsi="Arial Narrow"/>
                <w:b/>
                <w:bCs/>
                <w:sz w:val="20"/>
              </w:rPr>
            </w:pPr>
            <w:r w:rsidRPr="008D2B62">
              <w:rPr>
                <w:rFonts w:ascii="Arial Narrow" w:eastAsia="MS Gothic" w:hAnsi="Arial Narrow"/>
                <w:b/>
                <w:bCs/>
                <w:sz w:val="20"/>
              </w:rPr>
              <w:t>ITT population</w:t>
            </w:r>
          </w:p>
        </w:tc>
      </w:tr>
      <w:tr w:rsidR="00095E93" w:rsidRPr="008D2B62" w:rsidTr="0084016A">
        <w:trPr>
          <w:trHeight w:val="160"/>
        </w:trPr>
        <w:tc>
          <w:tcPr>
            <w:tcW w:w="1364" w:type="pct"/>
            <w:tcBorders>
              <w:bottom w:val="single" w:sz="4" w:space="0" w:color="auto"/>
              <w:right w:val="single" w:sz="4" w:space="0" w:color="auto"/>
            </w:tcBorders>
            <w:shd w:val="clear" w:color="auto" w:fill="auto"/>
          </w:tcPr>
          <w:p w:rsidR="00095E93" w:rsidRPr="008D2B62" w:rsidRDefault="00095E93" w:rsidP="00095E93">
            <w:pPr>
              <w:keepNext/>
              <w:keepLines/>
              <w:widowControl w:val="0"/>
              <w:spacing w:before="0"/>
              <w:jc w:val="left"/>
              <w:rPr>
                <w:rFonts w:ascii="Arial Narrow" w:eastAsia="MS Gothic" w:hAnsi="Arial Narrow"/>
                <w:bCs/>
                <w:sz w:val="20"/>
                <w:szCs w:val="24"/>
              </w:rPr>
            </w:pPr>
            <w:r w:rsidRPr="008D2B62">
              <w:rPr>
                <w:rFonts w:ascii="Arial Narrow" w:eastAsia="MS Gothic" w:hAnsi="Arial Narrow"/>
                <w:bCs/>
                <w:sz w:val="20"/>
                <w:szCs w:val="24"/>
              </w:rPr>
              <w:t>Progressed, n</w:t>
            </w:r>
            <w:r w:rsidR="00003E6F">
              <w:rPr>
                <w:rFonts w:ascii="Arial Narrow" w:eastAsia="MS Gothic" w:hAnsi="Arial Narrow"/>
                <w:bCs/>
                <w:sz w:val="20"/>
                <w:szCs w:val="24"/>
              </w:rPr>
              <w:t>/N</w:t>
            </w:r>
            <w:r w:rsidRPr="008D2B62">
              <w:rPr>
                <w:rFonts w:ascii="Arial Narrow" w:eastAsia="MS Gothic" w:hAnsi="Arial Narrow"/>
                <w:bCs/>
                <w:sz w:val="20"/>
                <w:szCs w:val="24"/>
              </w:rPr>
              <w:t xml:space="preserve"> (%)</w:t>
            </w:r>
          </w:p>
        </w:tc>
        <w:tc>
          <w:tcPr>
            <w:tcW w:w="855" w:type="pct"/>
            <w:tcBorders>
              <w:left w:val="single" w:sz="4" w:space="0" w:color="auto"/>
              <w:bottom w:val="single" w:sz="4" w:space="0" w:color="auto"/>
              <w:right w:val="single" w:sz="4" w:space="0" w:color="auto"/>
            </w:tcBorders>
            <w:shd w:val="clear" w:color="auto" w:fill="auto"/>
          </w:tcPr>
          <w:p w:rsidR="00095E93" w:rsidRPr="008D2B62" w:rsidRDefault="00095E93" w:rsidP="00095E93">
            <w:pPr>
              <w:keepNext/>
              <w:keepLines/>
              <w:widowControl w:val="0"/>
              <w:spacing w:before="0"/>
              <w:jc w:val="center"/>
              <w:rPr>
                <w:rFonts w:ascii="Arial Narrow" w:eastAsia="MS Gothic" w:hAnsi="Arial Narrow"/>
                <w:bCs/>
                <w:sz w:val="20"/>
                <w:szCs w:val="24"/>
              </w:rPr>
            </w:pPr>
            <w:r>
              <w:rPr>
                <w:rFonts w:ascii="Arial Narrow" w:eastAsia="MS Gothic" w:hAnsi="Arial Narrow"/>
                <w:bCs/>
                <w:sz w:val="20"/>
                <w:szCs w:val="24"/>
              </w:rPr>
              <w:t>379/451 (84%)</w:t>
            </w:r>
          </w:p>
        </w:tc>
        <w:tc>
          <w:tcPr>
            <w:tcW w:w="917" w:type="pct"/>
            <w:tcBorders>
              <w:left w:val="single" w:sz="4" w:space="0" w:color="auto"/>
              <w:bottom w:val="single" w:sz="4" w:space="0" w:color="auto"/>
              <w:right w:val="single" w:sz="4" w:space="0" w:color="auto"/>
            </w:tcBorders>
            <w:shd w:val="clear" w:color="auto" w:fill="auto"/>
          </w:tcPr>
          <w:p w:rsidR="00095E93" w:rsidRPr="008D2B62" w:rsidRDefault="00095E93" w:rsidP="00095E93">
            <w:pPr>
              <w:keepNext/>
              <w:keepLines/>
              <w:widowControl w:val="0"/>
              <w:spacing w:before="0"/>
              <w:jc w:val="center"/>
              <w:rPr>
                <w:rFonts w:ascii="Arial Narrow" w:eastAsia="MS Gothic" w:hAnsi="Arial Narrow"/>
                <w:bCs/>
                <w:sz w:val="20"/>
                <w:szCs w:val="24"/>
              </w:rPr>
            </w:pPr>
            <w:r>
              <w:rPr>
                <w:rFonts w:ascii="Arial Narrow" w:eastAsia="MS Gothic" w:hAnsi="Arial Narrow"/>
                <w:bCs/>
                <w:sz w:val="20"/>
                <w:szCs w:val="24"/>
              </w:rPr>
              <w:t>404/451 (89.6%)</w:t>
            </w:r>
          </w:p>
        </w:tc>
        <w:tc>
          <w:tcPr>
            <w:tcW w:w="983" w:type="pct"/>
            <w:tcBorders>
              <w:left w:val="single" w:sz="4" w:space="0" w:color="auto"/>
              <w:bottom w:val="single" w:sz="4" w:space="0" w:color="auto"/>
              <w:right w:val="single" w:sz="4" w:space="0" w:color="auto"/>
            </w:tcBorders>
            <w:shd w:val="clear" w:color="auto" w:fill="auto"/>
          </w:tcPr>
          <w:p w:rsidR="00095E93" w:rsidRPr="008D2B62" w:rsidRDefault="00095E93" w:rsidP="00095E93">
            <w:pPr>
              <w:keepNext/>
              <w:keepLines/>
              <w:widowControl w:val="0"/>
              <w:spacing w:before="0"/>
              <w:jc w:val="center"/>
              <w:rPr>
                <w:rFonts w:ascii="Arial Narrow" w:eastAsia="MS Gothic" w:hAnsi="Arial Narrow"/>
                <w:bCs/>
                <w:sz w:val="20"/>
                <w:szCs w:val="24"/>
              </w:rPr>
            </w:pPr>
          </w:p>
        </w:tc>
        <w:tc>
          <w:tcPr>
            <w:tcW w:w="880" w:type="pct"/>
            <w:tcBorders>
              <w:left w:val="single" w:sz="4" w:space="0" w:color="auto"/>
              <w:bottom w:val="nil"/>
            </w:tcBorders>
            <w:shd w:val="clear" w:color="auto" w:fill="auto"/>
          </w:tcPr>
          <w:p w:rsidR="00095E93" w:rsidRPr="008D2B62" w:rsidRDefault="00095E93" w:rsidP="00095E93">
            <w:pPr>
              <w:keepNext/>
              <w:keepLines/>
              <w:widowControl w:val="0"/>
              <w:spacing w:before="0"/>
              <w:jc w:val="center"/>
              <w:rPr>
                <w:rFonts w:ascii="Arial Narrow" w:eastAsia="MS Gothic" w:hAnsi="Arial Narrow"/>
                <w:bCs/>
                <w:sz w:val="20"/>
              </w:rPr>
            </w:pPr>
            <w:r w:rsidRPr="00FF73BD">
              <w:rPr>
                <w:rFonts w:ascii="Arial Narrow" w:eastAsia="MS Gothic" w:hAnsi="Arial Narrow"/>
                <w:b/>
                <w:bCs/>
                <w:sz w:val="20"/>
                <w:szCs w:val="24"/>
              </w:rPr>
              <w:t>0.80 (0.69, 0.92)</w:t>
            </w:r>
          </w:p>
          <w:p w:rsidR="00095E93" w:rsidRPr="008D2B62" w:rsidRDefault="00095E93" w:rsidP="00095E93">
            <w:pPr>
              <w:keepNext/>
              <w:keepLines/>
              <w:widowControl w:val="0"/>
              <w:spacing w:before="0"/>
              <w:jc w:val="center"/>
              <w:rPr>
                <w:rFonts w:ascii="Arial Narrow" w:eastAsia="MS Gothic" w:hAnsi="Arial Narrow"/>
                <w:bCs/>
                <w:sz w:val="20"/>
                <w:szCs w:val="24"/>
              </w:rPr>
            </w:pPr>
            <w:r w:rsidRPr="008D2B62">
              <w:rPr>
                <w:rFonts w:ascii="Arial Narrow" w:eastAsia="MS Gothic" w:hAnsi="Arial Narrow"/>
                <w:bCs/>
                <w:sz w:val="20"/>
              </w:rPr>
              <w:t>P=</w:t>
            </w:r>
            <w:r>
              <w:rPr>
                <w:rFonts w:ascii="Arial Narrow" w:eastAsia="MS Gothic" w:hAnsi="Arial Narrow"/>
                <w:bCs/>
                <w:sz w:val="20"/>
              </w:rPr>
              <w:t>0.0025</w:t>
            </w:r>
          </w:p>
        </w:tc>
      </w:tr>
      <w:tr w:rsidR="00095E93" w:rsidRPr="008D2B62" w:rsidTr="00657695">
        <w:trPr>
          <w:trHeight w:val="20"/>
        </w:trPr>
        <w:tc>
          <w:tcPr>
            <w:tcW w:w="1364" w:type="pct"/>
            <w:tcBorders>
              <w:bottom w:val="single" w:sz="4" w:space="0" w:color="auto"/>
              <w:right w:val="single" w:sz="4" w:space="0" w:color="auto"/>
            </w:tcBorders>
            <w:shd w:val="clear" w:color="auto" w:fill="auto"/>
          </w:tcPr>
          <w:p w:rsidR="00095E93" w:rsidRPr="008D2B62" w:rsidRDefault="00095E93" w:rsidP="00095E93">
            <w:pPr>
              <w:keepNext/>
              <w:keepLines/>
              <w:widowControl w:val="0"/>
              <w:spacing w:before="0"/>
              <w:jc w:val="left"/>
              <w:rPr>
                <w:rFonts w:ascii="Arial Narrow" w:eastAsia="MS Gothic" w:hAnsi="Arial Narrow"/>
                <w:bCs/>
                <w:sz w:val="20"/>
                <w:szCs w:val="24"/>
              </w:rPr>
            </w:pPr>
            <w:r w:rsidRPr="008D2B62">
              <w:rPr>
                <w:rFonts w:ascii="Arial Narrow" w:eastAsia="MS Gothic" w:hAnsi="Arial Narrow"/>
                <w:bCs/>
                <w:sz w:val="20"/>
                <w:szCs w:val="24"/>
              </w:rPr>
              <w:t>Median PFS, months (95% CI)</w:t>
            </w:r>
          </w:p>
        </w:tc>
        <w:tc>
          <w:tcPr>
            <w:tcW w:w="855" w:type="pct"/>
            <w:tcBorders>
              <w:left w:val="single" w:sz="4" w:space="0" w:color="auto"/>
              <w:bottom w:val="single" w:sz="4" w:space="0" w:color="auto"/>
              <w:right w:val="single" w:sz="4" w:space="0" w:color="auto"/>
            </w:tcBorders>
            <w:shd w:val="clear" w:color="auto" w:fill="auto"/>
          </w:tcPr>
          <w:p w:rsidR="00095E93" w:rsidRPr="007B1C8E" w:rsidRDefault="00095E93" w:rsidP="00095E93">
            <w:pPr>
              <w:keepNext/>
              <w:keepLines/>
              <w:widowControl w:val="0"/>
              <w:spacing w:before="0"/>
              <w:jc w:val="center"/>
              <w:rPr>
                <w:rFonts w:ascii="Arial Narrow" w:eastAsia="MS Gothic" w:hAnsi="Arial Narrow"/>
                <w:bCs/>
                <w:sz w:val="20"/>
                <w:szCs w:val="24"/>
              </w:rPr>
            </w:pPr>
            <w:r w:rsidRPr="00FF73BD">
              <w:rPr>
                <w:rFonts w:ascii="Arial Narrow" w:eastAsia="MS Gothic" w:hAnsi="Arial Narrow"/>
                <w:bCs/>
                <w:sz w:val="20"/>
                <w:szCs w:val="24"/>
              </w:rPr>
              <w:t>7.16 (5.55, 7.43)</w:t>
            </w:r>
          </w:p>
        </w:tc>
        <w:tc>
          <w:tcPr>
            <w:tcW w:w="917" w:type="pct"/>
            <w:tcBorders>
              <w:left w:val="single" w:sz="4" w:space="0" w:color="auto"/>
              <w:bottom w:val="single" w:sz="4" w:space="0" w:color="auto"/>
              <w:right w:val="single" w:sz="4" w:space="0" w:color="auto"/>
            </w:tcBorders>
            <w:shd w:val="clear" w:color="auto" w:fill="auto"/>
          </w:tcPr>
          <w:p w:rsidR="00095E93" w:rsidRPr="007B1C8E" w:rsidRDefault="00095E93" w:rsidP="00095E93">
            <w:pPr>
              <w:keepNext/>
              <w:keepLines/>
              <w:widowControl w:val="0"/>
              <w:spacing w:before="0"/>
              <w:jc w:val="center"/>
              <w:rPr>
                <w:rFonts w:ascii="Arial Narrow" w:eastAsia="MS Gothic" w:hAnsi="Arial Narrow"/>
                <w:bCs/>
                <w:sz w:val="20"/>
                <w:szCs w:val="24"/>
              </w:rPr>
            </w:pPr>
            <w:r w:rsidRPr="00FF73BD">
              <w:rPr>
                <w:rFonts w:ascii="Arial Narrow" w:eastAsia="MS Gothic" w:hAnsi="Arial Narrow"/>
                <w:bCs/>
                <w:sz w:val="20"/>
                <w:szCs w:val="24"/>
              </w:rPr>
              <w:t>5.49 (5.32, 5.62)</w:t>
            </w:r>
          </w:p>
        </w:tc>
        <w:tc>
          <w:tcPr>
            <w:tcW w:w="983" w:type="pct"/>
            <w:tcBorders>
              <w:left w:val="single" w:sz="4" w:space="0" w:color="auto"/>
              <w:bottom w:val="single" w:sz="4" w:space="0" w:color="auto"/>
              <w:right w:val="single" w:sz="4" w:space="0" w:color="auto"/>
            </w:tcBorders>
            <w:shd w:val="clear" w:color="auto" w:fill="auto"/>
          </w:tcPr>
          <w:p w:rsidR="00095E93" w:rsidRPr="008D2B62" w:rsidRDefault="00095E93" w:rsidP="00095E93">
            <w:pPr>
              <w:keepNext/>
              <w:keepLines/>
              <w:widowControl w:val="0"/>
              <w:spacing w:before="0"/>
              <w:jc w:val="center"/>
              <w:rPr>
                <w:rFonts w:ascii="Arial Narrow" w:eastAsia="MS Gothic" w:hAnsi="Arial Narrow"/>
                <w:bCs/>
                <w:sz w:val="20"/>
                <w:szCs w:val="24"/>
              </w:rPr>
            </w:pPr>
            <w:r>
              <w:rPr>
                <w:rFonts w:ascii="Arial Narrow" w:eastAsia="MS Gothic" w:hAnsi="Arial Narrow"/>
                <w:bCs/>
                <w:sz w:val="20"/>
                <w:szCs w:val="24"/>
              </w:rPr>
              <w:t>1.67</w:t>
            </w:r>
          </w:p>
        </w:tc>
        <w:tc>
          <w:tcPr>
            <w:tcW w:w="880" w:type="pct"/>
            <w:tcBorders>
              <w:top w:val="nil"/>
              <w:left w:val="single" w:sz="4" w:space="0" w:color="auto"/>
              <w:bottom w:val="nil"/>
            </w:tcBorders>
            <w:shd w:val="clear" w:color="auto" w:fill="auto"/>
          </w:tcPr>
          <w:p w:rsidR="00095E93" w:rsidRPr="007B1C8E" w:rsidRDefault="00095E93" w:rsidP="00095E93">
            <w:pPr>
              <w:keepNext/>
              <w:keepLines/>
              <w:widowControl w:val="0"/>
              <w:spacing w:before="0"/>
              <w:jc w:val="center"/>
              <w:rPr>
                <w:rFonts w:ascii="Arial Narrow" w:eastAsia="MS Gothic" w:hAnsi="Arial Narrow"/>
                <w:bCs/>
                <w:sz w:val="20"/>
                <w:szCs w:val="24"/>
              </w:rPr>
            </w:pPr>
          </w:p>
        </w:tc>
      </w:tr>
      <w:tr w:rsidR="00095E93" w:rsidRPr="008D2B62" w:rsidTr="00657695">
        <w:trPr>
          <w:trHeight w:val="20"/>
        </w:trPr>
        <w:tc>
          <w:tcPr>
            <w:tcW w:w="1364" w:type="pct"/>
            <w:tcBorders>
              <w:top w:val="single" w:sz="4" w:space="0" w:color="auto"/>
              <w:bottom w:val="single" w:sz="4" w:space="0" w:color="auto"/>
              <w:right w:val="single" w:sz="4" w:space="0" w:color="auto"/>
            </w:tcBorders>
            <w:shd w:val="clear" w:color="auto" w:fill="auto"/>
          </w:tcPr>
          <w:p w:rsidR="00095E93" w:rsidRPr="008D2B62" w:rsidRDefault="00095E93" w:rsidP="00095E93">
            <w:pPr>
              <w:keepNext/>
              <w:keepLines/>
              <w:widowControl w:val="0"/>
              <w:spacing w:before="0"/>
              <w:jc w:val="left"/>
              <w:rPr>
                <w:rFonts w:ascii="Arial Narrow" w:eastAsia="MS Gothic" w:hAnsi="Arial Narrow"/>
                <w:bCs/>
                <w:sz w:val="20"/>
                <w:szCs w:val="24"/>
              </w:rPr>
            </w:pPr>
            <w:r w:rsidRPr="008D2B62">
              <w:rPr>
                <w:rFonts w:ascii="Arial Narrow" w:eastAsia="MS Gothic" w:hAnsi="Arial Narrow"/>
                <w:bCs/>
                <w:sz w:val="20"/>
                <w:szCs w:val="24"/>
              </w:rPr>
              <w:t xml:space="preserve">% not progressed at </w:t>
            </w:r>
            <w:r>
              <w:rPr>
                <w:rFonts w:ascii="Arial Narrow" w:eastAsia="MS Gothic" w:hAnsi="Arial Narrow"/>
                <w:bCs/>
                <w:sz w:val="20"/>
                <w:szCs w:val="24"/>
              </w:rPr>
              <w:t>12</w:t>
            </w:r>
            <w:r w:rsidRPr="008D2B62">
              <w:rPr>
                <w:rFonts w:ascii="Arial Narrow" w:eastAsia="MS Gothic" w:hAnsi="Arial Narrow"/>
                <w:bCs/>
                <w:sz w:val="20"/>
                <w:szCs w:val="24"/>
              </w:rPr>
              <w:t xml:space="preserve"> months (95% CI)</w:t>
            </w:r>
          </w:p>
        </w:tc>
        <w:tc>
          <w:tcPr>
            <w:tcW w:w="855" w:type="pct"/>
            <w:tcBorders>
              <w:top w:val="single" w:sz="4" w:space="0" w:color="auto"/>
              <w:left w:val="single" w:sz="4" w:space="0" w:color="auto"/>
              <w:bottom w:val="single" w:sz="4" w:space="0" w:color="auto"/>
              <w:right w:val="single" w:sz="4" w:space="0" w:color="auto"/>
            </w:tcBorders>
            <w:shd w:val="clear" w:color="auto" w:fill="auto"/>
          </w:tcPr>
          <w:p w:rsidR="00095E93" w:rsidRDefault="00095E93" w:rsidP="00095E93">
            <w:pPr>
              <w:keepNext/>
              <w:keepLines/>
              <w:widowControl w:val="0"/>
              <w:spacing w:before="0"/>
              <w:jc w:val="center"/>
              <w:rPr>
                <w:rFonts w:ascii="Arial Narrow" w:eastAsia="MS Gothic" w:hAnsi="Arial Narrow"/>
                <w:bCs/>
                <w:sz w:val="20"/>
                <w:szCs w:val="24"/>
              </w:rPr>
            </w:pPr>
            <w:r w:rsidRPr="007B1C8E">
              <w:rPr>
                <w:rFonts w:ascii="Arial Narrow" w:eastAsia="MS Gothic" w:hAnsi="Arial Narrow"/>
                <w:bCs/>
                <w:sz w:val="20"/>
                <w:szCs w:val="24"/>
              </w:rPr>
              <w:t>24.73</w:t>
            </w:r>
            <w:r>
              <w:rPr>
                <w:rFonts w:ascii="Arial Narrow" w:eastAsia="MS Gothic" w:hAnsi="Arial Narrow"/>
                <w:bCs/>
                <w:sz w:val="20"/>
                <w:szCs w:val="24"/>
              </w:rPr>
              <w:t>%</w:t>
            </w:r>
            <w:r w:rsidRPr="007B1C8E">
              <w:rPr>
                <w:rFonts w:ascii="Arial Narrow" w:eastAsia="MS Gothic" w:hAnsi="Arial Narrow"/>
                <w:bCs/>
                <w:sz w:val="20"/>
                <w:szCs w:val="24"/>
              </w:rPr>
              <w:t xml:space="preserve"> </w:t>
            </w:r>
          </w:p>
          <w:p w:rsidR="00095E93" w:rsidRPr="008D2B62" w:rsidRDefault="00095E93" w:rsidP="00095E93">
            <w:pPr>
              <w:keepNext/>
              <w:keepLines/>
              <w:widowControl w:val="0"/>
              <w:spacing w:before="0"/>
              <w:jc w:val="center"/>
              <w:rPr>
                <w:rFonts w:ascii="Arial Narrow" w:eastAsia="MS Gothic" w:hAnsi="Arial Narrow"/>
                <w:bCs/>
                <w:sz w:val="20"/>
                <w:szCs w:val="24"/>
              </w:rPr>
            </w:pPr>
            <w:r w:rsidRPr="007B1C8E">
              <w:rPr>
                <w:rFonts w:ascii="Arial Narrow" w:eastAsia="MS Gothic" w:hAnsi="Arial Narrow"/>
                <w:bCs/>
                <w:sz w:val="20"/>
                <w:szCs w:val="24"/>
              </w:rPr>
              <w:t>(20.60, 28.86)</w:t>
            </w:r>
          </w:p>
        </w:tc>
        <w:tc>
          <w:tcPr>
            <w:tcW w:w="917" w:type="pct"/>
            <w:tcBorders>
              <w:top w:val="single" w:sz="4" w:space="0" w:color="auto"/>
              <w:left w:val="single" w:sz="4" w:space="0" w:color="auto"/>
              <w:bottom w:val="single" w:sz="4" w:space="0" w:color="auto"/>
              <w:right w:val="single" w:sz="4" w:space="0" w:color="auto"/>
            </w:tcBorders>
            <w:shd w:val="clear" w:color="auto" w:fill="auto"/>
          </w:tcPr>
          <w:p w:rsidR="00095E93" w:rsidRDefault="00095E93" w:rsidP="00095E93">
            <w:pPr>
              <w:keepNext/>
              <w:keepLines/>
              <w:widowControl w:val="0"/>
              <w:spacing w:before="0"/>
              <w:jc w:val="center"/>
              <w:rPr>
                <w:rFonts w:ascii="Arial Narrow" w:eastAsia="MS Gothic" w:hAnsi="Arial Narrow"/>
                <w:bCs/>
                <w:sz w:val="20"/>
                <w:szCs w:val="24"/>
              </w:rPr>
            </w:pPr>
            <w:r w:rsidRPr="007B1C8E">
              <w:rPr>
                <w:rFonts w:ascii="Arial Narrow" w:eastAsia="MS Gothic" w:hAnsi="Arial Narrow"/>
                <w:bCs/>
                <w:sz w:val="20"/>
                <w:szCs w:val="24"/>
              </w:rPr>
              <w:t>18.67</w:t>
            </w:r>
            <w:r>
              <w:rPr>
                <w:rFonts w:ascii="Arial Narrow" w:eastAsia="MS Gothic" w:hAnsi="Arial Narrow"/>
                <w:bCs/>
                <w:sz w:val="20"/>
                <w:szCs w:val="24"/>
              </w:rPr>
              <w:t>%</w:t>
            </w:r>
            <w:r w:rsidRPr="007B1C8E">
              <w:rPr>
                <w:rFonts w:ascii="Arial Narrow" w:eastAsia="MS Gothic" w:hAnsi="Arial Narrow"/>
                <w:bCs/>
                <w:sz w:val="20"/>
                <w:szCs w:val="24"/>
              </w:rPr>
              <w:t xml:space="preserve"> </w:t>
            </w:r>
          </w:p>
          <w:p w:rsidR="00095E93" w:rsidRPr="007B1C8E" w:rsidRDefault="00095E93" w:rsidP="00095E93">
            <w:pPr>
              <w:keepNext/>
              <w:keepLines/>
              <w:widowControl w:val="0"/>
              <w:spacing w:before="0"/>
              <w:jc w:val="center"/>
              <w:rPr>
                <w:rFonts w:ascii="Arial Narrow" w:eastAsia="MS Gothic" w:hAnsi="Arial Narrow"/>
                <w:bCs/>
                <w:sz w:val="20"/>
                <w:szCs w:val="24"/>
              </w:rPr>
            </w:pPr>
            <w:r w:rsidRPr="007B1C8E">
              <w:rPr>
                <w:rFonts w:ascii="Arial Narrow" w:eastAsia="MS Gothic" w:hAnsi="Arial Narrow"/>
                <w:bCs/>
                <w:sz w:val="20"/>
                <w:szCs w:val="24"/>
              </w:rPr>
              <w:t>(14.97, 22.37)</w:t>
            </w:r>
          </w:p>
        </w:tc>
        <w:tc>
          <w:tcPr>
            <w:tcW w:w="983" w:type="pct"/>
            <w:tcBorders>
              <w:top w:val="single" w:sz="4" w:space="0" w:color="auto"/>
              <w:left w:val="single" w:sz="4" w:space="0" w:color="auto"/>
              <w:bottom w:val="single" w:sz="4" w:space="0" w:color="auto"/>
              <w:right w:val="single" w:sz="4" w:space="0" w:color="auto"/>
            </w:tcBorders>
            <w:shd w:val="clear" w:color="auto" w:fill="auto"/>
          </w:tcPr>
          <w:p w:rsidR="00095E93" w:rsidRPr="008D2B62" w:rsidRDefault="00095E93" w:rsidP="00095E93">
            <w:pPr>
              <w:keepNext/>
              <w:keepLines/>
              <w:widowControl w:val="0"/>
              <w:spacing w:before="0"/>
              <w:jc w:val="center"/>
              <w:rPr>
                <w:rFonts w:ascii="Arial Narrow" w:eastAsia="MS Gothic" w:hAnsi="Arial Narrow"/>
                <w:bCs/>
                <w:sz w:val="20"/>
                <w:szCs w:val="24"/>
              </w:rPr>
            </w:pPr>
            <w:r>
              <w:rPr>
                <w:rFonts w:ascii="Arial Narrow" w:eastAsia="MS Gothic" w:hAnsi="Arial Narrow"/>
                <w:bCs/>
                <w:sz w:val="20"/>
                <w:szCs w:val="24"/>
              </w:rPr>
              <w:t>6.06</w:t>
            </w:r>
            <w:r w:rsidRPr="007B1C8E">
              <w:rPr>
                <w:rFonts w:ascii="Arial Narrow" w:eastAsia="MS Gothic" w:hAnsi="Arial Narrow"/>
                <w:bCs/>
                <w:sz w:val="20"/>
                <w:szCs w:val="24"/>
              </w:rPr>
              <w:t>%</w:t>
            </w:r>
          </w:p>
        </w:tc>
        <w:tc>
          <w:tcPr>
            <w:tcW w:w="880" w:type="pct"/>
            <w:tcBorders>
              <w:top w:val="nil"/>
              <w:left w:val="single" w:sz="4" w:space="0" w:color="auto"/>
              <w:bottom w:val="nil"/>
            </w:tcBorders>
            <w:shd w:val="clear" w:color="auto" w:fill="auto"/>
          </w:tcPr>
          <w:p w:rsidR="00095E93" w:rsidRPr="008D2B62" w:rsidRDefault="00095E93" w:rsidP="00095E93">
            <w:pPr>
              <w:keepNext/>
              <w:keepLines/>
              <w:widowControl w:val="0"/>
              <w:spacing w:before="0"/>
              <w:jc w:val="center"/>
              <w:rPr>
                <w:rFonts w:ascii="Arial Narrow" w:eastAsia="MS Gothic" w:hAnsi="Arial Narrow"/>
                <w:bCs/>
                <w:sz w:val="20"/>
                <w:szCs w:val="24"/>
              </w:rPr>
            </w:pPr>
          </w:p>
        </w:tc>
      </w:tr>
      <w:tr w:rsidR="00095E93" w:rsidRPr="008D2B62" w:rsidTr="00657695">
        <w:trPr>
          <w:trHeight w:val="20"/>
        </w:trPr>
        <w:tc>
          <w:tcPr>
            <w:tcW w:w="1364" w:type="pct"/>
            <w:tcBorders>
              <w:top w:val="single" w:sz="4" w:space="0" w:color="auto"/>
              <w:bottom w:val="single" w:sz="4" w:space="0" w:color="auto"/>
              <w:right w:val="single" w:sz="4" w:space="0" w:color="auto"/>
            </w:tcBorders>
            <w:shd w:val="clear" w:color="auto" w:fill="auto"/>
          </w:tcPr>
          <w:p w:rsidR="00095E93" w:rsidRPr="008D2B62" w:rsidRDefault="00095E93" w:rsidP="00095E93">
            <w:pPr>
              <w:keepNext/>
              <w:keepLines/>
              <w:widowControl w:val="0"/>
              <w:spacing w:before="0"/>
              <w:jc w:val="left"/>
              <w:rPr>
                <w:rFonts w:ascii="Arial Narrow" w:eastAsia="MS Gothic" w:hAnsi="Arial Narrow"/>
                <w:bCs/>
                <w:sz w:val="20"/>
                <w:szCs w:val="24"/>
              </w:rPr>
            </w:pPr>
            <w:r w:rsidRPr="008D2B62">
              <w:rPr>
                <w:rFonts w:ascii="Arial Narrow" w:eastAsia="MS Gothic" w:hAnsi="Arial Narrow"/>
                <w:bCs/>
                <w:sz w:val="20"/>
                <w:szCs w:val="24"/>
              </w:rPr>
              <w:t xml:space="preserve">% not progressed at </w:t>
            </w:r>
            <w:r>
              <w:rPr>
                <w:rFonts w:ascii="Arial Narrow" w:eastAsia="MS Gothic" w:hAnsi="Arial Narrow"/>
                <w:bCs/>
                <w:sz w:val="20"/>
                <w:szCs w:val="24"/>
              </w:rPr>
              <w:t>24</w:t>
            </w:r>
            <w:r w:rsidRPr="008D2B62">
              <w:rPr>
                <w:rFonts w:ascii="Arial Narrow" w:eastAsia="MS Gothic" w:hAnsi="Arial Narrow"/>
                <w:bCs/>
                <w:sz w:val="20"/>
                <w:szCs w:val="24"/>
              </w:rPr>
              <w:t xml:space="preserve"> months (95% CI)</w:t>
            </w:r>
          </w:p>
        </w:tc>
        <w:tc>
          <w:tcPr>
            <w:tcW w:w="855" w:type="pct"/>
            <w:tcBorders>
              <w:top w:val="single" w:sz="4" w:space="0" w:color="auto"/>
              <w:left w:val="single" w:sz="4" w:space="0" w:color="auto"/>
              <w:bottom w:val="single" w:sz="4" w:space="0" w:color="auto"/>
              <w:right w:val="single" w:sz="4" w:space="0" w:color="auto"/>
            </w:tcBorders>
            <w:shd w:val="clear" w:color="auto" w:fill="auto"/>
          </w:tcPr>
          <w:p w:rsidR="00095E93" w:rsidRPr="007B1C8E" w:rsidRDefault="00095E93" w:rsidP="00095E93">
            <w:pPr>
              <w:keepNext/>
              <w:keepLines/>
              <w:widowControl w:val="0"/>
              <w:spacing w:before="0"/>
              <w:jc w:val="center"/>
              <w:rPr>
                <w:rFonts w:ascii="Arial Narrow" w:eastAsia="MS Gothic" w:hAnsi="Arial Narrow"/>
                <w:bCs/>
                <w:sz w:val="20"/>
                <w:szCs w:val="24"/>
              </w:rPr>
            </w:pPr>
            <w:r w:rsidRPr="007B1C8E">
              <w:rPr>
                <w:rFonts w:ascii="Arial Narrow" w:eastAsia="MS Gothic" w:hAnsi="Arial Narrow"/>
                <w:bCs/>
                <w:sz w:val="20"/>
                <w:szCs w:val="24"/>
              </w:rPr>
              <w:t>10.2%</w:t>
            </w:r>
            <w:r w:rsidR="008759CE">
              <w:rPr>
                <w:rFonts w:ascii="Arial Narrow" w:eastAsia="MS Gothic" w:hAnsi="Arial Narrow"/>
                <w:bCs/>
                <w:sz w:val="20"/>
                <w:szCs w:val="24"/>
              </w:rPr>
              <w:t xml:space="preserve"> (6.96, 13.48)</w:t>
            </w:r>
          </w:p>
        </w:tc>
        <w:tc>
          <w:tcPr>
            <w:tcW w:w="917" w:type="pct"/>
            <w:tcBorders>
              <w:top w:val="single" w:sz="4" w:space="0" w:color="auto"/>
              <w:left w:val="single" w:sz="4" w:space="0" w:color="auto"/>
              <w:bottom w:val="single" w:sz="4" w:space="0" w:color="auto"/>
              <w:right w:val="single" w:sz="4" w:space="0" w:color="auto"/>
            </w:tcBorders>
            <w:shd w:val="clear" w:color="auto" w:fill="auto"/>
          </w:tcPr>
          <w:p w:rsidR="00095E93" w:rsidRPr="007B1C8E" w:rsidRDefault="00095E93" w:rsidP="00095E93">
            <w:pPr>
              <w:keepNext/>
              <w:keepLines/>
              <w:widowControl w:val="0"/>
              <w:spacing w:before="0"/>
              <w:jc w:val="center"/>
              <w:rPr>
                <w:rFonts w:ascii="Arial Narrow" w:eastAsia="MS Gothic" w:hAnsi="Arial Narrow"/>
                <w:bCs/>
                <w:sz w:val="20"/>
                <w:szCs w:val="24"/>
              </w:rPr>
            </w:pPr>
            <w:r w:rsidRPr="007B1C8E">
              <w:rPr>
                <w:rFonts w:ascii="Arial Narrow" w:eastAsia="MS Gothic" w:hAnsi="Arial Narrow"/>
                <w:bCs/>
                <w:sz w:val="20"/>
                <w:szCs w:val="24"/>
              </w:rPr>
              <w:t>6.4%</w:t>
            </w:r>
            <w:r w:rsidR="008759CE">
              <w:rPr>
                <w:rFonts w:ascii="Arial Narrow" w:eastAsia="MS Gothic" w:hAnsi="Arial Narrow"/>
                <w:bCs/>
                <w:sz w:val="20"/>
                <w:szCs w:val="24"/>
              </w:rPr>
              <w:t xml:space="preserve"> (3.79, 9.02)</w:t>
            </w:r>
          </w:p>
        </w:tc>
        <w:tc>
          <w:tcPr>
            <w:tcW w:w="983" w:type="pct"/>
            <w:tcBorders>
              <w:top w:val="single" w:sz="4" w:space="0" w:color="auto"/>
              <w:left w:val="single" w:sz="4" w:space="0" w:color="auto"/>
              <w:bottom w:val="single" w:sz="4" w:space="0" w:color="auto"/>
              <w:right w:val="single" w:sz="4" w:space="0" w:color="auto"/>
            </w:tcBorders>
            <w:shd w:val="clear" w:color="auto" w:fill="auto"/>
          </w:tcPr>
          <w:p w:rsidR="00095E93" w:rsidRPr="007B1C8E" w:rsidRDefault="00095E93" w:rsidP="00095E93">
            <w:pPr>
              <w:keepNext/>
              <w:keepLines/>
              <w:widowControl w:val="0"/>
              <w:spacing w:before="0"/>
              <w:jc w:val="center"/>
              <w:rPr>
                <w:rFonts w:ascii="Arial Narrow" w:eastAsia="MS Gothic" w:hAnsi="Arial Narrow"/>
                <w:bCs/>
                <w:sz w:val="20"/>
                <w:szCs w:val="24"/>
              </w:rPr>
            </w:pPr>
            <w:r>
              <w:rPr>
                <w:rFonts w:ascii="Arial Narrow" w:eastAsia="MS Gothic" w:hAnsi="Arial Narrow"/>
                <w:bCs/>
                <w:sz w:val="20"/>
                <w:szCs w:val="24"/>
              </w:rPr>
              <w:t>3.8%</w:t>
            </w:r>
          </w:p>
        </w:tc>
        <w:tc>
          <w:tcPr>
            <w:tcW w:w="880" w:type="pct"/>
            <w:tcBorders>
              <w:top w:val="nil"/>
              <w:left w:val="single" w:sz="4" w:space="0" w:color="auto"/>
              <w:bottom w:val="nil"/>
            </w:tcBorders>
            <w:shd w:val="clear" w:color="auto" w:fill="auto"/>
          </w:tcPr>
          <w:p w:rsidR="00095E93" w:rsidRPr="008D2B62" w:rsidRDefault="00095E93" w:rsidP="00095E93">
            <w:pPr>
              <w:keepNext/>
              <w:keepLines/>
              <w:widowControl w:val="0"/>
              <w:spacing w:before="0"/>
              <w:jc w:val="center"/>
              <w:rPr>
                <w:rFonts w:ascii="Arial Narrow" w:eastAsia="MS Gothic" w:hAnsi="Arial Narrow"/>
                <w:bCs/>
                <w:sz w:val="20"/>
                <w:szCs w:val="24"/>
              </w:rPr>
            </w:pPr>
          </w:p>
        </w:tc>
      </w:tr>
      <w:tr w:rsidR="00095E93" w:rsidRPr="008D2B62" w:rsidTr="00657695">
        <w:trPr>
          <w:trHeight w:val="20"/>
        </w:trPr>
        <w:tc>
          <w:tcPr>
            <w:tcW w:w="5000" w:type="pct"/>
            <w:gridSpan w:val="5"/>
            <w:tcBorders>
              <w:top w:val="single" w:sz="4" w:space="0" w:color="auto"/>
              <w:bottom w:val="single" w:sz="4" w:space="0" w:color="auto"/>
            </w:tcBorders>
            <w:shd w:val="clear" w:color="auto" w:fill="auto"/>
            <w:vAlign w:val="center"/>
          </w:tcPr>
          <w:p w:rsidR="00095E93" w:rsidRPr="00B5274E" w:rsidRDefault="00095E93" w:rsidP="00666CF6">
            <w:pPr>
              <w:keepNext/>
              <w:keepLines/>
              <w:widowControl w:val="0"/>
              <w:spacing w:before="0"/>
              <w:jc w:val="left"/>
              <w:rPr>
                <w:rFonts w:ascii="Arial Narrow" w:eastAsia="MS Gothic" w:hAnsi="Arial Narrow"/>
                <w:b/>
                <w:bCs/>
                <w:sz w:val="20"/>
                <w:szCs w:val="24"/>
              </w:rPr>
            </w:pPr>
            <w:r w:rsidRPr="00B5274E">
              <w:rPr>
                <w:rFonts w:ascii="Arial Narrow" w:eastAsia="MS Gothic" w:hAnsi="Arial Narrow"/>
                <w:b/>
                <w:bCs/>
                <w:sz w:val="20"/>
                <w:szCs w:val="24"/>
              </w:rPr>
              <w:t>PD-L1</w:t>
            </w:r>
            <w:r w:rsidR="00666CF6">
              <w:rPr>
                <w:rFonts w:ascii="Arial Narrow" w:eastAsia="MS Gothic" w:hAnsi="Arial Narrow"/>
                <w:b/>
                <w:bCs/>
                <w:sz w:val="20"/>
                <w:szCs w:val="24"/>
              </w:rPr>
              <w:t>-</w:t>
            </w:r>
            <w:r w:rsidR="00F64FC1">
              <w:rPr>
                <w:rFonts w:ascii="Arial Narrow" w:eastAsia="MS Gothic" w:hAnsi="Arial Narrow"/>
                <w:b/>
                <w:bCs/>
                <w:sz w:val="20"/>
                <w:szCs w:val="24"/>
              </w:rPr>
              <w:t>positive</w:t>
            </w:r>
            <w:r w:rsidRPr="00B5274E">
              <w:rPr>
                <w:rFonts w:ascii="Arial Narrow" w:eastAsia="MS Gothic" w:hAnsi="Arial Narrow"/>
                <w:b/>
                <w:bCs/>
                <w:sz w:val="20"/>
                <w:szCs w:val="24"/>
              </w:rPr>
              <w:t xml:space="preserve"> population</w:t>
            </w:r>
          </w:p>
        </w:tc>
      </w:tr>
      <w:tr w:rsidR="00095E93" w:rsidRPr="008D2B62" w:rsidTr="00657695">
        <w:trPr>
          <w:trHeight w:val="20"/>
        </w:trPr>
        <w:tc>
          <w:tcPr>
            <w:tcW w:w="1364" w:type="pct"/>
            <w:tcBorders>
              <w:bottom w:val="single" w:sz="4" w:space="0" w:color="auto"/>
              <w:right w:val="single" w:sz="4" w:space="0" w:color="auto"/>
            </w:tcBorders>
            <w:shd w:val="clear" w:color="auto" w:fill="auto"/>
          </w:tcPr>
          <w:p w:rsidR="00095E93" w:rsidRPr="008D2B62" w:rsidRDefault="00095E93" w:rsidP="00095E93">
            <w:pPr>
              <w:keepNext/>
              <w:keepLines/>
              <w:widowControl w:val="0"/>
              <w:spacing w:before="0"/>
              <w:jc w:val="left"/>
              <w:rPr>
                <w:rFonts w:ascii="Arial Narrow" w:eastAsia="MS Gothic" w:hAnsi="Arial Narrow"/>
                <w:bCs/>
                <w:sz w:val="20"/>
                <w:szCs w:val="24"/>
              </w:rPr>
            </w:pPr>
            <w:r w:rsidRPr="008D2B62">
              <w:rPr>
                <w:rFonts w:ascii="Arial Narrow" w:eastAsia="MS Gothic" w:hAnsi="Arial Narrow"/>
                <w:bCs/>
                <w:sz w:val="20"/>
                <w:szCs w:val="24"/>
              </w:rPr>
              <w:t>Progressed, n</w:t>
            </w:r>
            <w:r w:rsidR="00003E6F">
              <w:rPr>
                <w:rFonts w:ascii="Arial Narrow" w:eastAsia="MS Gothic" w:hAnsi="Arial Narrow"/>
                <w:bCs/>
                <w:sz w:val="20"/>
                <w:szCs w:val="24"/>
              </w:rPr>
              <w:t>/N</w:t>
            </w:r>
            <w:r w:rsidRPr="008D2B62">
              <w:rPr>
                <w:rFonts w:ascii="Arial Narrow" w:eastAsia="MS Gothic" w:hAnsi="Arial Narrow"/>
                <w:bCs/>
                <w:sz w:val="20"/>
                <w:szCs w:val="24"/>
              </w:rPr>
              <w:t xml:space="preserve"> (%)</w:t>
            </w:r>
          </w:p>
        </w:tc>
        <w:tc>
          <w:tcPr>
            <w:tcW w:w="855" w:type="pct"/>
            <w:tcBorders>
              <w:left w:val="single" w:sz="4" w:space="0" w:color="auto"/>
              <w:bottom w:val="single" w:sz="4" w:space="0" w:color="auto"/>
              <w:right w:val="single" w:sz="4" w:space="0" w:color="auto"/>
            </w:tcBorders>
            <w:shd w:val="clear" w:color="auto" w:fill="auto"/>
          </w:tcPr>
          <w:p w:rsidR="00095E93" w:rsidRPr="008D2B62" w:rsidRDefault="00095E93" w:rsidP="00095E93">
            <w:pPr>
              <w:keepNext/>
              <w:keepLines/>
              <w:widowControl w:val="0"/>
              <w:spacing w:before="0"/>
              <w:jc w:val="center"/>
              <w:rPr>
                <w:rFonts w:ascii="Arial Narrow" w:eastAsia="MS Gothic" w:hAnsi="Arial Narrow"/>
                <w:bCs/>
                <w:sz w:val="20"/>
                <w:szCs w:val="24"/>
              </w:rPr>
            </w:pPr>
            <w:r w:rsidRPr="007B1C8E">
              <w:rPr>
                <w:rFonts w:ascii="Arial Narrow" w:eastAsia="MS Gothic" w:hAnsi="Arial Narrow"/>
                <w:bCs/>
                <w:sz w:val="20"/>
                <w:szCs w:val="24"/>
              </w:rPr>
              <w:t>149/185 (80.5%)</w:t>
            </w:r>
          </w:p>
        </w:tc>
        <w:tc>
          <w:tcPr>
            <w:tcW w:w="917" w:type="pct"/>
            <w:tcBorders>
              <w:left w:val="single" w:sz="4" w:space="0" w:color="auto"/>
              <w:bottom w:val="single" w:sz="4" w:space="0" w:color="auto"/>
              <w:right w:val="single" w:sz="4" w:space="0" w:color="auto"/>
            </w:tcBorders>
            <w:shd w:val="clear" w:color="auto" w:fill="auto"/>
          </w:tcPr>
          <w:p w:rsidR="00095E93" w:rsidRPr="008D2B62" w:rsidRDefault="00095E93" w:rsidP="00095E93">
            <w:pPr>
              <w:keepNext/>
              <w:keepLines/>
              <w:widowControl w:val="0"/>
              <w:spacing w:before="0"/>
              <w:jc w:val="center"/>
              <w:rPr>
                <w:rFonts w:ascii="Arial Narrow" w:eastAsia="MS Gothic" w:hAnsi="Arial Narrow"/>
                <w:bCs/>
                <w:sz w:val="20"/>
                <w:szCs w:val="24"/>
              </w:rPr>
            </w:pPr>
            <w:r w:rsidRPr="007B1C8E">
              <w:rPr>
                <w:rFonts w:ascii="Arial Narrow" w:eastAsia="MS Gothic" w:hAnsi="Arial Narrow"/>
                <w:bCs/>
                <w:sz w:val="20"/>
                <w:szCs w:val="24"/>
              </w:rPr>
              <w:t>163/184 (88.6%)</w:t>
            </w:r>
          </w:p>
        </w:tc>
        <w:tc>
          <w:tcPr>
            <w:tcW w:w="983" w:type="pct"/>
            <w:tcBorders>
              <w:left w:val="single" w:sz="4" w:space="0" w:color="auto"/>
              <w:bottom w:val="single" w:sz="4" w:space="0" w:color="auto"/>
              <w:right w:val="single" w:sz="4" w:space="0" w:color="auto"/>
            </w:tcBorders>
            <w:shd w:val="clear" w:color="auto" w:fill="auto"/>
          </w:tcPr>
          <w:p w:rsidR="00095E93" w:rsidRPr="008D2B62" w:rsidRDefault="00095E93" w:rsidP="00095E93">
            <w:pPr>
              <w:keepNext/>
              <w:keepLines/>
              <w:widowControl w:val="0"/>
              <w:spacing w:before="0"/>
              <w:jc w:val="center"/>
              <w:rPr>
                <w:rFonts w:ascii="Arial Narrow" w:eastAsia="MS Gothic" w:hAnsi="Arial Narrow"/>
                <w:bCs/>
                <w:sz w:val="20"/>
                <w:szCs w:val="24"/>
              </w:rPr>
            </w:pPr>
          </w:p>
        </w:tc>
        <w:tc>
          <w:tcPr>
            <w:tcW w:w="880" w:type="pct"/>
            <w:tcBorders>
              <w:left w:val="single" w:sz="4" w:space="0" w:color="auto"/>
              <w:bottom w:val="nil"/>
            </w:tcBorders>
            <w:shd w:val="clear" w:color="auto" w:fill="auto"/>
          </w:tcPr>
          <w:p w:rsidR="00095E93" w:rsidRPr="002F4E0C" w:rsidRDefault="00095E93" w:rsidP="00095E93">
            <w:pPr>
              <w:keepNext/>
              <w:keepLines/>
              <w:widowControl w:val="0"/>
              <w:spacing w:before="0"/>
              <w:jc w:val="center"/>
              <w:rPr>
                <w:rFonts w:ascii="Arial Narrow" w:eastAsia="MS Gothic" w:hAnsi="Arial Narrow"/>
                <w:b/>
                <w:bCs/>
                <w:sz w:val="20"/>
                <w:szCs w:val="24"/>
              </w:rPr>
            </w:pPr>
            <w:r w:rsidRPr="002F4E0C">
              <w:rPr>
                <w:rFonts w:ascii="Arial Narrow" w:eastAsia="MS Gothic" w:hAnsi="Arial Narrow"/>
                <w:b/>
                <w:bCs/>
                <w:sz w:val="20"/>
                <w:szCs w:val="24"/>
              </w:rPr>
              <w:t>0.63 (0.50, 0.80)</w:t>
            </w:r>
          </w:p>
          <w:p w:rsidR="00095E93" w:rsidRPr="008D2B62" w:rsidRDefault="00003E6F" w:rsidP="00095E93">
            <w:pPr>
              <w:keepNext/>
              <w:keepLines/>
              <w:widowControl w:val="0"/>
              <w:spacing w:before="0"/>
              <w:jc w:val="center"/>
              <w:rPr>
                <w:rFonts w:ascii="Arial Narrow" w:eastAsia="MS Gothic" w:hAnsi="Arial Narrow"/>
                <w:bCs/>
                <w:sz w:val="20"/>
                <w:szCs w:val="24"/>
              </w:rPr>
            </w:pPr>
            <w:r>
              <w:rPr>
                <w:rFonts w:ascii="Arial Narrow" w:eastAsia="MS Gothic" w:hAnsi="Arial Narrow"/>
                <w:bCs/>
                <w:sz w:val="20"/>
                <w:szCs w:val="24"/>
              </w:rPr>
              <w:t>P</w:t>
            </w:r>
            <w:r w:rsidR="00095E93" w:rsidRPr="007B1C8E">
              <w:rPr>
                <w:rFonts w:ascii="Arial Narrow" w:eastAsia="MS Gothic" w:hAnsi="Arial Narrow"/>
                <w:bCs/>
                <w:sz w:val="20"/>
                <w:szCs w:val="24"/>
              </w:rPr>
              <w:t>&lt;0.0001</w:t>
            </w:r>
          </w:p>
        </w:tc>
      </w:tr>
      <w:tr w:rsidR="00095E93" w:rsidRPr="008D2B62" w:rsidTr="00657695">
        <w:trPr>
          <w:trHeight w:val="20"/>
        </w:trPr>
        <w:tc>
          <w:tcPr>
            <w:tcW w:w="1364" w:type="pct"/>
            <w:tcBorders>
              <w:bottom w:val="single" w:sz="4" w:space="0" w:color="auto"/>
              <w:right w:val="single" w:sz="4" w:space="0" w:color="auto"/>
            </w:tcBorders>
            <w:shd w:val="clear" w:color="auto" w:fill="auto"/>
          </w:tcPr>
          <w:p w:rsidR="00095E93" w:rsidRPr="008D2B62" w:rsidRDefault="00095E93" w:rsidP="00095E93">
            <w:pPr>
              <w:keepNext/>
              <w:keepLines/>
              <w:widowControl w:val="0"/>
              <w:spacing w:before="0"/>
              <w:jc w:val="left"/>
              <w:rPr>
                <w:rFonts w:ascii="Arial Narrow" w:eastAsia="MS Gothic" w:hAnsi="Arial Narrow"/>
                <w:bCs/>
                <w:sz w:val="20"/>
                <w:szCs w:val="24"/>
              </w:rPr>
            </w:pPr>
            <w:r w:rsidRPr="008D2B62">
              <w:rPr>
                <w:rFonts w:ascii="Arial Narrow" w:eastAsia="MS Gothic" w:hAnsi="Arial Narrow"/>
                <w:bCs/>
                <w:sz w:val="20"/>
                <w:szCs w:val="24"/>
              </w:rPr>
              <w:t>Median PFS, months (95% CI)</w:t>
            </w:r>
          </w:p>
        </w:tc>
        <w:tc>
          <w:tcPr>
            <w:tcW w:w="855" w:type="pct"/>
            <w:tcBorders>
              <w:left w:val="single" w:sz="4" w:space="0" w:color="auto"/>
              <w:bottom w:val="single" w:sz="4" w:space="0" w:color="auto"/>
              <w:right w:val="single" w:sz="4" w:space="0" w:color="auto"/>
            </w:tcBorders>
            <w:shd w:val="clear" w:color="auto" w:fill="auto"/>
          </w:tcPr>
          <w:p w:rsidR="00095E93" w:rsidRPr="007B1C8E" w:rsidRDefault="00095E93" w:rsidP="00095E93">
            <w:pPr>
              <w:keepNext/>
              <w:keepLines/>
              <w:widowControl w:val="0"/>
              <w:spacing w:before="0"/>
              <w:jc w:val="center"/>
              <w:rPr>
                <w:rFonts w:ascii="Arial Narrow" w:eastAsia="MS Gothic" w:hAnsi="Arial Narrow"/>
                <w:bCs/>
                <w:sz w:val="20"/>
                <w:szCs w:val="24"/>
              </w:rPr>
            </w:pPr>
            <w:r w:rsidRPr="007B1C8E">
              <w:rPr>
                <w:rFonts w:ascii="Arial Narrow" w:eastAsia="MS Gothic" w:hAnsi="Arial Narrow"/>
                <w:bCs/>
                <w:sz w:val="20"/>
                <w:szCs w:val="24"/>
              </w:rPr>
              <w:t xml:space="preserve">7.46 </w:t>
            </w:r>
          </w:p>
          <w:p w:rsidR="00095E93" w:rsidRPr="007B1C8E" w:rsidRDefault="00095E93" w:rsidP="00095E93">
            <w:pPr>
              <w:keepNext/>
              <w:keepLines/>
              <w:widowControl w:val="0"/>
              <w:spacing w:before="0"/>
              <w:jc w:val="center"/>
              <w:rPr>
                <w:rFonts w:ascii="Arial Narrow" w:eastAsia="MS Gothic" w:hAnsi="Arial Narrow"/>
                <w:bCs/>
                <w:sz w:val="20"/>
                <w:szCs w:val="24"/>
              </w:rPr>
            </w:pPr>
            <w:r w:rsidRPr="007B1C8E">
              <w:rPr>
                <w:rFonts w:ascii="Arial Narrow" w:eastAsia="MS Gothic" w:hAnsi="Arial Narrow"/>
                <w:bCs/>
                <w:sz w:val="20"/>
                <w:szCs w:val="24"/>
              </w:rPr>
              <w:t>(6.70, 9.23)</w:t>
            </w:r>
          </w:p>
        </w:tc>
        <w:tc>
          <w:tcPr>
            <w:tcW w:w="917" w:type="pct"/>
            <w:tcBorders>
              <w:left w:val="single" w:sz="4" w:space="0" w:color="auto"/>
              <w:bottom w:val="single" w:sz="4" w:space="0" w:color="auto"/>
              <w:right w:val="single" w:sz="4" w:space="0" w:color="auto"/>
            </w:tcBorders>
            <w:shd w:val="clear" w:color="auto" w:fill="auto"/>
          </w:tcPr>
          <w:p w:rsidR="00095E93" w:rsidRPr="007B1C8E" w:rsidRDefault="00095E93" w:rsidP="00095E93">
            <w:pPr>
              <w:keepNext/>
              <w:keepLines/>
              <w:widowControl w:val="0"/>
              <w:spacing w:before="0"/>
              <w:jc w:val="center"/>
              <w:rPr>
                <w:rFonts w:ascii="Arial Narrow" w:eastAsia="MS Gothic" w:hAnsi="Arial Narrow"/>
                <w:bCs/>
                <w:sz w:val="20"/>
                <w:szCs w:val="24"/>
              </w:rPr>
            </w:pPr>
            <w:r w:rsidRPr="007B1C8E">
              <w:rPr>
                <w:rFonts w:ascii="Arial Narrow" w:eastAsia="MS Gothic" w:hAnsi="Arial Narrow"/>
                <w:bCs/>
                <w:sz w:val="20"/>
                <w:szCs w:val="24"/>
              </w:rPr>
              <w:t xml:space="preserve">5.29 </w:t>
            </w:r>
          </w:p>
          <w:p w:rsidR="00095E93" w:rsidRPr="007B1C8E" w:rsidRDefault="00095E93" w:rsidP="00095E93">
            <w:pPr>
              <w:keepNext/>
              <w:keepLines/>
              <w:widowControl w:val="0"/>
              <w:spacing w:before="0"/>
              <w:jc w:val="center"/>
              <w:rPr>
                <w:rFonts w:ascii="Arial Narrow" w:eastAsia="MS Gothic" w:hAnsi="Arial Narrow"/>
                <w:bCs/>
                <w:sz w:val="20"/>
                <w:szCs w:val="24"/>
              </w:rPr>
            </w:pPr>
            <w:r w:rsidRPr="007B1C8E">
              <w:rPr>
                <w:rFonts w:ascii="Arial Narrow" w:eastAsia="MS Gothic" w:hAnsi="Arial Narrow"/>
                <w:bCs/>
                <w:sz w:val="20"/>
                <w:szCs w:val="24"/>
              </w:rPr>
              <w:t>(3.81, 5.55)</w:t>
            </w:r>
          </w:p>
        </w:tc>
        <w:tc>
          <w:tcPr>
            <w:tcW w:w="983" w:type="pct"/>
            <w:tcBorders>
              <w:left w:val="single" w:sz="4" w:space="0" w:color="auto"/>
              <w:bottom w:val="single" w:sz="4" w:space="0" w:color="auto"/>
              <w:right w:val="single" w:sz="4" w:space="0" w:color="auto"/>
            </w:tcBorders>
            <w:shd w:val="clear" w:color="auto" w:fill="auto"/>
          </w:tcPr>
          <w:p w:rsidR="00095E93" w:rsidRPr="008D2B62" w:rsidRDefault="00863AFB" w:rsidP="00095E93">
            <w:pPr>
              <w:keepNext/>
              <w:keepLines/>
              <w:widowControl w:val="0"/>
              <w:spacing w:before="0"/>
              <w:jc w:val="center"/>
              <w:rPr>
                <w:rFonts w:ascii="Arial Narrow" w:eastAsia="MS Gothic" w:hAnsi="Arial Narrow"/>
                <w:bCs/>
                <w:sz w:val="20"/>
                <w:szCs w:val="24"/>
              </w:rPr>
            </w:pPr>
            <w:r>
              <w:rPr>
                <w:rFonts w:ascii="Arial Narrow" w:eastAsia="MS Gothic" w:hAnsi="Arial Narrow"/>
                <w:bCs/>
                <w:sz w:val="20"/>
                <w:szCs w:val="24"/>
              </w:rPr>
              <w:t>2.17</w:t>
            </w:r>
          </w:p>
        </w:tc>
        <w:tc>
          <w:tcPr>
            <w:tcW w:w="880" w:type="pct"/>
            <w:tcBorders>
              <w:top w:val="nil"/>
              <w:left w:val="single" w:sz="4" w:space="0" w:color="auto"/>
              <w:bottom w:val="nil"/>
            </w:tcBorders>
            <w:shd w:val="clear" w:color="auto" w:fill="auto"/>
          </w:tcPr>
          <w:p w:rsidR="00095E93" w:rsidRPr="007B1C8E" w:rsidRDefault="00095E93" w:rsidP="00095E93">
            <w:pPr>
              <w:keepNext/>
              <w:keepLines/>
              <w:widowControl w:val="0"/>
              <w:spacing w:before="0"/>
              <w:jc w:val="center"/>
              <w:rPr>
                <w:rFonts w:ascii="Arial Narrow" w:eastAsia="MS Gothic" w:hAnsi="Arial Narrow"/>
                <w:bCs/>
                <w:sz w:val="20"/>
                <w:szCs w:val="24"/>
              </w:rPr>
            </w:pPr>
          </w:p>
        </w:tc>
      </w:tr>
      <w:tr w:rsidR="00095E93" w:rsidRPr="008D2B62" w:rsidTr="00657695">
        <w:trPr>
          <w:trHeight w:val="20"/>
        </w:trPr>
        <w:tc>
          <w:tcPr>
            <w:tcW w:w="1364" w:type="pct"/>
            <w:tcBorders>
              <w:top w:val="single" w:sz="4" w:space="0" w:color="auto"/>
              <w:bottom w:val="single" w:sz="4" w:space="0" w:color="auto"/>
              <w:right w:val="single" w:sz="4" w:space="0" w:color="auto"/>
            </w:tcBorders>
            <w:shd w:val="clear" w:color="auto" w:fill="auto"/>
          </w:tcPr>
          <w:p w:rsidR="00095E93" w:rsidRPr="00D71F99" w:rsidRDefault="00095E93" w:rsidP="00095E93">
            <w:pPr>
              <w:keepNext/>
              <w:keepLines/>
              <w:widowControl w:val="0"/>
              <w:spacing w:before="0"/>
              <w:jc w:val="left"/>
              <w:rPr>
                <w:rFonts w:ascii="Arial Narrow" w:eastAsia="MS Gothic" w:hAnsi="Arial Narrow"/>
                <w:bCs/>
                <w:sz w:val="20"/>
                <w:szCs w:val="24"/>
              </w:rPr>
            </w:pPr>
            <w:r w:rsidRPr="008D2B62">
              <w:rPr>
                <w:rFonts w:ascii="Arial Narrow" w:eastAsia="MS Gothic" w:hAnsi="Arial Narrow"/>
                <w:bCs/>
                <w:sz w:val="20"/>
                <w:szCs w:val="24"/>
              </w:rPr>
              <w:t xml:space="preserve">% not progressed at </w:t>
            </w:r>
            <w:r>
              <w:rPr>
                <w:rFonts w:ascii="Arial Narrow" w:eastAsia="MS Gothic" w:hAnsi="Arial Narrow"/>
                <w:bCs/>
                <w:sz w:val="20"/>
                <w:szCs w:val="24"/>
              </w:rPr>
              <w:t>12</w:t>
            </w:r>
            <w:r w:rsidRPr="008D2B62">
              <w:rPr>
                <w:rFonts w:ascii="Arial Narrow" w:eastAsia="MS Gothic" w:hAnsi="Arial Narrow"/>
                <w:bCs/>
                <w:sz w:val="20"/>
                <w:szCs w:val="24"/>
              </w:rPr>
              <w:t xml:space="preserve"> months (95% CI)</w:t>
            </w:r>
            <w:r>
              <w:rPr>
                <w:rFonts w:ascii="Arial Narrow" w:eastAsia="MS Gothic" w:hAnsi="Arial Narrow"/>
                <w:bCs/>
                <w:sz w:val="20"/>
                <w:szCs w:val="24"/>
                <w:vertAlign w:val="superscript"/>
              </w:rPr>
              <w:t>a</w:t>
            </w:r>
          </w:p>
        </w:tc>
        <w:tc>
          <w:tcPr>
            <w:tcW w:w="855" w:type="pct"/>
            <w:tcBorders>
              <w:top w:val="single" w:sz="4" w:space="0" w:color="auto"/>
              <w:left w:val="single" w:sz="4" w:space="0" w:color="auto"/>
              <w:bottom w:val="single" w:sz="4" w:space="0" w:color="auto"/>
              <w:right w:val="single" w:sz="4" w:space="0" w:color="auto"/>
            </w:tcBorders>
            <w:shd w:val="clear" w:color="auto" w:fill="auto"/>
          </w:tcPr>
          <w:p w:rsidR="00095E93" w:rsidRPr="007B1C8E" w:rsidRDefault="00095E93" w:rsidP="00095E93">
            <w:pPr>
              <w:keepNext/>
              <w:keepLines/>
              <w:widowControl w:val="0"/>
              <w:spacing w:before="0"/>
              <w:jc w:val="center"/>
              <w:rPr>
                <w:rFonts w:ascii="Arial Narrow" w:eastAsia="MS Gothic" w:hAnsi="Arial Narrow"/>
                <w:bCs/>
                <w:sz w:val="20"/>
                <w:szCs w:val="24"/>
              </w:rPr>
            </w:pPr>
            <w:r w:rsidRPr="007B1C8E">
              <w:rPr>
                <w:rFonts w:ascii="Arial Narrow" w:eastAsia="MS Gothic" w:hAnsi="Arial Narrow"/>
                <w:bCs/>
                <w:sz w:val="20"/>
                <w:szCs w:val="24"/>
              </w:rPr>
              <w:t xml:space="preserve">30.31% </w:t>
            </w:r>
          </w:p>
          <w:p w:rsidR="00095E93" w:rsidRPr="008D2B62" w:rsidRDefault="00095E93" w:rsidP="00095E93">
            <w:pPr>
              <w:keepNext/>
              <w:keepLines/>
              <w:widowControl w:val="0"/>
              <w:spacing w:before="0"/>
              <w:jc w:val="center"/>
              <w:rPr>
                <w:rFonts w:ascii="Arial Narrow" w:eastAsia="MS Gothic" w:hAnsi="Arial Narrow"/>
                <w:bCs/>
                <w:sz w:val="20"/>
                <w:szCs w:val="24"/>
              </w:rPr>
            </w:pPr>
            <w:r w:rsidRPr="007B1C8E">
              <w:rPr>
                <w:rFonts w:ascii="Arial Narrow" w:eastAsia="MS Gothic" w:hAnsi="Arial Narrow"/>
                <w:bCs/>
                <w:sz w:val="20"/>
                <w:szCs w:val="24"/>
              </w:rPr>
              <w:t>(23.47, 37.15)</w:t>
            </w:r>
          </w:p>
        </w:tc>
        <w:tc>
          <w:tcPr>
            <w:tcW w:w="917" w:type="pct"/>
            <w:tcBorders>
              <w:top w:val="single" w:sz="4" w:space="0" w:color="auto"/>
              <w:left w:val="single" w:sz="4" w:space="0" w:color="auto"/>
              <w:bottom w:val="single" w:sz="4" w:space="0" w:color="auto"/>
              <w:right w:val="single" w:sz="4" w:space="0" w:color="auto"/>
            </w:tcBorders>
            <w:shd w:val="clear" w:color="auto" w:fill="auto"/>
          </w:tcPr>
          <w:p w:rsidR="00095E93" w:rsidRPr="007B1C8E" w:rsidRDefault="00095E93" w:rsidP="00095E93">
            <w:pPr>
              <w:keepNext/>
              <w:keepLines/>
              <w:widowControl w:val="0"/>
              <w:spacing w:before="0"/>
              <w:jc w:val="center"/>
              <w:rPr>
                <w:rFonts w:ascii="Arial Narrow" w:eastAsia="MS Gothic" w:hAnsi="Arial Narrow"/>
                <w:bCs/>
                <w:sz w:val="20"/>
                <w:szCs w:val="24"/>
              </w:rPr>
            </w:pPr>
            <w:r w:rsidRPr="007B1C8E">
              <w:rPr>
                <w:rFonts w:ascii="Arial Narrow" w:eastAsia="MS Gothic" w:hAnsi="Arial Narrow"/>
                <w:bCs/>
                <w:sz w:val="20"/>
                <w:szCs w:val="24"/>
              </w:rPr>
              <w:t xml:space="preserve">17.32% </w:t>
            </w:r>
          </w:p>
          <w:p w:rsidR="00095E93" w:rsidRPr="007B1C8E" w:rsidRDefault="00095E93" w:rsidP="00095E93">
            <w:pPr>
              <w:keepNext/>
              <w:keepLines/>
              <w:widowControl w:val="0"/>
              <w:spacing w:before="0"/>
              <w:jc w:val="center"/>
              <w:rPr>
                <w:rFonts w:ascii="Arial Narrow" w:eastAsia="MS Gothic" w:hAnsi="Arial Narrow"/>
                <w:bCs/>
                <w:sz w:val="20"/>
                <w:szCs w:val="24"/>
              </w:rPr>
            </w:pPr>
            <w:r w:rsidRPr="007B1C8E">
              <w:rPr>
                <w:rFonts w:ascii="Arial Narrow" w:eastAsia="MS Gothic" w:hAnsi="Arial Narrow"/>
                <w:bCs/>
                <w:sz w:val="20"/>
                <w:szCs w:val="24"/>
              </w:rPr>
              <w:t>(11.71, 22.93)</w:t>
            </w:r>
          </w:p>
        </w:tc>
        <w:tc>
          <w:tcPr>
            <w:tcW w:w="983" w:type="pct"/>
            <w:tcBorders>
              <w:top w:val="single" w:sz="4" w:space="0" w:color="auto"/>
              <w:left w:val="single" w:sz="4" w:space="0" w:color="auto"/>
              <w:bottom w:val="single" w:sz="4" w:space="0" w:color="auto"/>
              <w:right w:val="single" w:sz="4" w:space="0" w:color="auto"/>
            </w:tcBorders>
            <w:shd w:val="clear" w:color="auto" w:fill="auto"/>
          </w:tcPr>
          <w:p w:rsidR="00095E93" w:rsidRPr="008D2B62" w:rsidRDefault="00095E93" w:rsidP="00095E93">
            <w:pPr>
              <w:keepNext/>
              <w:keepLines/>
              <w:widowControl w:val="0"/>
              <w:spacing w:before="0"/>
              <w:jc w:val="center"/>
              <w:rPr>
                <w:rFonts w:ascii="Arial Narrow" w:eastAsia="MS Gothic" w:hAnsi="Arial Narrow"/>
                <w:bCs/>
                <w:sz w:val="20"/>
                <w:szCs w:val="24"/>
              </w:rPr>
            </w:pPr>
            <w:r>
              <w:rPr>
                <w:rFonts w:ascii="Arial Narrow" w:eastAsia="MS Gothic" w:hAnsi="Arial Narrow"/>
                <w:bCs/>
                <w:sz w:val="20"/>
                <w:szCs w:val="24"/>
              </w:rPr>
              <w:t>12.99</w:t>
            </w:r>
            <w:r w:rsidRPr="008D2B62">
              <w:rPr>
                <w:rFonts w:ascii="Arial Narrow" w:eastAsia="MS Gothic" w:hAnsi="Arial Narrow"/>
                <w:bCs/>
                <w:sz w:val="20"/>
                <w:szCs w:val="24"/>
              </w:rPr>
              <w:t>%</w:t>
            </w:r>
          </w:p>
        </w:tc>
        <w:tc>
          <w:tcPr>
            <w:tcW w:w="880" w:type="pct"/>
            <w:tcBorders>
              <w:top w:val="nil"/>
              <w:left w:val="single" w:sz="4" w:space="0" w:color="auto"/>
              <w:bottom w:val="nil"/>
            </w:tcBorders>
            <w:shd w:val="clear" w:color="auto" w:fill="auto"/>
          </w:tcPr>
          <w:p w:rsidR="00095E93" w:rsidRPr="008D2B62" w:rsidRDefault="00095E93" w:rsidP="00095E93">
            <w:pPr>
              <w:keepNext/>
              <w:keepLines/>
              <w:widowControl w:val="0"/>
              <w:spacing w:before="0"/>
              <w:jc w:val="center"/>
              <w:rPr>
                <w:rFonts w:ascii="Arial Narrow" w:eastAsia="MS Gothic" w:hAnsi="Arial Narrow"/>
                <w:bCs/>
                <w:sz w:val="20"/>
                <w:szCs w:val="24"/>
              </w:rPr>
            </w:pPr>
          </w:p>
        </w:tc>
      </w:tr>
      <w:tr w:rsidR="00095E93" w:rsidRPr="008D2B62" w:rsidTr="00657695">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095E93" w:rsidRPr="00B5274E" w:rsidRDefault="00095E93" w:rsidP="00095E93">
            <w:pPr>
              <w:keepNext/>
              <w:spacing w:before="0"/>
              <w:jc w:val="left"/>
              <w:rPr>
                <w:rFonts w:ascii="Arial Narrow" w:eastAsia="MS Gothic" w:hAnsi="Arial Narrow"/>
                <w:b/>
                <w:bCs/>
                <w:sz w:val="20"/>
                <w:szCs w:val="24"/>
              </w:rPr>
            </w:pPr>
            <w:r w:rsidRPr="00B5274E">
              <w:rPr>
                <w:rFonts w:ascii="Arial Narrow" w:eastAsia="MS Gothic" w:hAnsi="Arial Narrow"/>
                <w:b/>
                <w:bCs/>
                <w:sz w:val="20"/>
                <w:szCs w:val="24"/>
              </w:rPr>
              <w:t>Overall survival (median duration of follow up 18 months)</w:t>
            </w:r>
          </w:p>
        </w:tc>
      </w:tr>
      <w:tr w:rsidR="00095E93" w:rsidRPr="008D2B62" w:rsidTr="00657695">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095E93" w:rsidRPr="00B5274E" w:rsidRDefault="00095E93" w:rsidP="00095E93">
            <w:pPr>
              <w:keepNext/>
              <w:spacing w:before="0"/>
              <w:jc w:val="left"/>
              <w:rPr>
                <w:rFonts w:ascii="Arial Narrow" w:eastAsia="MS Gothic" w:hAnsi="Arial Narrow"/>
                <w:b/>
                <w:bCs/>
                <w:sz w:val="20"/>
                <w:szCs w:val="24"/>
              </w:rPr>
            </w:pPr>
            <w:r w:rsidRPr="00B5274E">
              <w:rPr>
                <w:rFonts w:ascii="Arial Narrow" w:eastAsia="MS Gothic" w:hAnsi="Arial Narrow"/>
                <w:b/>
                <w:bCs/>
                <w:sz w:val="20"/>
                <w:szCs w:val="24"/>
              </w:rPr>
              <w:t>ITT population</w:t>
            </w:r>
          </w:p>
        </w:tc>
      </w:tr>
      <w:tr w:rsidR="00095E93" w:rsidRPr="008D2B62" w:rsidTr="00657695">
        <w:trPr>
          <w:trHeight w:val="20"/>
        </w:trPr>
        <w:tc>
          <w:tcPr>
            <w:tcW w:w="1364" w:type="pct"/>
            <w:tcBorders>
              <w:bottom w:val="single" w:sz="4" w:space="0" w:color="auto"/>
              <w:right w:val="single" w:sz="4" w:space="0" w:color="auto"/>
            </w:tcBorders>
            <w:shd w:val="clear" w:color="auto" w:fill="auto"/>
          </w:tcPr>
          <w:p w:rsidR="00095E93" w:rsidRPr="008D2B62" w:rsidRDefault="00095E93" w:rsidP="00003E6F">
            <w:pPr>
              <w:keepNext/>
              <w:keepLines/>
              <w:widowControl w:val="0"/>
              <w:spacing w:before="0"/>
              <w:jc w:val="left"/>
              <w:rPr>
                <w:rFonts w:ascii="Arial Narrow" w:eastAsia="MS Gothic" w:hAnsi="Arial Narrow"/>
                <w:bCs/>
                <w:sz w:val="20"/>
                <w:szCs w:val="24"/>
              </w:rPr>
            </w:pPr>
            <w:r>
              <w:rPr>
                <w:rFonts w:ascii="Arial Narrow" w:eastAsia="MS Gothic" w:hAnsi="Arial Narrow"/>
                <w:bCs/>
                <w:sz w:val="20"/>
                <w:szCs w:val="24"/>
              </w:rPr>
              <w:t>Death</w:t>
            </w:r>
            <w:r w:rsidR="00003E6F">
              <w:rPr>
                <w:rFonts w:ascii="Arial Narrow" w:eastAsia="MS Gothic" w:hAnsi="Arial Narrow"/>
                <w:bCs/>
                <w:sz w:val="20"/>
                <w:szCs w:val="24"/>
              </w:rPr>
              <w:t>s</w:t>
            </w:r>
            <w:r w:rsidRPr="008D2B62">
              <w:rPr>
                <w:rFonts w:ascii="Arial Narrow" w:eastAsia="MS Gothic" w:hAnsi="Arial Narrow"/>
                <w:bCs/>
                <w:sz w:val="20"/>
                <w:szCs w:val="24"/>
              </w:rPr>
              <w:t>, n</w:t>
            </w:r>
            <w:r w:rsidR="00003E6F">
              <w:rPr>
                <w:rFonts w:ascii="Arial Narrow" w:eastAsia="MS Gothic" w:hAnsi="Arial Narrow"/>
                <w:bCs/>
                <w:sz w:val="20"/>
                <w:szCs w:val="24"/>
              </w:rPr>
              <w:t>/N</w:t>
            </w:r>
            <w:r w:rsidRPr="008D2B62">
              <w:rPr>
                <w:rFonts w:ascii="Arial Narrow" w:eastAsia="MS Gothic" w:hAnsi="Arial Narrow"/>
                <w:bCs/>
                <w:sz w:val="20"/>
                <w:szCs w:val="24"/>
              </w:rPr>
              <w:t xml:space="preserve"> (%)</w:t>
            </w:r>
          </w:p>
        </w:tc>
        <w:tc>
          <w:tcPr>
            <w:tcW w:w="855" w:type="pct"/>
            <w:tcBorders>
              <w:left w:val="single" w:sz="4" w:space="0" w:color="auto"/>
              <w:bottom w:val="single" w:sz="4" w:space="0" w:color="auto"/>
              <w:right w:val="single" w:sz="4" w:space="0" w:color="auto"/>
            </w:tcBorders>
            <w:shd w:val="clear" w:color="auto" w:fill="auto"/>
          </w:tcPr>
          <w:p w:rsidR="00095E93" w:rsidRPr="008D2B62" w:rsidRDefault="00095E93" w:rsidP="00095E93">
            <w:pPr>
              <w:keepNext/>
              <w:keepLines/>
              <w:widowControl w:val="0"/>
              <w:spacing w:before="0"/>
              <w:jc w:val="center"/>
              <w:rPr>
                <w:rFonts w:ascii="Arial Narrow" w:eastAsia="MS Gothic" w:hAnsi="Arial Narrow"/>
                <w:bCs/>
                <w:sz w:val="20"/>
                <w:szCs w:val="24"/>
              </w:rPr>
            </w:pPr>
            <w:r>
              <w:rPr>
                <w:rFonts w:ascii="Arial Narrow" w:eastAsia="MS Gothic" w:hAnsi="Arial Narrow"/>
                <w:bCs/>
                <w:sz w:val="20"/>
                <w:szCs w:val="24"/>
              </w:rPr>
              <w:t>255/451 (56.5%)</w:t>
            </w:r>
          </w:p>
        </w:tc>
        <w:tc>
          <w:tcPr>
            <w:tcW w:w="917" w:type="pct"/>
            <w:tcBorders>
              <w:left w:val="single" w:sz="4" w:space="0" w:color="auto"/>
              <w:bottom w:val="single" w:sz="4" w:space="0" w:color="auto"/>
              <w:right w:val="single" w:sz="4" w:space="0" w:color="auto"/>
            </w:tcBorders>
            <w:shd w:val="clear" w:color="auto" w:fill="auto"/>
          </w:tcPr>
          <w:p w:rsidR="00095E93" w:rsidRPr="008D2B62" w:rsidRDefault="00095E93" w:rsidP="00095E93">
            <w:pPr>
              <w:keepNext/>
              <w:keepLines/>
              <w:widowControl w:val="0"/>
              <w:spacing w:before="0"/>
              <w:jc w:val="center"/>
              <w:rPr>
                <w:rFonts w:ascii="Arial Narrow" w:eastAsia="MS Gothic" w:hAnsi="Arial Narrow"/>
                <w:bCs/>
                <w:sz w:val="20"/>
                <w:szCs w:val="24"/>
              </w:rPr>
            </w:pPr>
            <w:r>
              <w:rPr>
                <w:rFonts w:ascii="Arial Narrow" w:eastAsia="MS Gothic" w:hAnsi="Arial Narrow"/>
                <w:bCs/>
                <w:sz w:val="20"/>
                <w:szCs w:val="24"/>
              </w:rPr>
              <w:t>279/451 (61.9%)</w:t>
            </w:r>
          </w:p>
        </w:tc>
        <w:tc>
          <w:tcPr>
            <w:tcW w:w="983" w:type="pct"/>
            <w:tcBorders>
              <w:left w:val="single" w:sz="4" w:space="0" w:color="auto"/>
              <w:bottom w:val="single" w:sz="4" w:space="0" w:color="auto"/>
              <w:right w:val="single" w:sz="4" w:space="0" w:color="auto"/>
            </w:tcBorders>
            <w:shd w:val="clear" w:color="auto" w:fill="auto"/>
          </w:tcPr>
          <w:p w:rsidR="00095E93" w:rsidRPr="008D2B62" w:rsidRDefault="00095E93" w:rsidP="00095E93">
            <w:pPr>
              <w:keepNext/>
              <w:keepLines/>
              <w:widowControl w:val="0"/>
              <w:spacing w:before="0"/>
              <w:jc w:val="center"/>
              <w:rPr>
                <w:rFonts w:ascii="Arial Narrow" w:eastAsia="MS Gothic" w:hAnsi="Arial Narrow"/>
                <w:bCs/>
                <w:sz w:val="20"/>
                <w:szCs w:val="24"/>
              </w:rPr>
            </w:pPr>
          </w:p>
        </w:tc>
        <w:tc>
          <w:tcPr>
            <w:tcW w:w="880" w:type="pct"/>
            <w:tcBorders>
              <w:left w:val="single" w:sz="4" w:space="0" w:color="auto"/>
              <w:bottom w:val="nil"/>
            </w:tcBorders>
            <w:shd w:val="clear" w:color="auto" w:fill="auto"/>
          </w:tcPr>
          <w:p w:rsidR="00095E93" w:rsidRDefault="00095E93" w:rsidP="00095E93">
            <w:pPr>
              <w:keepNext/>
              <w:keepLines/>
              <w:widowControl w:val="0"/>
              <w:spacing w:before="0"/>
              <w:jc w:val="center"/>
              <w:rPr>
                <w:rFonts w:ascii="Arial Narrow" w:eastAsia="MS Gothic" w:hAnsi="Arial Narrow"/>
                <w:bCs/>
                <w:sz w:val="20"/>
                <w:szCs w:val="24"/>
              </w:rPr>
            </w:pPr>
            <w:r w:rsidRPr="00FF73BD">
              <w:rPr>
                <w:rFonts w:ascii="Arial Narrow" w:eastAsia="MS Gothic" w:hAnsi="Arial Narrow"/>
                <w:bCs/>
                <w:sz w:val="20"/>
                <w:szCs w:val="24"/>
              </w:rPr>
              <w:t>0.86 (0.72, 1.02)</w:t>
            </w:r>
          </w:p>
          <w:p w:rsidR="00095E93" w:rsidRPr="008D2B62" w:rsidRDefault="00095E93" w:rsidP="00095E93">
            <w:pPr>
              <w:keepNext/>
              <w:keepLines/>
              <w:widowControl w:val="0"/>
              <w:spacing w:before="0"/>
              <w:jc w:val="center"/>
              <w:rPr>
                <w:rFonts w:ascii="Arial Narrow" w:eastAsia="MS Gothic" w:hAnsi="Arial Narrow"/>
                <w:bCs/>
                <w:sz w:val="20"/>
                <w:szCs w:val="24"/>
              </w:rPr>
            </w:pPr>
            <w:r w:rsidRPr="007B1C8E">
              <w:rPr>
                <w:rFonts w:ascii="Arial Narrow" w:eastAsia="MS Gothic" w:hAnsi="Arial Narrow"/>
                <w:bCs/>
                <w:sz w:val="20"/>
                <w:szCs w:val="24"/>
              </w:rPr>
              <w:t>P=0.0777</w:t>
            </w:r>
          </w:p>
        </w:tc>
      </w:tr>
      <w:tr w:rsidR="00095E93" w:rsidRPr="008D2B62" w:rsidTr="00657695">
        <w:trPr>
          <w:trHeight w:val="20"/>
        </w:trPr>
        <w:tc>
          <w:tcPr>
            <w:tcW w:w="1364" w:type="pct"/>
            <w:tcBorders>
              <w:bottom w:val="single" w:sz="4" w:space="0" w:color="auto"/>
              <w:right w:val="single" w:sz="4" w:space="0" w:color="auto"/>
            </w:tcBorders>
            <w:shd w:val="clear" w:color="auto" w:fill="auto"/>
          </w:tcPr>
          <w:p w:rsidR="00095E93" w:rsidRPr="008D2B62" w:rsidRDefault="00095E93" w:rsidP="00095E93">
            <w:pPr>
              <w:keepNext/>
              <w:keepLines/>
              <w:widowControl w:val="0"/>
              <w:spacing w:before="0"/>
              <w:jc w:val="left"/>
              <w:rPr>
                <w:rFonts w:ascii="Arial Narrow" w:eastAsia="MS Gothic" w:hAnsi="Arial Narrow"/>
                <w:bCs/>
                <w:sz w:val="20"/>
                <w:szCs w:val="24"/>
              </w:rPr>
            </w:pPr>
            <w:r w:rsidRPr="008D2B62">
              <w:rPr>
                <w:rFonts w:ascii="Arial Narrow" w:eastAsia="MS Gothic" w:hAnsi="Arial Narrow"/>
                <w:bCs/>
                <w:sz w:val="20"/>
                <w:szCs w:val="24"/>
              </w:rPr>
              <w:t xml:space="preserve">Median </w:t>
            </w:r>
            <w:r>
              <w:rPr>
                <w:rFonts w:ascii="Arial Narrow" w:eastAsia="MS Gothic" w:hAnsi="Arial Narrow"/>
                <w:bCs/>
                <w:sz w:val="20"/>
                <w:szCs w:val="24"/>
              </w:rPr>
              <w:t>O</w:t>
            </w:r>
            <w:r w:rsidRPr="008D2B62">
              <w:rPr>
                <w:rFonts w:ascii="Arial Narrow" w:eastAsia="MS Gothic" w:hAnsi="Arial Narrow"/>
                <w:bCs/>
                <w:sz w:val="20"/>
                <w:szCs w:val="24"/>
              </w:rPr>
              <w:t>S, months (95% CI)</w:t>
            </w:r>
          </w:p>
        </w:tc>
        <w:tc>
          <w:tcPr>
            <w:tcW w:w="855" w:type="pct"/>
            <w:tcBorders>
              <w:left w:val="single" w:sz="4" w:space="0" w:color="auto"/>
              <w:bottom w:val="single" w:sz="4" w:space="0" w:color="auto"/>
              <w:right w:val="single" w:sz="4" w:space="0" w:color="auto"/>
            </w:tcBorders>
            <w:shd w:val="clear" w:color="auto" w:fill="auto"/>
          </w:tcPr>
          <w:p w:rsidR="00095E93" w:rsidRPr="007B1C8E" w:rsidRDefault="00095E93" w:rsidP="00095E93">
            <w:pPr>
              <w:keepNext/>
              <w:keepLines/>
              <w:widowControl w:val="0"/>
              <w:spacing w:before="0"/>
              <w:jc w:val="center"/>
              <w:rPr>
                <w:rFonts w:ascii="Arial Narrow" w:eastAsia="MS Gothic" w:hAnsi="Arial Narrow"/>
                <w:bCs/>
                <w:sz w:val="20"/>
                <w:szCs w:val="24"/>
              </w:rPr>
            </w:pPr>
            <w:r w:rsidRPr="00FF73BD">
              <w:rPr>
                <w:rFonts w:ascii="Arial Narrow" w:eastAsia="MS Gothic" w:hAnsi="Arial Narrow"/>
                <w:bCs/>
                <w:sz w:val="20"/>
                <w:szCs w:val="24"/>
              </w:rPr>
              <w:t>20.99 (19.02, 22.60)</w:t>
            </w:r>
          </w:p>
        </w:tc>
        <w:tc>
          <w:tcPr>
            <w:tcW w:w="917" w:type="pct"/>
            <w:tcBorders>
              <w:left w:val="single" w:sz="4" w:space="0" w:color="auto"/>
              <w:bottom w:val="single" w:sz="4" w:space="0" w:color="auto"/>
              <w:right w:val="single" w:sz="4" w:space="0" w:color="auto"/>
            </w:tcBorders>
            <w:shd w:val="clear" w:color="auto" w:fill="auto"/>
          </w:tcPr>
          <w:p w:rsidR="00095E93" w:rsidRPr="007B1C8E" w:rsidRDefault="00095E93" w:rsidP="00095E93">
            <w:pPr>
              <w:keepNext/>
              <w:keepLines/>
              <w:widowControl w:val="0"/>
              <w:spacing w:before="0"/>
              <w:jc w:val="center"/>
              <w:rPr>
                <w:rFonts w:ascii="Arial Narrow" w:eastAsia="MS Gothic" w:hAnsi="Arial Narrow"/>
                <w:bCs/>
                <w:sz w:val="20"/>
                <w:szCs w:val="24"/>
              </w:rPr>
            </w:pPr>
            <w:r w:rsidRPr="00FF73BD">
              <w:rPr>
                <w:rFonts w:ascii="Arial Narrow" w:eastAsia="MS Gothic" w:hAnsi="Arial Narrow"/>
                <w:bCs/>
                <w:sz w:val="20"/>
                <w:szCs w:val="24"/>
              </w:rPr>
              <w:t>18.73 (16.85, 20.30)</w:t>
            </w:r>
          </w:p>
        </w:tc>
        <w:tc>
          <w:tcPr>
            <w:tcW w:w="983" w:type="pct"/>
            <w:tcBorders>
              <w:left w:val="single" w:sz="4" w:space="0" w:color="auto"/>
              <w:bottom w:val="single" w:sz="4" w:space="0" w:color="auto"/>
              <w:right w:val="single" w:sz="4" w:space="0" w:color="auto"/>
            </w:tcBorders>
            <w:shd w:val="clear" w:color="auto" w:fill="auto"/>
          </w:tcPr>
          <w:p w:rsidR="00095E93" w:rsidRPr="008D2B62" w:rsidRDefault="00095E93" w:rsidP="00095E93">
            <w:pPr>
              <w:keepNext/>
              <w:keepLines/>
              <w:widowControl w:val="0"/>
              <w:spacing w:before="0"/>
              <w:jc w:val="center"/>
              <w:rPr>
                <w:rFonts w:ascii="Arial Narrow" w:eastAsia="MS Gothic" w:hAnsi="Arial Narrow"/>
                <w:bCs/>
                <w:sz w:val="20"/>
                <w:szCs w:val="24"/>
              </w:rPr>
            </w:pPr>
            <w:r>
              <w:rPr>
                <w:rFonts w:ascii="Arial Narrow" w:eastAsia="MS Gothic" w:hAnsi="Arial Narrow"/>
                <w:bCs/>
                <w:sz w:val="20"/>
                <w:szCs w:val="24"/>
              </w:rPr>
              <w:t>2.26</w:t>
            </w:r>
          </w:p>
        </w:tc>
        <w:tc>
          <w:tcPr>
            <w:tcW w:w="880" w:type="pct"/>
            <w:tcBorders>
              <w:top w:val="nil"/>
              <w:left w:val="single" w:sz="4" w:space="0" w:color="auto"/>
              <w:bottom w:val="nil"/>
            </w:tcBorders>
            <w:shd w:val="clear" w:color="auto" w:fill="auto"/>
          </w:tcPr>
          <w:p w:rsidR="00095E93" w:rsidRPr="007B1C8E" w:rsidRDefault="00095E93" w:rsidP="00095E93">
            <w:pPr>
              <w:keepNext/>
              <w:keepLines/>
              <w:widowControl w:val="0"/>
              <w:spacing w:before="0"/>
              <w:jc w:val="center"/>
              <w:rPr>
                <w:rFonts w:ascii="Arial Narrow" w:eastAsia="MS Gothic" w:hAnsi="Arial Narrow"/>
                <w:bCs/>
                <w:sz w:val="20"/>
                <w:szCs w:val="24"/>
              </w:rPr>
            </w:pPr>
          </w:p>
        </w:tc>
      </w:tr>
      <w:tr w:rsidR="00502FF1" w:rsidRPr="008D2B62" w:rsidTr="00657695">
        <w:trPr>
          <w:trHeight w:val="20"/>
        </w:trPr>
        <w:tc>
          <w:tcPr>
            <w:tcW w:w="1364" w:type="pct"/>
            <w:tcBorders>
              <w:top w:val="single" w:sz="4" w:space="0" w:color="auto"/>
              <w:bottom w:val="single" w:sz="4" w:space="0" w:color="auto"/>
              <w:right w:val="single" w:sz="4" w:space="0" w:color="auto"/>
            </w:tcBorders>
            <w:shd w:val="clear" w:color="auto" w:fill="auto"/>
          </w:tcPr>
          <w:p w:rsidR="00502FF1" w:rsidRPr="008D2B62" w:rsidRDefault="00502FF1" w:rsidP="00502FF1">
            <w:pPr>
              <w:keepNext/>
              <w:keepLines/>
              <w:widowControl w:val="0"/>
              <w:spacing w:before="0"/>
              <w:jc w:val="left"/>
              <w:rPr>
                <w:rFonts w:ascii="Arial Narrow" w:eastAsia="MS Gothic" w:hAnsi="Arial Narrow"/>
                <w:bCs/>
                <w:sz w:val="20"/>
                <w:szCs w:val="24"/>
              </w:rPr>
            </w:pPr>
            <w:r w:rsidRPr="008D2B62">
              <w:rPr>
                <w:rFonts w:ascii="Arial Narrow" w:eastAsia="MS Gothic" w:hAnsi="Arial Narrow"/>
                <w:bCs/>
                <w:sz w:val="20"/>
                <w:szCs w:val="24"/>
              </w:rPr>
              <w:t xml:space="preserve">% </w:t>
            </w:r>
            <w:r>
              <w:rPr>
                <w:rFonts w:ascii="Arial Narrow" w:eastAsia="MS Gothic" w:hAnsi="Arial Narrow"/>
                <w:bCs/>
                <w:sz w:val="20"/>
                <w:szCs w:val="24"/>
              </w:rPr>
              <w:t>alive</w:t>
            </w:r>
            <w:r w:rsidRPr="008D2B62">
              <w:rPr>
                <w:rFonts w:ascii="Arial Narrow" w:eastAsia="MS Gothic" w:hAnsi="Arial Narrow"/>
                <w:bCs/>
                <w:sz w:val="20"/>
                <w:szCs w:val="24"/>
              </w:rPr>
              <w:t xml:space="preserve"> at </w:t>
            </w:r>
            <w:r>
              <w:rPr>
                <w:rFonts w:ascii="Arial Narrow" w:eastAsia="MS Gothic" w:hAnsi="Arial Narrow"/>
                <w:bCs/>
                <w:sz w:val="20"/>
                <w:szCs w:val="24"/>
              </w:rPr>
              <w:t>12</w:t>
            </w:r>
            <w:r w:rsidRPr="008D2B62">
              <w:rPr>
                <w:rFonts w:ascii="Arial Narrow" w:eastAsia="MS Gothic" w:hAnsi="Arial Narrow"/>
                <w:bCs/>
                <w:sz w:val="20"/>
                <w:szCs w:val="24"/>
              </w:rPr>
              <w:t xml:space="preserve"> months (95% CI)</w:t>
            </w:r>
          </w:p>
        </w:tc>
        <w:tc>
          <w:tcPr>
            <w:tcW w:w="855" w:type="pct"/>
            <w:tcBorders>
              <w:top w:val="single" w:sz="4" w:space="0" w:color="auto"/>
              <w:left w:val="single" w:sz="4" w:space="0" w:color="auto"/>
              <w:bottom w:val="single" w:sz="4" w:space="0" w:color="auto"/>
              <w:right w:val="single" w:sz="4" w:space="0" w:color="auto"/>
            </w:tcBorders>
            <w:shd w:val="clear" w:color="auto" w:fill="auto"/>
          </w:tcPr>
          <w:p w:rsidR="00502FF1" w:rsidRPr="007B1C8E" w:rsidRDefault="00502FF1" w:rsidP="00502FF1">
            <w:pPr>
              <w:keepNext/>
              <w:keepLines/>
              <w:widowControl w:val="0"/>
              <w:spacing w:before="0"/>
              <w:jc w:val="center"/>
              <w:rPr>
                <w:rFonts w:ascii="Arial Narrow" w:eastAsia="MS Gothic" w:hAnsi="Arial Narrow"/>
                <w:bCs/>
                <w:sz w:val="20"/>
                <w:szCs w:val="24"/>
              </w:rPr>
            </w:pPr>
            <w:r w:rsidRPr="00502FF1">
              <w:rPr>
                <w:rFonts w:ascii="Arial Narrow" w:eastAsia="MS Gothic" w:hAnsi="Arial Narrow"/>
                <w:bCs/>
                <w:sz w:val="20"/>
                <w:szCs w:val="24"/>
              </w:rPr>
              <w:t>72.12</w:t>
            </w:r>
            <w:r w:rsidR="00216304">
              <w:rPr>
                <w:rFonts w:ascii="Arial Narrow" w:eastAsia="MS Gothic" w:hAnsi="Arial Narrow"/>
                <w:bCs/>
                <w:sz w:val="20"/>
                <w:szCs w:val="24"/>
              </w:rPr>
              <w:t>%</w:t>
            </w:r>
            <w:r w:rsidRPr="00502FF1">
              <w:rPr>
                <w:rFonts w:ascii="Arial Narrow" w:eastAsia="MS Gothic" w:hAnsi="Arial Narrow"/>
                <w:bCs/>
                <w:sz w:val="20"/>
                <w:szCs w:val="24"/>
              </w:rPr>
              <w:t xml:space="preserve"> </w:t>
            </w:r>
            <w:r w:rsidR="00003E6F">
              <w:rPr>
                <w:rFonts w:ascii="Arial Narrow" w:eastAsia="MS Gothic" w:hAnsi="Arial Narrow"/>
                <w:bCs/>
                <w:sz w:val="20"/>
                <w:szCs w:val="24"/>
              </w:rPr>
              <w:br/>
            </w:r>
            <w:r w:rsidRPr="00502FF1">
              <w:rPr>
                <w:rFonts w:ascii="Arial Narrow" w:eastAsia="MS Gothic" w:hAnsi="Arial Narrow"/>
                <w:bCs/>
                <w:sz w:val="20"/>
                <w:szCs w:val="24"/>
              </w:rPr>
              <w:t>(67.91, 76.33)</w:t>
            </w:r>
          </w:p>
        </w:tc>
        <w:tc>
          <w:tcPr>
            <w:tcW w:w="917" w:type="pct"/>
            <w:tcBorders>
              <w:top w:val="single" w:sz="4" w:space="0" w:color="auto"/>
              <w:left w:val="single" w:sz="4" w:space="0" w:color="auto"/>
              <w:bottom w:val="single" w:sz="4" w:space="0" w:color="auto"/>
              <w:right w:val="single" w:sz="4" w:space="0" w:color="auto"/>
            </w:tcBorders>
            <w:shd w:val="clear" w:color="auto" w:fill="auto"/>
          </w:tcPr>
          <w:p w:rsidR="00502FF1" w:rsidRPr="007B1C8E" w:rsidRDefault="00502FF1" w:rsidP="00502FF1">
            <w:pPr>
              <w:keepNext/>
              <w:keepLines/>
              <w:widowControl w:val="0"/>
              <w:spacing w:before="0"/>
              <w:jc w:val="center"/>
              <w:rPr>
                <w:rFonts w:ascii="Arial Narrow" w:eastAsia="MS Gothic" w:hAnsi="Arial Narrow"/>
                <w:bCs/>
                <w:sz w:val="20"/>
                <w:szCs w:val="24"/>
              </w:rPr>
            </w:pPr>
            <w:r w:rsidRPr="00502FF1">
              <w:rPr>
                <w:rFonts w:ascii="Arial Narrow" w:eastAsia="MS Gothic" w:hAnsi="Arial Narrow"/>
                <w:bCs/>
                <w:sz w:val="20"/>
                <w:szCs w:val="24"/>
              </w:rPr>
              <w:t>68.05</w:t>
            </w:r>
            <w:r w:rsidR="00216304">
              <w:rPr>
                <w:rFonts w:ascii="Arial Narrow" w:eastAsia="MS Gothic" w:hAnsi="Arial Narrow"/>
                <w:bCs/>
                <w:sz w:val="20"/>
                <w:szCs w:val="24"/>
              </w:rPr>
              <w:t>%</w:t>
            </w:r>
            <w:r w:rsidRPr="00502FF1">
              <w:rPr>
                <w:rFonts w:ascii="Arial Narrow" w:eastAsia="MS Gothic" w:hAnsi="Arial Narrow"/>
                <w:bCs/>
                <w:sz w:val="20"/>
                <w:szCs w:val="24"/>
              </w:rPr>
              <w:t xml:space="preserve"> </w:t>
            </w:r>
            <w:r w:rsidR="00003E6F">
              <w:rPr>
                <w:rFonts w:ascii="Arial Narrow" w:eastAsia="MS Gothic" w:hAnsi="Arial Narrow"/>
                <w:bCs/>
                <w:sz w:val="20"/>
                <w:szCs w:val="24"/>
              </w:rPr>
              <w:br/>
            </w:r>
            <w:r w:rsidRPr="00502FF1">
              <w:rPr>
                <w:rFonts w:ascii="Arial Narrow" w:eastAsia="MS Gothic" w:hAnsi="Arial Narrow"/>
                <w:bCs/>
                <w:sz w:val="20"/>
                <w:szCs w:val="24"/>
              </w:rPr>
              <w:t>(63.68, 72.43)</w:t>
            </w:r>
          </w:p>
        </w:tc>
        <w:tc>
          <w:tcPr>
            <w:tcW w:w="983" w:type="pct"/>
            <w:tcBorders>
              <w:top w:val="single" w:sz="4" w:space="0" w:color="auto"/>
              <w:left w:val="single" w:sz="4" w:space="0" w:color="auto"/>
              <w:bottom w:val="single" w:sz="4" w:space="0" w:color="auto"/>
              <w:right w:val="single" w:sz="4" w:space="0" w:color="auto"/>
            </w:tcBorders>
            <w:shd w:val="clear" w:color="auto" w:fill="auto"/>
          </w:tcPr>
          <w:p w:rsidR="00502FF1" w:rsidRDefault="00502FF1" w:rsidP="00502FF1">
            <w:pPr>
              <w:keepNext/>
              <w:keepLines/>
              <w:widowControl w:val="0"/>
              <w:spacing w:before="0"/>
              <w:jc w:val="center"/>
              <w:rPr>
                <w:rFonts w:ascii="Arial Narrow" w:eastAsia="MS Gothic" w:hAnsi="Arial Narrow"/>
                <w:bCs/>
                <w:sz w:val="20"/>
                <w:szCs w:val="24"/>
              </w:rPr>
            </w:pPr>
            <w:r>
              <w:rPr>
                <w:rFonts w:ascii="Arial Narrow" w:eastAsia="MS Gothic" w:hAnsi="Arial Narrow"/>
                <w:bCs/>
                <w:sz w:val="20"/>
                <w:szCs w:val="24"/>
              </w:rPr>
              <w:t>4.07%</w:t>
            </w:r>
          </w:p>
        </w:tc>
        <w:tc>
          <w:tcPr>
            <w:tcW w:w="880" w:type="pct"/>
            <w:tcBorders>
              <w:top w:val="nil"/>
              <w:left w:val="single" w:sz="4" w:space="0" w:color="auto"/>
              <w:bottom w:val="nil"/>
            </w:tcBorders>
            <w:shd w:val="clear" w:color="auto" w:fill="auto"/>
          </w:tcPr>
          <w:p w:rsidR="00502FF1" w:rsidRPr="008D2B62" w:rsidRDefault="00502FF1" w:rsidP="00502FF1">
            <w:pPr>
              <w:keepNext/>
              <w:keepLines/>
              <w:widowControl w:val="0"/>
              <w:spacing w:before="0"/>
              <w:jc w:val="center"/>
              <w:rPr>
                <w:rFonts w:ascii="Arial Narrow" w:eastAsia="MS Gothic" w:hAnsi="Arial Narrow"/>
                <w:bCs/>
                <w:sz w:val="20"/>
                <w:szCs w:val="24"/>
              </w:rPr>
            </w:pPr>
          </w:p>
        </w:tc>
      </w:tr>
      <w:tr w:rsidR="00095E93" w:rsidRPr="008D2B62" w:rsidTr="00657695">
        <w:trPr>
          <w:trHeight w:val="20"/>
        </w:trPr>
        <w:tc>
          <w:tcPr>
            <w:tcW w:w="1364" w:type="pct"/>
            <w:tcBorders>
              <w:top w:val="single" w:sz="4" w:space="0" w:color="auto"/>
              <w:bottom w:val="single" w:sz="4" w:space="0" w:color="auto"/>
              <w:right w:val="single" w:sz="4" w:space="0" w:color="auto"/>
            </w:tcBorders>
            <w:shd w:val="clear" w:color="auto" w:fill="auto"/>
          </w:tcPr>
          <w:p w:rsidR="00095E93" w:rsidRPr="008D2B62" w:rsidRDefault="00095E93" w:rsidP="00095E93">
            <w:pPr>
              <w:keepNext/>
              <w:keepLines/>
              <w:widowControl w:val="0"/>
              <w:spacing w:before="0"/>
              <w:jc w:val="left"/>
              <w:rPr>
                <w:rFonts w:ascii="Arial Narrow" w:eastAsia="MS Gothic" w:hAnsi="Arial Narrow"/>
                <w:bCs/>
                <w:sz w:val="20"/>
                <w:szCs w:val="24"/>
              </w:rPr>
            </w:pPr>
            <w:r w:rsidRPr="008D2B62">
              <w:rPr>
                <w:rFonts w:ascii="Arial Narrow" w:eastAsia="MS Gothic" w:hAnsi="Arial Narrow"/>
                <w:bCs/>
                <w:sz w:val="20"/>
                <w:szCs w:val="24"/>
              </w:rPr>
              <w:t xml:space="preserve">% </w:t>
            </w:r>
            <w:r>
              <w:rPr>
                <w:rFonts w:ascii="Arial Narrow" w:eastAsia="MS Gothic" w:hAnsi="Arial Narrow"/>
                <w:bCs/>
                <w:sz w:val="20"/>
                <w:szCs w:val="24"/>
              </w:rPr>
              <w:t>alive</w:t>
            </w:r>
            <w:r w:rsidRPr="008D2B62">
              <w:rPr>
                <w:rFonts w:ascii="Arial Narrow" w:eastAsia="MS Gothic" w:hAnsi="Arial Narrow"/>
                <w:bCs/>
                <w:sz w:val="20"/>
                <w:szCs w:val="24"/>
              </w:rPr>
              <w:t xml:space="preserve"> at </w:t>
            </w:r>
            <w:r>
              <w:rPr>
                <w:rFonts w:ascii="Arial Narrow" w:eastAsia="MS Gothic" w:hAnsi="Arial Narrow"/>
                <w:bCs/>
                <w:sz w:val="20"/>
                <w:szCs w:val="24"/>
              </w:rPr>
              <w:t>24</w:t>
            </w:r>
            <w:r w:rsidRPr="008D2B62">
              <w:rPr>
                <w:rFonts w:ascii="Arial Narrow" w:eastAsia="MS Gothic" w:hAnsi="Arial Narrow"/>
                <w:bCs/>
                <w:sz w:val="20"/>
                <w:szCs w:val="24"/>
              </w:rPr>
              <w:t xml:space="preserve"> months (95% CI)</w:t>
            </w:r>
          </w:p>
        </w:tc>
        <w:tc>
          <w:tcPr>
            <w:tcW w:w="855" w:type="pct"/>
            <w:tcBorders>
              <w:top w:val="single" w:sz="4" w:space="0" w:color="auto"/>
              <w:left w:val="single" w:sz="4" w:space="0" w:color="auto"/>
              <w:bottom w:val="single" w:sz="4" w:space="0" w:color="auto"/>
              <w:right w:val="single" w:sz="4" w:space="0" w:color="auto"/>
            </w:tcBorders>
            <w:shd w:val="clear" w:color="auto" w:fill="auto"/>
          </w:tcPr>
          <w:p w:rsidR="00095E93" w:rsidRPr="008D2B62" w:rsidRDefault="00095E93" w:rsidP="00095E93">
            <w:pPr>
              <w:keepNext/>
              <w:keepLines/>
              <w:widowControl w:val="0"/>
              <w:spacing w:before="0"/>
              <w:jc w:val="center"/>
              <w:rPr>
                <w:rFonts w:ascii="Arial Narrow" w:eastAsia="MS Gothic" w:hAnsi="Arial Narrow"/>
                <w:bCs/>
                <w:sz w:val="20"/>
                <w:szCs w:val="24"/>
              </w:rPr>
            </w:pPr>
            <w:r w:rsidRPr="007B1C8E">
              <w:rPr>
                <w:rFonts w:ascii="Arial Narrow" w:eastAsia="MS Gothic" w:hAnsi="Arial Narrow"/>
                <w:bCs/>
                <w:sz w:val="20"/>
                <w:szCs w:val="24"/>
              </w:rPr>
              <w:t xml:space="preserve">42.35% </w:t>
            </w:r>
            <w:r w:rsidRPr="007B1C8E">
              <w:rPr>
                <w:rFonts w:ascii="Arial Narrow" w:eastAsia="MS Gothic" w:hAnsi="Arial Narrow"/>
                <w:bCs/>
                <w:sz w:val="20"/>
                <w:szCs w:val="24"/>
              </w:rPr>
              <w:br/>
              <w:t>(37.29, 47.42)</w:t>
            </w:r>
          </w:p>
        </w:tc>
        <w:tc>
          <w:tcPr>
            <w:tcW w:w="917" w:type="pct"/>
            <w:tcBorders>
              <w:top w:val="single" w:sz="4" w:space="0" w:color="auto"/>
              <w:left w:val="single" w:sz="4" w:space="0" w:color="auto"/>
              <w:bottom w:val="single" w:sz="4" w:space="0" w:color="auto"/>
              <w:right w:val="single" w:sz="4" w:space="0" w:color="auto"/>
            </w:tcBorders>
            <w:shd w:val="clear" w:color="auto" w:fill="auto"/>
          </w:tcPr>
          <w:p w:rsidR="00095E93" w:rsidRPr="007B1C8E" w:rsidRDefault="00095E93" w:rsidP="00095E93">
            <w:pPr>
              <w:keepNext/>
              <w:keepLines/>
              <w:widowControl w:val="0"/>
              <w:spacing w:before="0"/>
              <w:jc w:val="center"/>
              <w:rPr>
                <w:rFonts w:ascii="Arial Narrow" w:eastAsia="MS Gothic" w:hAnsi="Arial Narrow"/>
                <w:bCs/>
                <w:sz w:val="20"/>
                <w:szCs w:val="24"/>
              </w:rPr>
            </w:pPr>
            <w:r w:rsidRPr="007B1C8E">
              <w:rPr>
                <w:rFonts w:ascii="Arial Narrow" w:eastAsia="MS Gothic" w:hAnsi="Arial Narrow"/>
                <w:bCs/>
                <w:sz w:val="20"/>
                <w:szCs w:val="24"/>
              </w:rPr>
              <w:t xml:space="preserve">38.67% </w:t>
            </w:r>
            <w:r w:rsidRPr="007B1C8E">
              <w:rPr>
                <w:rFonts w:ascii="Arial Narrow" w:eastAsia="MS Gothic" w:hAnsi="Arial Narrow"/>
                <w:bCs/>
                <w:sz w:val="20"/>
                <w:szCs w:val="24"/>
              </w:rPr>
              <w:br/>
              <w:t>(33.74, 43.60)</w:t>
            </w:r>
          </w:p>
        </w:tc>
        <w:tc>
          <w:tcPr>
            <w:tcW w:w="983" w:type="pct"/>
            <w:tcBorders>
              <w:top w:val="single" w:sz="4" w:space="0" w:color="auto"/>
              <w:left w:val="single" w:sz="4" w:space="0" w:color="auto"/>
              <w:bottom w:val="single" w:sz="4" w:space="0" w:color="auto"/>
              <w:right w:val="single" w:sz="4" w:space="0" w:color="auto"/>
            </w:tcBorders>
            <w:shd w:val="clear" w:color="auto" w:fill="auto"/>
          </w:tcPr>
          <w:p w:rsidR="00095E93" w:rsidRPr="008D2B62" w:rsidRDefault="00095E93" w:rsidP="00095E93">
            <w:pPr>
              <w:keepNext/>
              <w:keepLines/>
              <w:widowControl w:val="0"/>
              <w:spacing w:before="0"/>
              <w:jc w:val="center"/>
              <w:rPr>
                <w:rFonts w:ascii="Arial Narrow" w:eastAsia="MS Gothic" w:hAnsi="Arial Narrow"/>
                <w:bCs/>
                <w:sz w:val="20"/>
                <w:szCs w:val="24"/>
              </w:rPr>
            </w:pPr>
            <w:r>
              <w:rPr>
                <w:rFonts w:ascii="Arial Narrow" w:eastAsia="MS Gothic" w:hAnsi="Arial Narrow"/>
                <w:bCs/>
                <w:sz w:val="20"/>
                <w:szCs w:val="24"/>
              </w:rPr>
              <w:t>3.68</w:t>
            </w:r>
            <w:r w:rsidRPr="008D2B62">
              <w:rPr>
                <w:rFonts w:ascii="Arial Narrow" w:eastAsia="MS Gothic" w:hAnsi="Arial Narrow"/>
                <w:bCs/>
                <w:sz w:val="20"/>
                <w:szCs w:val="24"/>
              </w:rPr>
              <w:t>%</w:t>
            </w:r>
          </w:p>
        </w:tc>
        <w:tc>
          <w:tcPr>
            <w:tcW w:w="880" w:type="pct"/>
            <w:tcBorders>
              <w:top w:val="nil"/>
              <w:left w:val="single" w:sz="4" w:space="0" w:color="auto"/>
              <w:bottom w:val="nil"/>
            </w:tcBorders>
            <w:shd w:val="clear" w:color="auto" w:fill="auto"/>
          </w:tcPr>
          <w:p w:rsidR="00095E93" w:rsidRPr="008D2B62" w:rsidRDefault="00095E93" w:rsidP="00095E93">
            <w:pPr>
              <w:keepNext/>
              <w:keepLines/>
              <w:widowControl w:val="0"/>
              <w:spacing w:before="0"/>
              <w:jc w:val="center"/>
              <w:rPr>
                <w:rFonts w:ascii="Arial Narrow" w:eastAsia="MS Gothic" w:hAnsi="Arial Narrow"/>
                <w:bCs/>
                <w:sz w:val="20"/>
                <w:szCs w:val="24"/>
              </w:rPr>
            </w:pPr>
          </w:p>
        </w:tc>
      </w:tr>
      <w:tr w:rsidR="00095E93" w:rsidRPr="008D2B62" w:rsidTr="00657695">
        <w:trPr>
          <w:trHeight w:val="20"/>
        </w:trPr>
        <w:tc>
          <w:tcPr>
            <w:tcW w:w="5000" w:type="pct"/>
            <w:gridSpan w:val="5"/>
            <w:tcBorders>
              <w:top w:val="single" w:sz="4" w:space="0" w:color="auto"/>
              <w:bottom w:val="single" w:sz="4" w:space="0" w:color="auto"/>
            </w:tcBorders>
            <w:shd w:val="clear" w:color="auto" w:fill="auto"/>
            <w:vAlign w:val="center"/>
          </w:tcPr>
          <w:p w:rsidR="00095E93" w:rsidRPr="00B5274E" w:rsidRDefault="00095E93" w:rsidP="00095E93">
            <w:pPr>
              <w:keepNext/>
              <w:keepLines/>
              <w:widowControl w:val="0"/>
              <w:spacing w:before="0"/>
              <w:jc w:val="left"/>
              <w:rPr>
                <w:rFonts w:ascii="Arial Narrow" w:eastAsia="MS Gothic" w:hAnsi="Arial Narrow"/>
                <w:b/>
                <w:bCs/>
                <w:sz w:val="20"/>
                <w:szCs w:val="24"/>
              </w:rPr>
            </w:pPr>
            <w:r w:rsidRPr="00B5274E">
              <w:rPr>
                <w:rFonts w:ascii="Arial Narrow" w:eastAsia="MS Gothic" w:hAnsi="Arial Narrow"/>
                <w:b/>
                <w:bCs/>
                <w:sz w:val="20"/>
                <w:szCs w:val="24"/>
              </w:rPr>
              <w:t>PD-L1</w:t>
            </w:r>
            <w:r w:rsidR="00666CF6">
              <w:rPr>
                <w:rFonts w:ascii="Arial Narrow" w:eastAsia="MS Gothic" w:hAnsi="Arial Narrow"/>
                <w:b/>
                <w:bCs/>
                <w:sz w:val="20"/>
                <w:szCs w:val="24"/>
              </w:rPr>
              <w:t>-</w:t>
            </w:r>
            <w:r w:rsidR="00F64FC1">
              <w:rPr>
                <w:rFonts w:ascii="Arial Narrow" w:eastAsia="MS Gothic" w:hAnsi="Arial Narrow"/>
                <w:b/>
                <w:bCs/>
                <w:sz w:val="20"/>
                <w:szCs w:val="24"/>
              </w:rPr>
              <w:t>positive</w:t>
            </w:r>
            <w:r w:rsidRPr="00B5274E">
              <w:rPr>
                <w:rFonts w:ascii="Arial Narrow" w:eastAsia="MS Gothic" w:hAnsi="Arial Narrow"/>
                <w:b/>
                <w:bCs/>
                <w:sz w:val="20"/>
                <w:szCs w:val="24"/>
              </w:rPr>
              <w:t xml:space="preserve"> population</w:t>
            </w:r>
          </w:p>
        </w:tc>
      </w:tr>
      <w:tr w:rsidR="00095E93" w:rsidRPr="008D2B62" w:rsidTr="00657695">
        <w:trPr>
          <w:trHeight w:val="20"/>
        </w:trPr>
        <w:tc>
          <w:tcPr>
            <w:tcW w:w="1364" w:type="pct"/>
            <w:tcBorders>
              <w:bottom w:val="single" w:sz="4" w:space="0" w:color="auto"/>
              <w:right w:val="single" w:sz="4" w:space="0" w:color="auto"/>
            </w:tcBorders>
            <w:shd w:val="clear" w:color="auto" w:fill="auto"/>
          </w:tcPr>
          <w:p w:rsidR="00095E93" w:rsidRPr="008D2B62" w:rsidRDefault="00095E93" w:rsidP="00095E93">
            <w:pPr>
              <w:keepNext/>
              <w:keepLines/>
              <w:widowControl w:val="0"/>
              <w:spacing w:before="0"/>
              <w:jc w:val="left"/>
              <w:rPr>
                <w:rFonts w:ascii="Arial Narrow" w:eastAsia="MS Gothic" w:hAnsi="Arial Narrow"/>
                <w:bCs/>
                <w:sz w:val="20"/>
                <w:szCs w:val="24"/>
              </w:rPr>
            </w:pPr>
            <w:r>
              <w:rPr>
                <w:rFonts w:ascii="Arial Narrow" w:eastAsia="MS Gothic" w:hAnsi="Arial Narrow"/>
                <w:bCs/>
                <w:sz w:val="20"/>
                <w:szCs w:val="24"/>
              </w:rPr>
              <w:t>Death</w:t>
            </w:r>
            <w:r w:rsidR="00003E6F">
              <w:rPr>
                <w:rFonts w:ascii="Arial Narrow" w:eastAsia="MS Gothic" w:hAnsi="Arial Narrow"/>
                <w:bCs/>
                <w:sz w:val="20"/>
                <w:szCs w:val="24"/>
              </w:rPr>
              <w:t>s</w:t>
            </w:r>
            <w:r>
              <w:rPr>
                <w:rFonts w:ascii="Arial Narrow" w:eastAsia="MS Gothic" w:hAnsi="Arial Narrow"/>
                <w:bCs/>
                <w:sz w:val="20"/>
                <w:szCs w:val="24"/>
              </w:rPr>
              <w:t>, n</w:t>
            </w:r>
            <w:r w:rsidR="00003E6F">
              <w:rPr>
                <w:rFonts w:ascii="Arial Narrow" w:eastAsia="MS Gothic" w:hAnsi="Arial Narrow"/>
                <w:bCs/>
                <w:sz w:val="20"/>
                <w:szCs w:val="24"/>
              </w:rPr>
              <w:t xml:space="preserve">/N </w:t>
            </w:r>
            <w:r>
              <w:rPr>
                <w:rFonts w:ascii="Arial Narrow" w:eastAsia="MS Gothic" w:hAnsi="Arial Narrow"/>
                <w:bCs/>
                <w:sz w:val="20"/>
                <w:szCs w:val="24"/>
              </w:rPr>
              <w:t>(%)</w:t>
            </w:r>
          </w:p>
        </w:tc>
        <w:tc>
          <w:tcPr>
            <w:tcW w:w="855" w:type="pct"/>
            <w:tcBorders>
              <w:left w:val="single" w:sz="4" w:space="0" w:color="auto"/>
              <w:bottom w:val="single" w:sz="4" w:space="0" w:color="auto"/>
              <w:right w:val="single" w:sz="4" w:space="0" w:color="auto"/>
            </w:tcBorders>
            <w:shd w:val="clear" w:color="auto" w:fill="auto"/>
          </w:tcPr>
          <w:p w:rsidR="00095E93" w:rsidRPr="008D2B62" w:rsidRDefault="00095E93" w:rsidP="00095E93">
            <w:pPr>
              <w:keepNext/>
              <w:keepLines/>
              <w:widowControl w:val="0"/>
              <w:spacing w:before="0"/>
              <w:jc w:val="center"/>
              <w:rPr>
                <w:rFonts w:ascii="Arial Narrow" w:eastAsia="MS Gothic" w:hAnsi="Arial Narrow"/>
                <w:bCs/>
                <w:sz w:val="20"/>
                <w:szCs w:val="24"/>
              </w:rPr>
            </w:pPr>
            <w:r w:rsidRPr="00D71F99">
              <w:rPr>
                <w:rFonts w:ascii="Arial Narrow" w:eastAsia="MS Gothic" w:hAnsi="Arial Narrow"/>
                <w:bCs/>
                <w:sz w:val="20"/>
                <w:szCs w:val="24"/>
              </w:rPr>
              <w:t>94/185 (50.8%)</w:t>
            </w:r>
          </w:p>
        </w:tc>
        <w:tc>
          <w:tcPr>
            <w:tcW w:w="917" w:type="pct"/>
            <w:tcBorders>
              <w:left w:val="single" w:sz="4" w:space="0" w:color="auto"/>
              <w:bottom w:val="single" w:sz="4" w:space="0" w:color="auto"/>
              <w:right w:val="single" w:sz="4" w:space="0" w:color="auto"/>
            </w:tcBorders>
            <w:shd w:val="clear" w:color="auto" w:fill="auto"/>
          </w:tcPr>
          <w:p w:rsidR="00095E93" w:rsidRPr="008D2B62" w:rsidRDefault="00095E93" w:rsidP="00095E93">
            <w:pPr>
              <w:keepNext/>
              <w:keepLines/>
              <w:widowControl w:val="0"/>
              <w:spacing w:before="0"/>
              <w:jc w:val="center"/>
              <w:rPr>
                <w:rFonts w:ascii="Arial Narrow" w:eastAsia="MS Gothic" w:hAnsi="Arial Narrow"/>
                <w:bCs/>
                <w:sz w:val="20"/>
                <w:szCs w:val="24"/>
              </w:rPr>
            </w:pPr>
            <w:r w:rsidRPr="00D71F99">
              <w:rPr>
                <w:rFonts w:ascii="Arial Narrow" w:eastAsia="MS Gothic" w:hAnsi="Arial Narrow"/>
                <w:bCs/>
                <w:sz w:val="20"/>
                <w:szCs w:val="24"/>
              </w:rPr>
              <w:t>110/184 (59.8%)</w:t>
            </w:r>
          </w:p>
        </w:tc>
        <w:tc>
          <w:tcPr>
            <w:tcW w:w="983" w:type="pct"/>
            <w:tcBorders>
              <w:left w:val="single" w:sz="4" w:space="0" w:color="auto"/>
              <w:bottom w:val="single" w:sz="4" w:space="0" w:color="auto"/>
              <w:right w:val="single" w:sz="4" w:space="0" w:color="auto"/>
            </w:tcBorders>
            <w:shd w:val="clear" w:color="auto" w:fill="auto"/>
          </w:tcPr>
          <w:p w:rsidR="00095E93" w:rsidRPr="008D2B62" w:rsidRDefault="00095E93" w:rsidP="00095E93">
            <w:pPr>
              <w:keepNext/>
              <w:keepLines/>
              <w:widowControl w:val="0"/>
              <w:spacing w:before="0"/>
              <w:jc w:val="center"/>
              <w:rPr>
                <w:rFonts w:ascii="Arial Narrow" w:eastAsia="MS Gothic" w:hAnsi="Arial Narrow"/>
                <w:bCs/>
                <w:sz w:val="20"/>
                <w:szCs w:val="24"/>
              </w:rPr>
            </w:pPr>
          </w:p>
        </w:tc>
        <w:tc>
          <w:tcPr>
            <w:tcW w:w="880" w:type="pct"/>
            <w:tcBorders>
              <w:left w:val="single" w:sz="4" w:space="0" w:color="auto"/>
              <w:bottom w:val="nil"/>
            </w:tcBorders>
            <w:shd w:val="clear" w:color="auto" w:fill="auto"/>
          </w:tcPr>
          <w:p w:rsidR="00095E93" w:rsidRPr="007B1C8E" w:rsidRDefault="00095E93" w:rsidP="00095E93">
            <w:pPr>
              <w:keepNext/>
              <w:keepLines/>
              <w:widowControl w:val="0"/>
              <w:spacing w:before="0"/>
              <w:jc w:val="center"/>
              <w:rPr>
                <w:rFonts w:ascii="Arial Narrow" w:eastAsia="MS Gothic" w:hAnsi="Arial Narrow"/>
                <w:bCs/>
                <w:sz w:val="20"/>
                <w:szCs w:val="24"/>
              </w:rPr>
            </w:pPr>
            <w:r w:rsidRPr="00ED62EF">
              <w:rPr>
                <w:rFonts w:ascii="Arial Narrow" w:eastAsia="MS Gothic" w:hAnsi="Arial Narrow"/>
                <w:bCs/>
                <w:sz w:val="20"/>
                <w:szCs w:val="24"/>
              </w:rPr>
              <w:t>0.71 (0.54, 0.93)</w:t>
            </w:r>
          </w:p>
          <w:p w:rsidR="00095E93" w:rsidRPr="005251D6" w:rsidRDefault="00095E93" w:rsidP="00095E93">
            <w:pPr>
              <w:keepNext/>
              <w:keepLines/>
              <w:widowControl w:val="0"/>
              <w:spacing w:before="0"/>
              <w:jc w:val="center"/>
              <w:rPr>
                <w:rFonts w:ascii="Arial Narrow" w:eastAsia="MS Gothic" w:hAnsi="Arial Narrow"/>
                <w:bCs/>
                <w:sz w:val="20"/>
                <w:szCs w:val="24"/>
                <w:vertAlign w:val="superscript"/>
              </w:rPr>
            </w:pPr>
            <w:r w:rsidRPr="007B1C8E">
              <w:rPr>
                <w:rFonts w:ascii="Arial Narrow" w:eastAsia="MS Gothic" w:hAnsi="Arial Narrow"/>
                <w:bCs/>
                <w:sz w:val="20"/>
                <w:szCs w:val="24"/>
              </w:rPr>
              <w:t>P=</w:t>
            </w:r>
            <w:r>
              <w:rPr>
                <w:rFonts w:ascii="Arial Narrow" w:eastAsia="MS Gothic" w:hAnsi="Arial Narrow"/>
                <w:bCs/>
                <w:sz w:val="20"/>
                <w:szCs w:val="24"/>
              </w:rPr>
              <w:t>0.0133</w:t>
            </w:r>
            <w:r>
              <w:rPr>
                <w:rFonts w:ascii="Arial Narrow" w:eastAsia="MS Gothic" w:hAnsi="Arial Narrow"/>
                <w:bCs/>
                <w:sz w:val="20"/>
                <w:szCs w:val="24"/>
                <w:vertAlign w:val="superscript"/>
              </w:rPr>
              <w:t>c</w:t>
            </w:r>
          </w:p>
        </w:tc>
      </w:tr>
      <w:tr w:rsidR="00095E93" w:rsidRPr="008D2B62" w:rsidTr="00657695">
        <w:trPr>
          <w:trHeight w:val="20"/>
        </w:trPr>
        <w:tc>
          <w:tcPr>
            <w:tcW w:w="1364" w:type="pct"/>
            <w:tcBorders>
              <w:bottom w:val="single" w:sz="4" w:space="0" w:color="auto"/>
              <w:right w:val="single" w:sz="4" w:space="0" w:color="auto"/>
            </w:tcBorders>
            <w:shd w:val="clear" w:color="auto" w:fill="auto"/>
          </w:tcPr>
          <w:p w:rsidR="00095E93" w:rsidRPr="008D2B62" w:rsidRDefault="00095E93" w:rsidP="00095E93">
            <w:pPr>
              <w:keepNext/>
              <w:keepLines/>
              <w:widowControl w:val="0"/>
              <w:spacing w:before="0"/>
              <w:jc w:val="left"/>
              <w:rPr>
                <w:rFonts w:ascii="Arial Narrow" w:eastAsia="MS Gothic" w:hAnsi="Arial Narrow"/>
                <w:bCs/>
                <w:sz w:val="20"/>
                <w:szCs w:val="24"/>
              </w:rPr>
            </w:pPr>
            <w:r w:rsidRPr="008D2B62">
              <w:rPr>
                <w:rFonts w:ascii="Arial Narrow" w:eastAsia="MS Gothic" w:hAnsi="Arial Narrow"/>
                <w:bCs/>
                <w:sz w:val="20"/>
                <w:szCs w:val="24"/>
              </w:rPr>
              <w:t xml:space="preserve">Median </w:t>
            </w:r>
            <w:r>
              <w:rPr>
                <w:rFonts w:ascii="Arial Narrow" w:eastAsia="MS Gothic" w:hAnsi="Arial Narrow"/>
                <w:bCs/>
                <w:sz w:val="20"/>
                <w:szCs w:val="24"/>
              </w:rPr>
              <w:t>OS</w:t>
            </w:r>
            <w:r w:rsidRPr="008D2B62">
              <w:rPr>
                <w:rFonts w:ascii="Arial Narrow" w:eastAsia="MS Gothic" w:hAnsi="Arial Narrow"/>
                <w:bCs/>
                <w:sz w:val="20"/>
                <w:szCs w:val="24"/>
              </w:rPr>
              <w:t>, months (95% CI)</w:t>
            </w:r>
          </w:p>
        </w:tc>
        <w:tc>
          <w:tcPr>
            <w:tcW w:w="855" w:type="pct"/>
            <w:tcBorders>
              <w:left w:val="single" w:sz="4" w:space="0" w:color="auto"/>
              <w:bottom w:val="single" w:sz="4" w:space="0" w:color="auto"/>
              <w:right w:val="single" w:sz="4" w:space="0" w:color="auto"/>
            </w:tcBorders>
            <w:shd w:val="clear" w:color="auto" w:fill="auto"/>
          </w:tcPr>
          <w:p w:rsidR="00095E93" w:rsidRPr="005251D6" w:rsidRDefault="00095E93" w:rsidP="00095E93">
            <w:pPr>
              <w:keepNext/>
              <w:keepLines/>
              <w:widowControl w:val="0"/>
              <w:spacing w:before="0"/>
              <w:jc w:val="center"/>
              <w:rPr>
                <w:rFonts w:ascii="Arial Narrow" w:eastAsia="MS Gothic" w:hAnsi="Arial Narrow"/>
                <w:bCs/>
                <w:sz w:val="20"/>
                <w:szCs w:val="24"/>
              </w:rPr>
            </w:pPr>
            <w:r w:rsidRPr="005251D6">
              <w:rPr>
                <w:rFonts w:ascii="Arial Narrow" w:eastAsia="MS Gothic" w:hAnsi="Arial Narrow"/>
                <w:bCs/>
                <w:sz w:val="20"/>
                <w:szCs w:val="24"/>
              </w:rPr>
              <w:t xml:space="preserve">25.03 </w:t>
            </w:r>
          </w:p>
          <w:p w:rsidR="00095E93" w:rsidRPr="007B1C8E" w:rsidRDefault="00095E93" w:rsidP="00095E93">
            <w:pPr>
              <w:keepNext/>
              <w:keepLines/>
              <w:widowControl w:val="0"/>
              <w:spacing w:before="0"/>
              <w:jc w:val="center"/>
              <w:rPr>
                <w:rFonts w:ascii="Arial Narrow" w:eastAsia="MS Gothic" w:hAnsi="Arial Narrow"/>
                <w:bCs/>
                <w:sz w:val="20"/>
                <w:szCs w:val="24"/>
              </w:rPr>
            </w:pPr>
            <w:r w:rsidRPr="005251D6">
              <w:rPr>
                <w:rFonts w:ascii="Arial Narrow" w:eastAsia="MS Gothic" w:hAnsi="Arial Narrow"/>
                <w:bCs/>
                <w:sz w:val="20"/>
                <w:szCs w:val="24"/>
              </w:rPr>
              <w:t>(19.55, 30.65)</w:t>
            </w:r>
          </w:p>
        </w:tc>
        <w:tc>
          <w:tcPr>
            <w:tcW w:w="917" w:type="pct"/>
            <w:tcBorders>
              <w:left w:val="single" w:sz="4" w:space="0" w:color="auto"/>
              <w:bottom w:val="single" w:sz="4" w:space="0" w:color="auto"/>
              <w:right w:val="single" w:sz="4" w:space="0" w:color="auto"/>
            </w:tcBorders>
            <w:shd w:val="clear" w:color="auto" w:fill="auto"/>
          </w:tcPr>
          <w:p w:rsidR="00095E93" w:rsidRPr="005251D6" w:rsidRDefault="00095E93" w:rsidP="00095E93">
            <w:pPr>
              <w:keepNext/>
              <w:keepLines/>
              <w:widowControl w:val="0"/>
              <w:spacing w:before="0"/>
              <w:jc w:val="center"/>
              <w:rPr>
                <w:rFonts w:ascii="Arial Narrow" w:eastAsia="MS Gothic" w:hAnsi="Arial Narrow"/>
                <w:bCs/>
                <w:sz w:val="20"/>
                <w:szCs w:val="24"/>
              </w:rPr>
            </w:pPr>
            <w:r w:rsidRPr="005251D6">
              <w:rPr>
                <w:rFonts w:ascii="Arial Narrow" w:eastAsia="MS Gothic" w:hAnsi="Arial Narrow"/>
                <w:bCs/>
                <w:sz w:val="20"/>
                <w:szCs w:val="24"/>
              </w:rPr>
              <w:t xml:space="preserve">17.97 </w:t>
            </w:r>
          </w:p>
          <w:p w:rsidR="00095E93" w:rsidRPr="007B1C8E" w:rsidRDefault="00095E93" w:rsidP="00095E93">
            <w:pPr>
              <w:keepNext/>
              <w:keepLines/>
              <w:widowControl w:val="0"/>
              <w:spacing w:before="0"/>
              <w:jc w:val="center"/>
              <w:rPr>
                <w:rFonts w:ascii="Arial Narrow" w:eastAsia="MS Gothic" w:hAnsi="Arial Narrow"/>
                <w:bCs/>
                <w:sz w:val="20"/>
                <w:szCs w:val="24"/>
              </w:rPr>
            </w:pPr>
            <w:r w:rsidRPr="005251D6">
              <w:rPr>
                <w:rFonts w:ascii="Arial Narrow" w:eastAsia="MS Gothic" w:hAnsi="Arial Narrow"/>
                <w:bCs/>
                <w:sz w:val="20"/>
                <w:szCs w:val="24"/>
              </w:rPr>
              <w:t>(13.63, 20.07)</w:t>
            </w:r>
          </w:p>
        </w:tc>
        <w:tc>
          <w:tcPr>
            <w:tcW w:w="983" w:type="pct"/>
            <w:tcBorders>
              <w:left w:val="single" w:sz="4" w:space="0" w:color="auto"/>
              <w:bottom w:val="single" w:sz="4" w:space="0" w:color="auto"/>
              <w:right w:val="single" w:sz="4" w:space="0" w:color="auto"/>
            </w:tcBorders>
            <w:shd w:val="clear" w:color="auto" w:fill="auto"/>
          </w:tcPr>
          <w:p w:rsidR="00095E93" w:rsidRPr="008D2B62" w:rsidRDefault="00095E93" w:rsidP="00095E93">
            <w:pPr>
              <w:keepNext/>
              <w:keepLines/>
              <w:widowControl w:val="0"/>
              <w:spacing w:before="0"/>
              <w:jc w:val="center"/>
              <w:rPr>
                <w:rFonts w:ascii="Arial Narrow" w:eastAsia="MS Gothic" w:hAnsi="Arial Narrow"/>
                <w:bCs/>
                <w:sz w:val="20"/>
                <w:szCs w:val="24"/>
              </w:rPr>
            </w:pPr>
            <w:r>
              <w:rPr>
                <w:rFonts w:ascii="Arial Narrow" w:eastAsia="MS Gothic" w:hAnsi="Arial Narrow"/>
                <w:bCs/>
                <w:sz w:val="20"/>
                <w:szCs w:val="24"/>
              </w:rPr>
              <w:t>7.06</w:t>
            </w:r>
          </w:p>
        </w:tc>
        <w:tc>
          <w:tcPr>
            <w:tcW w:w="880" w:type="pct"/>
            <w:tcBorders>
              <w:top w:val="nil"/>
              <w:left w:val="single" w:sz="4" w:space="0" w:color="auto"/>
              <w:bottom w:val="nil"/>
            </w:tcBorders>
            <w:shd w:val="clear" w:color="auto" w:fill="auto"/>
          </w:tcPr>
          <w:p w:rsidR="00095E93" w:rsidRPr="007B1C8E" w:rsidRDefault="00095E93" w:rsidP="00095E93">
            <w:pPr>
              <w:keepNext/>
              <w:keepLines/>
              <w:widowControl w:val="0"/>
              <w:spacing w:before="0"/>
              <w:jc w:val="center"/>
              <w:rPr>
                <w:rFonts w:ascii="Arial Narrow" w:eastAsia="MS Gothic" w:hAnsi="Arial Narrow"/>
                <w:bCs/>
                <w:sz w:val="20"/>
                <w:szCs w:val="24"/>
              </w:rPr>
            </w:pPr>
          </w:p>
        </w:tc>
      </w:tr>
      <w:tr w:rsidR="00095E93" w:rsidRPr="008D2B62" w:rsidTr="00657695">
        <w:trPr>
          <w:trHeight w:val="20"/>
        </w:trPr>
        <w:tc>
          <w:tcPr>
            <w:tcW w:w="1364" w:type="pct"/>
            <w:tcBorders>
              <w:top w:val="single" w:sz="4" w:space="0" w:color="auto"/>
              <w:bottom w:val="single" w:sz="4" w:space="0" w:color="auto"/>
              <w:right w:val="single" w:sz="4" w:space="0" w:color="auto"/>
            </w:tcBorders>
            <w:shd w:val="clear" w:color="auto" w:fill="auto"/>
          </w:tcPr>
          <w:p w:rsidR="00095E93" w:rsidRPr="00D71F99" w:rsidRDefault="00095E93" w:rsidP="00095E93">
            <w:pPr>
              <w:keepNext/>
              <w:keepLines/>
              <w:widowControl w:val="0"/>
              <w:spacing w:before="0"/>
              <w:jc w:val="left"/>
              <w:rPr>
                <w:rFonts w:ascii="Arial Narrow" w:eastAsia="MS Gothic" w:hAnsi="Arial Narrow"/>
                <w:bCs/>
                <w:sz w:val="20"/>
                <w:szCs w:val="24"/>
              </w:rPr>
            </w:pPr>
            <w:r w:rsidRPr="008D2B62">
              <w:rPr>
                <w:rFonts w:ascii="Arial Narrow" w:eastAsia="MS Gothic" w:hAnsi="Arial Narrow"/>
                <w:bCs/>
                <w:sz w:val="20"/>
                <w:szCs w:val="24"/>
              </w:rPr>
              <w:t xml:space="preserve">% </w:t>
            </w:r>
            <w:r>
              <w:rPr>
                <w:rFonts w:ascii="Arial Narrow" w:eastAsia="MS Gothic" w:hAnsi="Arial Narrow"/>
                <w:bCs/>
                <w:sz w:val="20"/>
                <w:szCs w:val="24"/>
              </w:rPr>
              <w:t>alive</w:t>
            </w:r>
            <w:r w:rsidRPr="008D2B62">
              <w:rPr>
                <w:rFonts w:ascii="Arial Narrow" w:eastAsia="MS Gothic" w:hAnsi="Arial Narrow"/>
                <w:bCs/>
                <w:sz w:val="20"/>
                <w:szCs w:val="24"/>
              </w:rPr>
              <w:t xml:space="preserve"> at </w:t>
            </w:r>
            <w:r>
              <w:rPr>
                <w:rFonts w:ascii="Arial Narrow" w:eastAsia="MS Gothic" w:hAnsi="Arial Narrow"/>
                <w:bCs/>
                <w:sz w:val="20"/>
                <w:szCs w:val="24"/>
              </w:rPr>
              <w:t>24</w:t>
            </w:r>
            <w:r w:rsidRPr="008D2B62">
              <w:rPr>
                <w:rFonts w:ascii="Arial Narrow" w:eastAsia="MS Gothic" w:hAnsi="Arial Narrow"/>
                <w:bCs/>
                <w:sz w:val="20"/>
                <w:szCs w:val="24"/>
              </w:rPr>
              <w:t xml:space="preserve"> months (95% CI)</w:t>
            </w:r>
            <w:r>
              <w:rPr>
                <w:rFonts w:ascii="Arial Narrow" w:eastAsia="MS Gothic" w:hAnsi="Arial Narrow"/>
                <w:bCs/>
                <w:sz w:val="20"/>
                <w:szCs w:val="24"/>
                <w:vertAlign w:val="superscript"/>
              </w:rPr>
              <w:t>b</w:t>
            </w:r>
          </w:p>
        </w:tc>
        <w:tc>
          <w:tcPr>
            <w:tcW w:w="855" w:type="pct"/>
            <w:tcBorders>
              <w:top w:val="single" w:sz="4" w:space="0" w:color="auto"/>
              <w:left w:val="single" w:sz="4" w:space="0" w:color="auto"/>
              <w:bottom w:val="single" w:sz="4" w:space="0" w:color="auto"/>
              <w:right w:val="single" w:sz="4" w:space="0" w:color="auto"/>
            </w:tcBorders>
            <w:shd w:val="clear" w:color="auto" w:fill="auto"/>
          </w:tcPr>
          <w:p w:rsidR="00095E93" w:rsidRPr="00D71F99" w:rsidRDefault="00095E93" w:rsidP="00095E93">
            <w:pPr>
              <w:keepNext/>
              <w:keepLines/>
              <w:widowControl w:val="0"/>
              <w:spacing w:before="0"/>
              <w:jc w:val="center"/>
              <w:rPr>
                <w:rFonts w:ascii="Arial Narrow" w:eastAsia="MS Gothic" w:hAnsi="Arial Narrow"/>
                <w:bCs/>
                <w:sz w:val="20"/>
                <w:szCs w:val="24"/>
              </w:rPr>
            </w:pPr>
            <w:r w:rsidRPr="00D71F99">
              <w:rPr>
                <w:rFonts w:ascii="Arial Narrow" w:eastAsia="MS Gothic" w:hAnsi="Arial Narrow"/>
                <w:bCs/>
                <w:sz w:val="20"/>
                <w:szCs w:val="24"/>
              </w:rPr>
              <w:t xml:space="preserve">50.70% </w:t>
            </w:r>
          </w:p>
          <w:p w:rsidR="00095E93" w:rsidRPr="008D2B62" w:rsidRDefault="00095E93" w:rsidP="00095E93">
            <w:pPr>
              <w:keepNext/>
              <w:keepLines/>
              <w:widowControl w:val="0"/>
              <w:spacing w:before="0"/>
              <w:jc w:val="center"/>
              <w:rPr>
                <w:rFonts w:ascii="Arial Narrow" w:eastAsia="MS Gothic" w:hAnsi="Arial Narrow"/>
                <w:bCs/>
                <w:sz w:val="20"/>
                <w:szCs w:val="24"/>
              </w:rPr>
            </w:pPr>
            <w:r w:rsidRPr="00D71F99">
              <w:rPr>
                <w:rFonts w:ascii="Arial Narrow" w:eastAsia="MS Gothic" w:hAnsi="Arial Narrow"/>
                <w:bCs/>
                <w:sz w:val="20"/>
                <w:szCs w:val="24"/>
              </w:rPr>
              <w:t>(42.89, 58.52)</w:t>
            </w:r>
          </w:p>
        </w:tc>
        <w:tc>
          <w:tcPr>
            <w:tcW w:w="917" w:type="pct"/>
            <w:tcBorders>
              <w:top w:val="single" w:sz="4" w:space="0" w:color="auto"/>
              <w:left w:val="single" w:sz="4" w:space="0" w:color="auto"/>
              <w:bottom w:val="single" w:sz="4" w:space="0" w:color="auto"/>
              <w:right w:val="single" w:sz="4" w:space="0" w:color="auto"/>
            </w:tcBorders>
            <w:shd w:val="clear" w:color="auto" w:fill="auto"/>
          </w:tcPr>
          <w:p w:rsidR="00095E93" w:rsidRPr="00D71F99" w:rsidRDefault="00095E93" w:rsidP="00095E93">
            <w:pPr>
              <w:keepNext/>
              <w:keepLines/>
              <w:widowControl w:val="0"/>
              <w:spacing w:before="0"/>
              <w:jc w:val="center"/>
              <w:rPr>
                <w:rFonts w:ascii="Arial Narrow" w:eastAsia="MS Gothic" w:hAnsi="Arial Narrow"/>
                <w:bCs/>
                <w:sz w:val="20"/>
                <w:szCs w:val="24"/>
              </w:rPr>
            </w:pPr>
            <w:r w:rsidRPr="00D71F99">
              <w:rPr>
                <w:rFonts w:ascii="Arial Narrow" w:eastAsia="MS Gothic" w:hAnsi="Arial Narrow"/>
                <w:bCs/>
                <w:sz w:val="20"/>
                <w:szCs w:val="24"/>
              </w:rPr>
              <w:t xml:space="preserve">36.90% </w:t>
            </w:r>
          </w:p>
          <w:p w:rsidR="00095E93" w:rsidRPr="007B1C8E" w:rsidRDefault="00095E93" w:rsidP="00095E93">
            <w:pPr>
              <w:keepNext/>
              <w:keepLines/>
              <w:widowControl w:val="0"/>
              <w:spacing w:before="0"/>
              <w:jc w:val="center"/>
              <w:rPr>
                <w:rFonts w:ascii="Arial Narrow" w:eastAsia="MS Gothic" w:hAnsi="Arial Narrow"/>
                <w:bCs/>
                <w:sz w:val="20"/>
                <w:szCs w:val="24"/>
              </w:rPr>
            </w:pPr>
            <w:r w:rsidRPr="00D71F99">
              <w:rPr>
                <w:rFonts w:ascii="Arial Narrow" w:eastAsia="MS Gothic" w:hAnsi="Arial Narrow"/>
                <w:bCs/>
                <w:sz w:val="20"/>
                <w:szCs w:val="24"/>
              </w:rPr>
              <w:t>(28.96, 44.85)</w:t>
            </w:r>
          </w:p>
        </w:tc>
        <w:tc>
          <w:tcPr>
            <w:tcW w:w="983" w:type="pct"/>
            <w:tcBorders>
              <w:top w:val="single" w:sz="4" w:space="0" w:color="auto"/>
              <w:left w:val="single" w:sz="4" w:space="0" w:color="auto"/>
              <w:bottom w:val="single" w:sz="4" w:space="0" w:color="auto"/>
              <w:right w:val="single" w:sz="4" w:space="0" w:color="auto"/>
            </w:tcBorders>
            <w:shd w:val="clear" w:color="auto" w:fill="auto"/>
          </w:tcPr>
          <w:p w:rsidR="00095E93" w:rsidRPr="008D2B62" w:rsidRDefault="00095E93" w:rsidP="00095E93">
            <w:pPr>
              <w:keepNext/>
              <w:keepLines/>
              <w:widowControl w:val="0"/>
              <w:spacing w:before="0"/>
              <w:jc w:val="center"/>
              <w:rPr>
                <w:rFonts w:ascii="Arial Narrow" w:eastAsia="MS Gothic" w:hAnsi="Arial Narrow"/>
                <w:bCs/>
                <w:sz w:val="20"/>
                <w:szCs w:val="24"/>
              </w:rPr>
            </w:pPr>
            <w:r>
              <w:rPr>
                <w:rFonts w:ascii="Arial Narrow" w:eastAsia="MS Gothic" w:hAnsi="Arial Narrow"/>
                <w:bCs/>
                <w:sz w:val="20"/>
                <w:szCs w:val="24"/>
              </w:rPr>
              <w:t>13.8</w:t>
            </w:r>
            <w:r w:rsidRPr="008D2B62">
              <w:rPr>
                <w:rFonts w:ascii="Arial Narrow" w:eastAsia="MS Gothic" w:hAnsi="Arial Narrow"/>
                <w:bCs/>
                <w:sz w:val="20"/>
                <w:szCs w:val="24"/>
              </w:rPr>
              <w:t>%</w:t>
            </w:r>
          </w:p>
        </w:tc>
        <w:tc>
          <w:tcPr>
            <w:tcW w:w="880" w:type="pct"/>
            <w:tcBorders>
              <w:top w:val="nil"/>
              <w:left w:val="single" w:sz="4" w:space="0" w:color="auto"/>
              <w:bottom w:val="nil"/>
            </w:tcBorders>
            <w:shd w:val="clear" w:color="auto" w:fill="auto"/>
          </w:tcPr>
          <w:p w:rsidR="00095E93" w:rsidRPr="008D2B62" w:rsidRDefault="00095E93" w:rsidP="00095E93">
            <w:pPr>
              <w:keepNext/>
              <w:keepLines/>
              <w:widowControl w:val="0"/>
              <w:spacing w:before="0"/>
              <w:jc w:val="center"/>
              <w:rPr>
                <w:rFonts w:ascii="Arial Narrow" w:eastAsia="MS Gothic" w:hAnsi="Arial Narrow"/>
                <w:bCs/>
                <w:sz w:val="20"/>
                <w:szCs w:val="24"/>
              </w:rPr>
            </w:pPr>
          </w:p>
        </w:tc>
      </w:tr>
    </w:tbl>
    <w:tbl>
      <w:tblPr>
        <w:tblW w:w="4994" w:type="pct"/>
        <w:tblInd w:w="14" w:type="dxa"/>
        <w:tblLayout w:type="fixed"/>
        <w:tblCellMar>
          <w:left w:w="28" w:type="dxa"/>
          <w:right w:w="28" w:type="dxa"/>
        </w:tblCellMar>
        <w:tblLook w:val="04A0" w:firstRow="1" w:lastRow="0" w:firstColumn="1" w:lastColumn="0" w:noHBand="0" w:noVBand="1"/>
        <w:tblCaption w:val="Summary of comparative benefits and harms for ATZ+nab-P and PBO+nab-P"/>
      </w:tblPr>
      <w:tblGrid>
        <w:gridCol w:w="1966"/>
        <w:gridCol w:w="1274"/>
        <w:gridCol w:w="1272"/>
        <w:gridCol w:w="1133"/>
        <w:gridCol w:w="1135"/>
        <w:gridCol w:w="1135"/>
        <w:gridCol w:w="1090"/>
      </w:tblGrid>
      <w:tr w:rsidR="00095E93" w:rsidRPr="00E2771E" w:rsidTr="00657695">
        <w:tc>
          <w:tcPr>
            <w:tcW w:w="5000" w:type="pct"/>
            <w:gridSpan w:val="7"/>
            <w:tcBorders>
              <w:top w:val="double" w:sz="4" w:space="0" w:color="auto"/>
              <w:left w:val="single" w:sz="4" w:space="0" w:color="auto"/>
              <w:bottom w:val="single" w:sz="4" w:space="0" w:color="auto"/>
              <w:right w:val="single" w:sz="4" w:space="0" w:color="auto"/>
            </w:tcBorders>
            <w:shd w:val="clear" w:color="auto" w:fill="auto"/>
            <w:vAlign w:val="center"/>
          </w:tcPr>
          <w:p w:rsidR="00095E93" w:rsidRPr="00E2771E" w:rsidRDefault="00095E93" w:rsidP="00CF3DFE">
            <w:pPr>
              <w:pStyle w:val="In-tableHeading"/>
            </w:pPr>
            <w:r w:rsidRPr="00E2771E">
              <w:t xml:space="preserve">Harms </w:t>
            </w:r>
            <w:r w:rsidR="00F64FC1">
              <w:t>(</w:t>
            </w:r>
            <w:r w:rsidR="00CF3DFE">
              <w:t>m</w:t>
            </w:r>
            <w:r w:rsidR="00F64FC1">
              <w:t xml:space="preserve">edian duration of treatment </w:t>
            </w:r>
            <w:r w:rsidR="00CF3DFE">
              <w:t>22 weeks)</w:t>
            </w:r>
          </w:p>
        </w:tc>
      </w:tr>
      <w:tr w:rsidR="002D0BCC" w:rsidRPr="00E2771E" w:rsidTr="002D0BCC">
        <w:trPr>
          <w:trHeight w:val="70"/>
        </w:trPr>
        <w:tc>
          <w:tcPr>
            <w:tcW w:w="109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95E93" w:rsidRPr="00E2771E" w:rsidRDefault="00095E93" w:rsidP="00095E93">
            <w:pPr>
              <w:pStyle w:val="In-tableHeading"/>
            </w:pPr>
          </w:p>
        </w:tc>
        <w:tc>
          <w:tcPr>
            <w:tcW w:w="70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95E93" w:rsidRDefault="00095E93" w:rsidP="00095E93">
            <w:pPr>
              <w:pStyle w:val="In-tableHeading"/>
              <w:jc w:val="center"/>
            </w:pPr>
            <w:r>
              <w:t>ATZ+nab-P</w:t>
            </w:r>
          </w:p>
          <w:p w:rsidR="00095E93" w:rsidRPr="00E2771E" w:rsidRDefault="00095E93" w:rsidP="00095E93">
            <w:pPr>
              <w:pStyle w:val="In-tableHeading"/>
              <w:jc w:val="center"/>
            </w:pPr>
            <w:r>
              <w:t>n/N</w:t>
            </w:r>
          </w:p>
        </w:tc>
        <w:tc>
          <w:tcPr>
            <w:tcW w:w="70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95E93" w:rsidRDefault="00095E93" w:rsidP="00095E93">
            <w:pPr>
              <w:pStyle w:val="In-tableHeading"/>
              <w:jc w:val="center"/>
            </w:pPr>
            <w:r w:rsidRPr="00E2771E">
              <w:t>PBO</w:t>
            </w:r>
            <w:r>
              <w:t>+nab-P</w:t>
            </w:r>
          </w:p>
          <w:p w:rsidR="00095E93" w:rsidRPr="00E2771E" w:rsidRDefault="00095E93" w:rsidP="00095E93">
            <w:pPr>
              <w:pStyle w:val="In-tableHeading"/>
              <w:jc w:val="center"/>
            </w:pPr>
            <w:r>
              <w:t>n/N</w:t>
            </w:r>
          </w:p>
        </w:tc>
        <w:tc>
          <w:tcPr>
            <w:tcW w:w="62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95E93" w:rsidRPr="00E2771E" w:rsidRDefault="00095E93" w:rsidP="00095E93">
            <w:pPr>
              <w:pStyle w:val="In-tableHeading"/>
              <w:jc w:val="center"/>
            </w:pPr>
            <w:r w:rsidRPr="00E2771E">
              <w:t>RR</w:t>
            </w:r>
          </w:p>
          <w:p w:rsidR="00095E93" w:rsidRPr="00E2771E" w:rsidRDefault="00095E93" w:rsidP="00095E93">
            <w:pPr>
              <w:pStyle w:val="In-tableHeading"/>
              <w:jc w:val="center"/>
            </w:pPr>
            <w:r w:rsidRPr="00E2771E">
              <w:t>(95% CI)</w:t>
            </w:r>
          </w:p>
        </w:tc>
        <w:tc>
          <w:tcPr>
            <w:tcW w:w="12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95E93" w:rsidRPr="00E2771E" w:rsidRDefault="00095E93" w:rsidP="00003E6F">
            <w:pPr>
              <w:pStyle w:val="In-tableHeading"/>
              <w:jc w:val="center"/>
            </w:pPr>
            <w:r w:rsidRPr="00E2771E">
              <w:t>Event rate/100 patients</w:t>
            </w:r>
          </w:p>
        </w:tc>
        <w:tc>
          <w:tcPr>
            <w:tcW w:w="60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95E93" w:rsidRPr="00E2771E" w:rsidRDefault="00095E93" w:rsidP="00095E93">
            <w:pPr>
              <w:pStyle w:val="In-tableHeading"/>
              <w:jc w:val="center"/>
            </w:pPr>
            <w:r w:rsidRPr="00E2771E">
              <w:t>RD</w:t>
            </w:r>
          </w:p>
          <w:p w:rsidR="00095E93" w:rsidRPr="00E2771E" w:rsidRDefault="00095E93" w:rsidP="00095E93">
            <w:pPr>
              <w:pStyle w:val="In-tableHeading"/>
              <w:jc w:val="center"/>
            </w:pPr>
            <w:r w:rsidRPr="00E2771E">
              <w:t>(95% CI)</w:t>
            </w:r>
          </w:p>
        </w:tc>
      </w:tr>
      <w:tr w:rsidR="002D0BCC" w:rsidRPr="00E2771E" w:rsidTr="002D0BCC">
        <w:trPr>
          <w:trHeight w:val="390"/>
        </w:trPr>
        <w:tc>
          <w:tcPr>
            <w:tcW w:w="1092" w:type="pct"/>
            <w:vMerge/>
            <w:tcBorders>
              <w:top w:val="single" w:sz="4" w:space="0" w:color="auto"/>
              <w:left w:val="single" w:sz="4" w:space="0" w:color="auto"/>
              <w:bottom w:val="single" w:sz="4" w:space="0" w:color="auto"/>
              <w:right w:val="single" w:sz="4" w:space="0" w:color="auto"/>
            </w:tcBorders>
            <w:shd w:val="clear" w:color="auto" w:fill="auto"/>
            <w:vAlign w:val="center"/>
          </w:tcPr>
          <w:p w:rsidR="00095E93" w:rsidRPr="00E2771E" w:rsidRDefault="00095E93" w:rsidP="00095E93">
            <w:pPr>
              <w:pStyle w:val="In-tableHeading"/>
            </w:pPr>
          </w:p>
        </w:tc>
        <w:tc>
          <w:tcPr>
            <w:tcW w:w="7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095E93" w:rsidRPr="00E2771E" w:rsidRDefault="00095E93" w:rsidP="00095E93">
            <w:pPr>
              <w:pStyle w:val="In-tableHeading"/>
            </w:pPr>
          </w:p>
        </w:tc>
        <w:tc>
          <w:tcPr>
            <w:tcW w:w="706" w:type="pct"/>
            <w:vMerge/>
            <w:tcBorders>
              <w:top w:val="single" w:sz="4" w:space="0" w:color="auto"/>
              <w:left w:val="single" w:sz="4" w:space="0" w:color="auto"/>
              <w:bottom w:val="single" w:sz="4" w:space="0" w:color="auto"/>
              <w:right w:val="single" w:sz="4" w:space="0" w:color="auto"/>
            </w:tcBorders>
            <w:shd w:val="clear" w:color="auto" w:fill="auto"/>
            <w:vAlign w:val="center"/>
          </w:tcPr>
          <w:p w:rsidR="00095E93" w:rsidRPr="00E2771E" w:rsidRDefault="00095E93" w:rsidP="00095E93">
            <w:pPr>
              <w:pStyle w:val="In-tableHeading"/>
            </w:pPr>
          </w:p>
        </w:tc>
        <w:tc>
          <w:tcPr>
            <w:tcW w:w="629" w:type="pct"/>
            <w:vMerge/>
            <w:tcBorders>
              <w:top w:val="single" w:sz="4" w:space="0" w:color="auto"/>
              <w:left w:val="single" w:sz="4" w:space="0" w:color="auto"/>
              <w:bottom w:val="single" w:sz="4" w:space="0" w:color="auto"/>
              <w:right w:val="single" w:sz="4" w:space="0" w:color="auto"/>
            </w:tcBorders>
            <w:shd w:val="clear" w:color="auto" w:fill="auto"/>
            <w:vAlign w:val="center"/>
          </w:tcPr>
          <w:p w:rsidR="00095E93" w:rsidRPr="00E2771E" w:rsidRDefault="00095E93" w:rsidP="00095E93">
            <w:pPr>
              <w:pStyle w:val="In-tableHeading"/>
            </w:pP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rsidR="00095E93" w:rsidRPr="00E2771E" w:rsidRDefault="00095E93" w:rsidP="00095E93">
            <w:pPr>
              <w:pStyle w:val="In-tableHeading"/>
              <w:jc w:val="center"/>
            </w:pPr>
            <w:r>
              <w:t>ATZ+nab-P</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rsidR="00095E93" w:rsidRPr="00E2771E" w:rsidRDefault="00095E93" w:rsidP="00095E93">
            <w:pPr>
              <w:pStyle w:val="In-tableHeading"/>
              <w:jc w:val="center"/>
            </w:pPr>
            <w:r w:rsidRPr="00E2771E">
              <w:t>PBO</w:t>
            </w:r>
            <w:r>
              <w:t>+nab-P</w:t>
            </w:r>
          </w:p>
        </w:tc>
        <w:tc>
          <w:tcPr>
            <w:tcW w:w="604" w:type="pct"/>
            <w:vMerge/>
            <w:tcBorders>
              <w:top w:val="single" w:sz="4" w:space="0" w:color="auto"/>
              <w:left w:val="single" w:sz="4" w:space="0" w:color="auto"/>
              <w:bottom w:val="single" w:sz="4" w:space="0" w:color="auto"/>
              <w:right w:val="single" w:sz="4" w:space="0" w:color="auto"/>
            </w:tcBorders>
            <w:shd w:val="clear" w:color="auto" w:fill="auto"/>
            <w:vAlign w:val="center"/>
          </w:tcPr>
          <w:p w:rsidR="00095E93" w:rsidRPr="00E2771E" w:rsidRDefault="00095E93" w:rsidP="00095E93">
            <w:pPr>
              <w:pStyle w:val="In-tableHeading"/>
            </w:pPr>
          </w:p>
        </w:tc>
      </w:tr>
      <w:tr w:rsidR="002D0BCC" w:rsidRPr="00E2771E" w:rsidTr="002D0BCC">
        <w:tc>
          <w:tcPr>
            <w:tcW w:w="1092" w:type="pct"/>
            <w:tcBorders>
              <w:top w:val="single" w:sz="4" w:space="0" w:color="auto"/>
              <w:left w:val="single" w:sz="4" w:space="0" w:color="auto"/>
              <w:bottom w:val="single" w:sz="4" w:space="0" w:color="auto"/>
              <w:right w:val="single" w:sz="4" w:space="0" w:color="auto"/>
            </w:tcBorders>
            <w:shd w:val="clear" w:color="auto" w:fill="auto"/>
            <w:vAlign w:val="center"/>
          </w:tcPr>
          <w:p w:rsidR="00095E93" w:rsidRPr="00E2771E" w:rsidRDefault="002D0BCC" w:rsidP="002D0BCC">
            <w:pPr>
              <w:pStyle w:val="TableText"/>
            </w:pPr>
            <w:r>
              <w:t>Treatment-</w:t>
            </w:r>
            <w:r w:rsidR="00095E93">
              <w:t xml:space="preserve">related </w:t>
            </w:r>
            <w:r>
              <w:t>G</w:t>
            </w:r>
            <w:r w:rsidR="00095E93">
              <w:t>rade 3-4 AEs</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rsidR="00095E93" w:rsidRPr="00E2771E" w:rsidRDefault="00095E93" w:rsidP="00095E93">
            <w:pPr>
              <w:pStyle w:val="TableText"/>
              <w:jc w:val="center"/>
            </w:pPr>
            <w:r>
              <w:t>179/452</w:t>
            </w:r>
          </w:p>
        </w:tc>
        <w:tc>
          <w:tcPr>
            <w:tcW w:w="706" w:type="pct"/>
            <w:tcBorders>
              <w:top w:val="single" w:sz="4" w:space="0" w:color="auto"/>
              <w:left w:val="single" w:sz="4" w:space="0" w:color="auto"/>
              <w:bottom w:val="single" w:sz="4" w:space="0" w:color="auto"/>
              <w:right w:val="single" w:sz="4" w:space="0" w:color="auto"/>
            </w:tcBorders>
            <w:shd w:val="clear" w:color="auto" w:fill="auto"/>
            <w:vAlign w:val="center"/>
          </w:tcPr>
          <w:p w:rsidR="00095E93" w:rsidRPr="00E2771E" w:rsidRDefault="00095E93" w:rsidP="00095E93">
            <w:pPr>
              <w:pStyle w:val="TableText"/>
              <w:jc w:val="center"/>
            </w:pPr>
            <w:r>
              <w:t>132/438</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095E93" w:rsidRPr="00003E6F" w:rsidRDefault="00095E93" w:rsidP="002D0BCC">
            <w:pPr>
              <w:pStyle w:val="TableText"/>
              <w:jc w:val="center"/>
              <w:rPr>
                <w:b/>
              </w:rPr>
            </w:pPr>
            <w:r w:rsidRPr="00003E6F">
              <w:rPr>
                <w:b/>
              </w:rPr>
              <w:t>1.31</w:t>
            </w:r>
            <w:r w:rsidR="002D0BCC">
              <w:rPr>
                <w:b/>
              </w:rPr>
              <w:br/>
            </w:r>
            <w:r w:rsidRPr="00003E6F">
              <w:rPr>
                <w:b/>
              </w:rPr>
              <w:t>(1.09,1.58)</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rsidR="00095E93" w:rsidRPr="00E2771E" w:rsidRDefault="00095E93" w:rsidP="00095E93">
            <w:pPr>
              <w:pStyle w:val="TableText"/>
              <w:jc w:val="center"/>
            </w:pPr>
            <w:r>
              <w:t>39.6</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rsidR="00095E93" w:rsidRPr="00E2771E" w:rsidRDefault="00095E93" w:rsidP="00095E93">
            <w:pPr>
              <w:pStyle w:val="TableText"/>
              <w:jc w:val="center"/>
            </w:pPr>
            <w:r>
              <w:t>30.1</w:t>
            </w:r>
          </w:p>
        </w:tc>
        <w:tc>
          <w:tcPr>
            <w:tcW w:w="604" w:type="pct"/>
            <w:tcBorders>
              <w:top w:val="single" w:sz="4" w:space="0" w:color="auto"/>
              <w:left w:val="single" w:sz="4" w:space="0" w:color="auto"/>
              <w:bottom w:val="single" w:sz="4" w:space="0" w:color="auto"/>
              <w:right w:val="single" w:sz="4" w:space="0" w:color="auto"/>
            </w:tcBorders>
            <w:shd w:val="clear" w:color="auto" w:fill="auto"/>
            <w:vAlign w:val="center"/>
          </w:tcPr>
          <w:p w:rsidR="00095E93" w:rsidRPr="00003E6F" w:rsidRDefault="00095E93" w:rsidP="002D0BCC">
            <w:pPr>
              <w:pStyle w:val="TableText"/>
              <w:jc w:val="center"/>
              <w:rPr>
                <w:b/>
              </w:rPr>
            </w:pPr>
            <w:r w:rsidRPr="00003E6F">
              <w:rPr>
                <w:b/>
              </w:rPr>
              <w:t>0.09</w:t>
            </w:r>
            <w:r w:rsidR="002D0BCC">
              <w:rPr>
                <w:b/>
              </w:rPr>
              <w:br/>
            </w:r>
            <w:r w:rsidRPr="00003E6F">
              <w:rPr>
                <w:b/>
              </w:rPr>
              <w:t>(0.03, 0.16)</w:t>
            </w:r>
          </w:p>
        </w:tc>
      </w:tr>
      <w:tr w:rsidR="002D0BCC" w:rsidRPr="00E2771E" w:rsidTr="002D0BCC">
        <w:tc>
          <w:tcPr>
            <w:tcW w:w="1092" w:type="pct"/>
            <w:tcBorders>
              <w:top w:val="single" w:sz="4" w:space="0" w:color="auto"/>
              <w:left w:val="single" w:sz="4" w:space="0" w:color="auto"/>
              <w:bottom w:val="single" w:sz="4" w:space="0" w:color="auto"/>
              <w:right w:val="single" w:sz="4" w:space="0" w:color="auto"/>
            </w:tcBorders>
            <w:shd w:val="clear" w:color="auto" w:fill="auto"/>
            <w:vAlign w:val="center"/>
          </w:tcPr>
          <w:p w:rsidR="00095E93" w:rsidRPr="00E2771E" w:rsidRDefault="002D0BCC" w:rsidP="00095E93">
            <w:pPr>
              <w:pStyle w:val="TableText"/>
            </w:pPr>
            <w:r>
              <w:t>Treatment-</w:t>
            </w:r>
            <w:r w:rsidR="00095E93">
              <w:t>related SAE</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rsidR="00095E93" w:rsidRPr="00E2771E" w:rsidRDefault="00095E93" w:rsidP="00095E93">
            <w:pPr>
              <w:pStyle w:val="TableText"/>
              <w:jc w:val="center"/>
            </w:pPr>
            <w:r>
              <w:t>56/452</w:t>
            </w:r>
          </w:p>
        </w:tc>
        <w:tc>
          <w:tcPr>
            <w:tcW w:w="706" w:type="pct"/>
            <w:tcBorders>
              <w:top w:val="single" w:sz="4" w:space="0" w:color="auto"/>
              <w:left w:val="single" w:sz="4" w:space="0" w:color="auto"/>
              <w:bottom w:val="single" w:sz="4" w:space="0" w:color="auto"/>
              <w:right w:val="single" w:sz="4" w:space="0" w:color="auto"/>
            </w:tcBorders>
            <w:shd w:val="clear" w:color="auto" w:fill="auto"/>
            <w:vAlign w:val="center"/>
          </w:tcPr>
          <w:p w:rsidR="00095E93" w:rsidRPr="00E2771E" w:rsidRDefault="00095E93" w:rsidP="00095E93">
            <w:pPr>
              <w:pStyle w:val="TableText"/>
              <w:jc w:val="center"/>
            </w:pPr>
            <w:r>
              <w:t>32/438</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095E93" w:rsidRPr="00003E6F" w:rsidRDefault="00095E93" w:rsidP="002D0BCC">
            <w:pPr>
              <w:pStyle w:val="TableText"/>
              <w:jc w:val="center"/>
              <w:rPr>
                <w:b/>
              </w:rPr>
            </w:pPr>
            <w:r w:rsidRPr="00003E6F">
              <w:rPr>
                <w:b/>
              </w:rPr>
              <w:t>1.70</w:t>
            </w:r>
            <w:r w:rsidR="002D0BCC">
              <w:rPr>
                <w:b/>
              </w:rPr>
              <w:br/>
            </w:r>
            <w:r w:rsidRPr="00003E6F">
              <w:rPr>
                <w:b/>
              </w:rPr>
              <w:t>(1.12, 2.57)</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rsidR="00095E93" w:rsidRPr="00E2771E" w:rsidRDefault="00095E93" w:rsidP="00095E93">
            <w:pPr>
              <w:pStyle w:val="TableText"/>
              <w:jc w:val="center"/>
            </w:pPr>
            <w:r>
              <w:t>12.4</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rsidR="00095E93" w:rsidRPr="00E2771E" w:rsidRDefault="00095E93" w:rsidP="00095E93">
            <w:pPr>
              <w:pStyle w:val="TableText"/>
              <w:jc w:val="center"/>
            </w:pPr>
            <w:r>
              <w:t>7.3</w:t>
            </w:r>
          </w:p>
        </w:tc>
        <w:tc>
          <w:tcPr>
            <w:tcW w:w="604" w:type="pct"/>
            <w:tcBorders>
              <w:top w:val="single" w:sz="4" w:space="0" w:color="auto"/>
              <w:left w:val="single" w:sz="4" w:space="0" w:color="auto"/>
              <w:bottom w:val="single" w:sz="4" w:space="0" w:color="auto"/>
              <w:right w:val="single" w:sz="4" w:space="0" w:color="auto"/>
            </w:tcBorders>
            <w:shd w:val="clear" w:color="auto" w:fill="auto"/>
            <w:vAlign w:val="center"/>
          </w:tcPr>
          <w:p w:rsidR="00095E93" w:rsidRPr="00003E6F" w:rsidRDefault="00095E93" w:rsidP="002D0BCC">
            <w:pPr>
              <w:pStyle w:val="TableText"/>
              <w:jc w:val="center"/>
              <w:rPr>
                <w:b/>
              </w:rPr>
            </w:pPr>
            <w:r w:rsidRPr="00003E6F">
              <w:rPr>
                <w:b/>
              </w:rPr>
              <w:t>0.05</w:t>
            </w:r>
            <w:r w:rsidR="002D0BCC">
              <w:rPr>
                <w:b/>
              </w:rPr>
              <w:br/>
            </w:r>
            <w:r w:rsidRPr="00003E6F">
              <w:rPr>
                <w:b/>
              </w:rPr>
              <w:t>(0.01, 0.09)</w:t>
            </w:r>
          </w:p>
        </w:tc>
      </w:tr>
      <w:tr w:rsidR="002D0BCC" w:rsidRPr="00E2771E" w:rsidTr="002D0BCC">
        <w:tc>
          <w:tcPr>
            <w:tcW w:w="1092" w:type="pct"/>
            <w:tcBorders>
              <w:top w:val="single" w:sz="4" w:space="0" w:color="auto"/>
              <w:left w:val="single" w:sz="4" w:space="0" w:color="auto"/>
              <w:bottom w:val="single" w:sz="4" w:space="0" w:color="auto"/>
              <w:right w:val="single" w:sz="4" w:space="0" w:color="auto"/>
            </w:tcBorders>
            <w:shd w:val="clear" w:color="auto" w:fill="auto"/>
            <w:vAlign w:val="center"/>
          </w:tcPr>
          <w:p w:rsidR="00095E93" w:rsidRPr="00E2771E" w:rsidRDefault="00095E93" w:rsidP="00095E93">
            <w:pPr>
              <w:pStyle w:val="TableText"/>
            </w:pPr>
            <w:r>
              <w:t>AEs leading to treatment discontinuation</w:t>
            </w:r>
          </w:p>
        </w:tc>
        <w:tc>
          <w:tcPr>
            <w:tcW w:w="708" w:type="pct"/>
            <w:tcBorders>
              <w:top w:val="single" w:sz="4" w:space="0" w:color="auto"/>
              <w:left w:val="single" w:sz="4" w:space="0" w:color="auto"/>
              <w:bottom w:val="single" w:sz="4" w:space="0" w:color="auto"/>
              <w:right w:val="single" w:sz="4" w:space="0" w:color="auto"/>
            </w:tcBorders>
            <w:vAlign w:val="center"/>
          </w:tcPr>
          <w:p w:rsidR="00095E93" w:rsidRPr="00E2771E" w:rsidRDefault="00095E93" w:rsidP="00095E93">
            <w:pPr>
              <w:pStyle w:val="TableText"/>
              <w:jc w:val="center"/>
            </w:pPr>
            <w:r>
              <w:t>139/452</w:t>
            </w:r>
          </w:p>
        </w:tc>
        <w:tc>
          <w:tcPr>
            <w:tcW w:w="706" w:type="pct"/>
            <w:tcBorders>
              <w:top w:val="single" w:sz="4" w:space="0" w:color="auto"/>
              <w:left w:val="single" w:sz="4" w:space="0" w:color="auto"/>
              <w:bottom w:val="single" w:sz="4" w:space="0" w:color="auto"/>
              <w:right w:val="single" w:sz="4" w:space="0" w:color="auto"/>
            </w:tcBorders>
            <w:vAlign w:val="center"/>
          </w:tcPr>
          <w:p w:rsidR="00095E93" w:rsidRPr="00E2771E" w:rsidRDefault="00095E93" w:rsidP="00095E93">
            <w:pPr>
              <w:pStyle w:val="TableText"/>
              <w:jc w:val="center"/>
            </w:pPr>
            <w:r>
              <w:t>103/438</w:t>
            </w:r>
          </w:p>
        </w:tc>
        <w:tc>
          <w:tcPr>
            <w:tcW w:w="629" w:type="pct"/>
            <w:tcBorders>
              <w:top w:val="single" w:sz="4" w:space="0" w:color="auto"/>
              <w:left w:val="single" w:sz="4" w:space="0" w:color="auto"/>
              <w:bottom w:val="single" w:sz="4" w:space="0" w:color="auto"/>
              <w:right w:val="single" w:sz="4" w:space="0" w:color="auto"/>
            </w:tcBorders>
            <w:vAlign w:val="center"/>
          </w:tcPr>
          <w:p w:rsidR="00095E93" w:rsidRPr="00003E6F" w:rsidRDefault="00095E93" w:rsidP="002D0BCC">
            <w:pPr>
              <w:pStyle w:val="TableText"/>
              <w:jc w:val="center"/>
              <w:rPr>
                <w:b/>
              </w:rPr>
            </w:pPr>
            <w:r w:rsidRPr="00003E6F">
              <w:rPr>
                <w:b/>
              </w:rPr>
              <w:t>1.31</w:t>
            </w:r>
            <w:r w:rsidR="002D0BCC">
              <w:rPr>
                <w:b/>
              </w:rPr>
              <w:br/>
            </w:r>
            <w:r w:rsidRPr="00003E6F">
              <w:rPr>
                <w:b/>
              </w:rPr>
              <w:t>(1.05, 1.63)</w:t>
            </w:r>
          </w:p>
        </w:tc>
        <w:tc>
          <w:tcPr>
            <w:tcW w:w="630" w:type="pct"/>
            <w:tcBorders>
              <w:top w:val="single" w:sz="4" w:space="0" w:color="auto"/>
              <w:left w:val="single" w:sz="4" w:space="0" w:color="auto"/>
              <w:bottom w:val="single" w:sz="4" w:space="0" w:color="auto"/>
              <w:right w:val="single" w:sz="4" w:space="0" w:color="auto"/>
            </w:tcBorders>
            <w:vAlign w:val="center"/>
          </w:tcPr>
          <w:p w:rsidR="00095E93" w:rsidRPr="00E2771E" w:rsidRDefault="00095E93" w:rsidP="00095E93">
            <w:pPr>
              <w:pStyle w:val="TableText"/>
              <w:jc w:val="center"/>
            </w:pPr>
            <w:r>
              <w:t>30.8</w:t>
            </w:r>
          </w:p>
        </w:tc>
        <w:tc>
          <w:tcPr>
            <w:tcW w:w="630" w:type="pct"/>
            <w:tcBorders>
              <w:top w:val="single" w:sz="4" w:space="0" w:color="auto"/>
              <w:left w:val="single" w:sz="4" w:space="0" w:color="auto"/>
              <w:bottom w:val="single" w:sz="4" w:space="0" w:color="auto"/>
              <w:right w:val="single" w:sz="4" w:space="0" w:color="auto"/>
            </w:tcBorders>
            <w:vAlign w:val="center"/>
          </w:tcPr>
          <w:p w:rsidR="00095E93" w:rsidRPr="00E2771E" w:rsidRDefault="00095E93" w:rsidP="00095E93">
            <w:pPr>
              <w:pStyle w:val="TableText"/>
              <w:jc w:val="center"/>
            </w:pPr>
            <w:r>
              <w:t>23.5</w:t>
            </w:r>
          </w:p>
        </w:tc>
        <w:tc>
          <w:tcPr>
            <w:tcW w:w="604" w:type="pct"/>
            <w:tcBorders>
              <w:top w:val="single" w:sz="4" w:space="0" w:color="auto"/>
              <w:left w:val="single" w:sz="4" w:space="0" w:color="auto"/>
              <w:bottom w:val="single" w:sz="4" w:space="0" w:color="auto"/>
              <w:right w:val="single" w:sz="4" w:space="0" w:color="auto"/>
            </w:tcBorders>
            <w:vAlign w:val="center"/>
          </w:tcPr>
          <w:p w:rsidR="00095E93" w:rsidRPr="00003E6F" w:rsidRDefault="00095E93" w:rsidP="002D0BCC">
            <w:pPr>
              <w:pStyle w:val="TableText"/>
              <w:jc w:val="center"/>
              <w:rPr>
                <w:b/>
              </w:rPr>
            </w:pPr>
            <w:r w:rsidRPr="00003E6F">
              <w:rPr>
                <w:b/>
              </w:rPr>
              <w:t>0.07</w:t>
            </w:r>
            <w:r w:rsidR="002D0BCC">
              <w:rPr>
                <w:b/>
              </w:rPr>
              <w:br/>
            </w:r>
            <w:r w:rsidRPr="00003E6F">
              <w:rPr>
                <w:b/>
              </w:rPr>
              <w:t>(0.01, 0.13)</w:t>
            </w:r>
          </w:p>
        </w:tc>
      </w:tr>
    </w:tbl>
    <w:p w:rsidR="001B15C6" w:rsidRPr="00D71F99" w:rsidRDefault="001B15C6" w:rsidP="001B15C6">
      <w:pPr>
        <w:pStyle w:val="TableFooter"/>
      </w:pPr>
      <w:r w:rsidRPr="00D71F99">
        <w:rPr>
          <w:vertAlign w:val="superscript"/>
        </w:rPr>
        <w:t>a</w:t>
      </w:r>
      <w:r w:rsidRPr="00D71F99">
        <w:t xml:space="preserve"> Two-year duration not provided by the CSR or submission.</w:t>
      </w:r>
    </w:p>
    <w:p w:rsidR="001B15C6" w:rsidRDefault="001B15C6" w:rsidP="001B15C6">
      <w:pPr>
        <w:pStyle w:val="TableFooter"/>
      </w:pPr>
      <w:r w:rsidRPr="00D71F99">
        <w:rPr>
          <w:vertAlign w:val="superscript"/>
        </w:rPr>
        <w:t>b</w:t>
      </w:r>
      <w:r w:rsidRPr="00D71F99">
        <w:t xml:space="preserve"> One-year duration not provided by the CSR or submission.</w:t>
      </w:r>
    </w:p>
    <w:p w:rsidR="001B15C6" w:rsidRDefault="001B15C6" w:rsidP="001B15C6">
      <w:pPr>
        <w:pStyle w:val="TableFooter"/>
        <w:rPr>
          <w:rFonts w:eastAsia="Calibri"/>
        </w:rPr>
      </w:pPr>
      <w:r>
        <w:rPr>
          <w:vertAlign w:val="superscript"/>
        </w:rPr>
        <w:t>c</w:t>
      </w:r>
      <w:r>
        <w:t xml:space="preserve"> No formal </w:t>
      </w:r>
      <w:r w:rsidRPr="00BA2D81">
        <w:rPr>
          <w:rFonts w:eastAsia="Calibri"/>
        </w:rPr>
        <w:t xml:space="preserve">testing of OS was performed in the PD-L1-positive population because hierarchy </w:t>
      </w:r>
      <w:r>
        <w:rPr>
          <w:rFonts w:eastAsia="Calibri"/>
        </w:rPr>
        <w:t>design</w:t>
      </w:r>
      <w:r w:rsidRPr="00BA2D81">
        <w:rPr>
          <w:rFonts w:eastAsia="Calibri"/>
        </w:rPr>
        <w:t xml:space="preserve"> indicated formal testing could only occur if OS was first statistically significant in the ITT population</w:t>
      </w:r>
      <w:r>
        <w:rPr>
          <w:rFonts w:eastAsia="Calibri"/>
        </w:rPr>
        <w:t>, which it was not</w:t>
      </w:r>
      <w:r w:rsidRPr="00BA2D81">
        <w:rPr>
          <w:rFonts w:eastAsia="Calibri"/>
        </w:rPr>
        <w:t>.</w:t>
      </w:r>
    </w:p>
    <w:p w:rsidR="001B15C6" w:rsidRPr="00502FF1" w:rsidRDefault="001B15C6" w:rsidP="001B15C6">
      <w:pPr>
        <w:pStyle w:val="TableFooter"/>
        <w:rPr>
          <w:rFonts w:eastAsia="Calibri"/>
        </w:rPr>
      </w:pPr>
      <w:r>
        <w:rPr>
          <w:rFonts w:eastAsia="Calibri"/>
          <w:vertAlign w:val="superscript"/>
        </w:rPr>
        <w:lastRenderedPageBreak/>
        <w:t>d</w:t>
      </w:r>
      <w:r w:rsidR="00FD3B05">
        <w:rPr>
          <w:rFonts w:eastAsia="Calibri"/>
        </w:rPr>
        <w:t xml:space="preserve"> </w:t>
      </w:r>
      <w:r>
        <w:rPr>
          <w:rFonts w:eastAsia="Calibri"/>
        </w:rPr>
        <w:t>D</w:t>
      </w:r>
      <w:r w:rsidR="00FD3B05">
        <w:rPr>
          <w:rFonts w:eastAsia="Calibri"/>
        </w:rPr>
        <w:t>ata cut-off</w:t>
      </w:r>
      <w:r>
        <w:rPr>
          <w:rFonts w:eastAsia="Calibri"/>
        </w:rPr>
        <w:t>: 2 January 2019</w:t>
      </w:r>
    </w:p>
    <w:p w:rsidR="001B15C6" w:rsidRPr="00417E3F" w:rsidRDefault="001B15C6" w:rsidP="001B15C6">
      <w:pPr>
        <w:pStyle w:val="TableFooter"/>
        <w:rPr>
          <w:b/>
        </w:rPr>
      </w:pPr>
      <w:r w:rsidRPr="00417E3F">
        <w:rPr>
          <w:b/>
        </w:rPr>
        <w:t xml:space="preserve">Statistically significant relative risks </w:t>
      </w:r>
      <w:r w:rsidR="00003E6F">
        <w:rPr>
          <w:b/>
        </w:rPr>
        <w:t xml:space="preserve">and risk differences </w:t>
      </w:r>
      <w:r w:rsidRPr="00417E3F">
        <w:rPr>
          <w:b/>
        </w:rPr>
        <w:t>are bolded.</w:t>
      </w:r>
    </w:p>
    <w:p w:rsidR="001B15C6" w:rsidRDefault="001B15C6" w:rsidP="001B15C6">
      <w:pPr>
        <w:pStyle w:val="TableFooter"/>
      </w:pPr>
      <w:r>
        <w:t>ATZ = atezolizumab;</w:t>
      </w:r>
      <w:r w:rsidR="000F399E">
        <w:t xml:space="preserve"> </w:t>
      </w:r>
      <w:r>
        <w:t xml:space="preserve">ITT = intention-to-treat; nab-P = </w:t>
      </w:r>
      <w:r w:rsidRPr="00500B6B">
        <w:t>nanoparticle albumin–bound paclitaxel</w:t>
      </w:r>
      <w:r>
        <w:t xml:space="preserve">; OS = overall survival; </w:t>
      </w:r>
      <w:r w:rsidRPr="00962538">
        <w:t xml:space="preserve">PBO = placebo; </w:t>
      </w:r>
      <w:r>
        <w:t>PD-L1 = programmed death ligand-1;</w:t>
      </w:r>
      <w:r w:rsidRPr="001B15C6">
        <w:t xml:space="preserve"> </w:t>
      </w:r>
      <w:r>
        <w:t xml:space="preserve">PFS = progression free survival; </w:t>
      </w:r>
      <w:r w:rsidRPr="00962538">
        <w:t xml:space="preserve">RD = </w:t>
      </w:r>
      <w:r w:rsidR="000F399E">
        <w:t>risk difference; RR = risk ratio</w:t>
      </w:r>
      <w:r>
        <w:t>.</w:t>
      </w:r>
    </w:p>
    <w:p w:rsidR="00095E93" w:rsidRDefault="00095E93" w:rsidP="00095E93">
      <w:pPr>
        <w:pStyle w:val="TableFooter"/>
      </w:pPr>
      <w:r w:rsidRPr="00962538">
        <w:t>Source:</w:t>
      </w:r>
      <w:r w:rsidRPr="00500B6B">
        <w:rPr>
          <w:rFonts w:eastAsia="MS Mincho"/>
        </w:rPr>
        <w:t xml:space="preserve"> </w:t>
      </w:r>
      <w:r>
        <w:t xml:space="preserve">Tables 2.5.1-2.5.4, pp80-85 and </w:t>
      </w:r>
      <w:r w:rsidRPr="00675701">
        <w:rPr>
          <w:rFonts w:eastAsia="MS Mincho"/>
        </w:rPr>
        <w:t xml:space="preserve">Table 2.5.12, p 101 and Table 2.5.13, p 102 of the </w:t>
      </w:r>
      <w:r w:rsidR="008D006C">
        <w:rPr>
          <w:rFonts w:eastAsia="MS Mincho"/>
        </w:rPr>
        <w:t>s</w:t>
      </w:r>
      <w:r w:rsidRPr="009B24FF">
        <w:rPr>
          <w:rFonts w:eastAsia="MS Mincho"/>
        </w:rPr>
        <w:t>ubmission</w:t>
      </w:r>
      <w:r w:rsidR="00FD3B05">
        <w:rPr>
          <w:rFonts w:eastAsia="MS Mincho"/>
        </w:rPr>
        <w:t>.</w:t>
      </w:r>
    </w:p>
    <w:p w:rsidR="00095E93" w:rsidRDefault="00095E93" w:rsidP="00095E93">
      <w:pPr>
        <w:pStyle w:val="ListParagraph"/>
        <w:numPr>
          <w:ilvl w:val="4"/>
          <w:numId w:val="1"/>
        </w:numPr>
      </w:pPr>
      <w:r>
        <w:t>On the basis of direct IMpassion130 trial presented in the submission, for every 100 patients treated with ATZ+nab-P in comparison with nab-P</w:t>
      </w:r>
      <w:r w:rsidR="00666CF6">
        <w:t>:</w:t>
      </w:r>
    </w:p>
    <w:p w:rsidR="0010224E" w:rsidRPr="006D388C" w:rsidRDefault="0010224E" w:rsidP="00AD645F">
      <w:pPr>
        <w:pStyle w:val="ListParagraph"/>
        <w:numPr>
          <w:ilvl w:val="0"/>
          <w:numId w:val="20"/>
        </w:numPr>
        <w:tabs>
          <w:tab w:val="left" w:pos="1078"/>
        </w:tabs>
        <w:ind w:left="1092" w:hanging="392"/>
      </w:pPr>
      <w:r w:rsidRPr="006D388C">
        <w:t>In the unselected ITT population</w:t>
      </w:r>
      <w:r w:rsidR="00095E93" w:rsidRPr="006D388C">
        <w:t xml:space="preserve"> treated with ATZ+nab-P: </w:t>
      </w:r>
      <w:r w:rsidR="00877570">
        <w:t>at 12 months</w:t>
      </w:r>
      <w:r w:rsidR="007A30CA">
        <w:t>,</w:t>
      </w:r>
      <w:r w:rsidR="00877570">
        <w:t xml:space="preserve"> </w:t>
      </w:r>
      <w:r w:rsidR="00095E93" w:rsidRPr="006D388C">
        <w:t>approximately 6</w:t>
      </w:r>
      <w:r w:rsidR="006914AB">
        <w:t xml:space="preserve"> additional</w:t>
      </w:r>
      <w:r w:rsidR="00095E93" w:rsidRPr="006D388C">
        <w:t xml:space="preserve"> </w:t>
      </w:r>
      <w:r w:rsidR="007A30CA">
        <w:t xml:space="preserve">patients </w:t>
      </w:r>
      <w:r w:rsidR="00095E93" w:rsidRPr="006D388C">
        <w:t>would remain progression-free</w:t>
      </w:r>
      <w:r w:rsidR="007A30CA">
        <w:t>.</w:t>
      </w:r>
      <w:r w:rsidR="007A30CA" w:rsidRPr="008F6F21">
        <w:t xml:space="preserve"> The median increase in PFS would be 1.7 months,</w:t>
      </w:r>
      <w:r w:rsidR="007A30CA">
        <w:t xml:space="preserve"> and </w:t>
      </w:r>
      <w:r w:rsidRPr="006D388C">
        <w:t xml:space="preserve">there is no </w:t>
      </w:r>
      <w:r w:rsidR="007A30CA">
        <w:t xml:space="preserve">statistically </w:t>
      </w:r>
      <w:r w:rsidRPr="006D388C">
        <w:t>significant benefit in OS.</w:t>
      </w:r>
    </w:p>
    <w:p w:rsidR="00095E93" w:rsidRPr="006D388C" w:rsidRDefault="00922D70" w:rsidP="00AD645F">
      <w:pPr>
        <w:pStyle w:val="ListParagraph"/>
        <w:numPr>
          <w:ilvl w:val="0"/>
          <w:numId w:val="20"/>
        </w:numPr>
        <w:tabs>
          <w:tab w:val="left" w:pos="1078"/>
        </w:tabs>
        <w:ind w:left="1092" w:hanging="392"/>
      </w:pPr>
      <w:r>
        <w:t xml:space="preserve">In </w:t>
      </w:r>
      <w:r w:rsidR="00095E93" w:rsidRPr="006D388C">
        <w:t xml:space="preserve">PD-L1-positive patients treated with ATZ+nab-P: </w:t>
      </w:r>
      <w:r w:rsidR="007A30CA">
        <w:t xml:space="preserve">at 12 months, </w:t>
      </w:r>
      <w:r w:rsidR="00095E93" w:rsidRPr="006D388C">
        <w:t>approximately 13 additional patients will remain progression-free</w:t>
      </w:r>
      <w:r w:rsidR="007A30CA">
        <w:t xml:space="preserve">. </w:t>
      </w:r>
      <w:r w:rsidR="007A30CA" w:rsidRPr="008F6F21">
        <w:t>The median increase in PFS would be 2.2 months, and</w:t>
      </w:r>
      <w:r w:rsidR="00CB07C5" w:rsidRPr="008F6F21">
        <w:t xml:space="preserve"> </w:t>
      </w:r>
      <w:r w:rsidR="004237B0">
        <w:t>it was not appropriate to conduct a formal statistical test for OS</w:t>
      </w:r>
      <w:r w:rsidR="00CB07C5" w:rsidRPr="008F6F21">
        <w:t>.</w:t>
      </w:r>
    </w:p>
    <w:p w:rsidR="008435A1" w:rsidRPr="006D388C" w:rsidRDefault="0088268E" w:rsidP="00AD645F">
      <w:pPr>
        <w:pStyle w:val="ListParagraph"/>
        <w:numPr>
          <w:ilvl w:val="0"/>
          <w:numId w:val="20"/>
        </w:numPr>
        <w:tabs>
          <w:tab w:val="left" w:pos="1078"/>
        </w:tabs>
        <w:ind w:left="1092" w:hanging="392"/>
      </w:pPr>
      <w:r w:rsidRPr="006D388C">
        <w:t xml:space="preserve">Adverse events experienced by </w:t>
      </w:r>
      <w:r w:rsidR="00147174" w:rsidRPr="006D388C">
        <w:t>PD-L1-positive patients treated with ATZ+nab-P</w:t>
      </w:r>
      <w:r w:rsidR="00F64FC1" w:rsidRPr="006D388C">
        <w:t xml:space="preserve"> over </w:t>
      </w:r>
      <w:r w:rsidR="00C96DCD" w:rsidRPr="006D388C">
        <w:t>the median duration of treatment of 22 weeks</w:t>
      </w:r>
      <w:r w:rsidR="00147174" w:rsidRPr="006D388C">
        <w:t>:</w:t>
      </w:r>
    </w:p>
    <w:p w:rsidR="008435A1" w:rsidRPr="006D388C" w:rsidRDefault="00863AFB" w:rsidP="00EF5451">
      <w:pPr>
        <w:pStyle w:val="ListParagraph"/>
        <w:numPr>
          <w:ilvl w:val="1"/>
          <w:numId w:val="45"/>
        </w:numPr>
        <w:tabs>
          <w:tab w:val="left" w:pos="1078"/>
        </w:tabs>
        <w:ind w:left="1434" w:hanging="357"/>
      </w:pPr>
      <w:r w:rsidRPr="006D388C">
        <w:t xml:space="preserve">9 </w:t>
      </w:r>
      <w:r w:rsidR="00147174" w:rsidRPr="006D388C">
        <w:t xml:space="preserve">additional </w:t>
      </w:r>
      <w:r w:rsidRPr="006D388C">
        <w:t xml:space="preserve">patients will experience </w:t>
      </w:r>
      <w:r w:rsidR="00147174" w:rsidRPr="006D388C">
        <w:t xml:space="preserve">a </w:t>
      </w:r>
      <w:r w:rsidR="006914AB">
        <w:t>treatment</w:t>
      </w:r>
      <w:r w:rsidR="00922D70">
        <w:t>-</w:t>
      </w:r>
      <w:r w:rsidR="006914AB">
        <w:t xml:space="preserve">related </w:t>
      </w:r>
      <w:r w:rsidR="00922D70" w:rsidRPr="006D388C">
        <w:t>G</w:t>
      </w:r>
      <w:r w:rsidR="00147174" w:rsidRPr="006D388C">
        <w:t>rade 3-4 AE</w:t>
      </w:r>
    </w:p>
    <w:p w:rsidR="00823150" w:rsidRPr="006D388C" w:rsidRDefault="00147174" w:rsidP="00EF5451">
      <w:pPr>
        <w:pStyle w:val="ListParagraph"/>
        <w:numPr>
          <w:ilvl w:val="1"/>
          <w:numId w:val="45"/>
        </w:numPr>
        <w:tabs>
          <w:tab w:val="left" w:pos="1078"/>
        </w:tabs>
        <w:ind w:left="1434" w:hanging="357"/>
      </w:pPr>
      <w:r w:rsidRPr="006D388C">
        <w:t>5 additional patients will exp</w:t>
      </w:r>
      <w:r w:rsidR="00922D70">
        <w:t>erience a treatment-</w:t>
      </w:r>
      <w:r w:rsidR="00666CF6">
        <w:t>related SAE</w:t>
      </w:r>
    </w:p>
    <w:p w:rsidR="00863AFB" w:rsidRPr="006D388C" w:rsidRDefault="00147174" w:rsidP="00EF5451">
      <w:pPr>
        <w:pStyle w:val="ListParagraph"/>
        <w:numPr>
          <w:ilvl w:val="1"/>
          <w:numId w:val="45"/>
        </w:numPr>
        <w:tabs>
          <w:tab w:val="left" w:pos="1078"/>
        </w:tabs>
        <w:ind w:left="1434" w:hanging="357"/>
      </w:pPr>
      <w:r w:rsidRPr="006D388C">
        <w:t>7 additional patients will experience an AE leading to treatment discontinuation.</w:t>
      </w:r>
    </w:p>
    <w:p w:rsidR="00095E93" w:rsidRPr="00A54259" w:rsidRDefault="00983112" w:rsidP="00434533">
      <w:pPr>
        <w:pStyle w:val="PBACESHeading2"/>
      </w:pPr>
      <w:bookmarkStart w:id="29" w:name="_Toc30411835"/>
      <w:r w:rsidRPr="00A54259">
        <w:t>Clinical claim</w:t>
      </w:r>
      <w:bookmarkEnd w:id="29"/>
    </w:p>
    <w:p w:rsidR="00095E93" w:rsidRDefault="00095E93" w:rsidP="00095E93">
      <w:pPr>
        <w:pStyle w:val="ListParagraph"/>
        <w:numPr>
          <w:ilvl w:val="4"/>
          <w:numId w:val="1"/>
        </w:numPr>
        <w:rPr>
          <w:color w:val="auto"/>
        </w:rPr>
      </w:pPr>
      <w:r w:rsidRPr="003E3652">
        <w:rPr>
          <w:color w:val="auto"/>
        </w:rPr>
        <w:t>The submission described ATZ+nab-P as superior in terms of effectiveness compared with nab-P alone in the first-line treatment of patients with unresectable locally advanced</w:t>
      </w:r>
      <w:r w:rsidR="00D93058">
        <w:rPr>
          <w:color w:val="auto"/>
        </w:rPr>
        <w:t xml:space="preserve"> or</w:t>
      </w:r>
      <w:r w:rsidRPr="003E3652">
        <w:rPr>
          <w:color w:val="auto"/>
        </w:rPr>
        <w:t xml:space="preserve"> m</w:t>
      </w:r>
      <w:r w:rsidR="00EE0A1F">
        <w:rPr>
          <w:color w:val="auto"/>
        </w:rPr>
        <w:t xml:space="preserve">etastatic </w:t>
      </w:r>
      <w:r w:rsidRPr="003E3652">
        <w:rPr>
          <w:color w:val="auto"/>
        </w:rPr>
        <w:t>TNBC whose tumours are PD-L1-positive (PD-L1 stained IC covering ≥1% of the tumour area), and inferior but clinically manageable in terms of safety co</w:t>
      </w:r>
      <w:r w:rsidR="001341BF">
        <w:rPr>
          <w:color w:val="auto"/>
        </w:rPr>
        <w:t>mpared to nab-paclitaxel alone.</w:t>
      </w:r>
    </w:p>
    <w:p w:rsidR="00095E93" w:rsidRPr="006D388C" w:rsidRDefault="00095E93" w:rsidP="00095E93">
      <w:pPr>
        <w:pStyle w:val="ListParagraph"/>
        <w:numPr>
          <w:ilvl w:val="4"/>
          <w:numId w:val="1"/>
        </w:numPr>
        <w:rPr>
          <w:color w:val="auto"/>
        </w:rPr>
      </w:pPr>
      <w:r w:rsidRPr="006D388C">
        <w:rPr>
          <w:color w:val="auto"/>
        </w:rPr>
        <w:t xml:space="preserve">The </w:t>
      </w:r>
      <w:r w:rsidR="000C401F" w:rsidRPr="008F6F21">
        <w:rPr>
          <w:color w:val="auto"/>
        </w:rPr>
        <w:t>ESCs agreed with the commentary that the</w:t>
      </w:r>
      <w:r w:rsidR="000C401F">
        <w:rPr>
          <w:color w:val="auto"/>
        </w:rPr>
        <w:t xml:space="preserve"> </w:t>
      </w:r>
      <w:r w:rsidRPr="006D388C">
        <w:rPr>
          <w:color w:val="auto"/>
        </w:rPr>
        <w:t xml:space="preserve">therapeutic conclusion presented in the submission </w:t>
      </w:r>
      <w:r w:rsidR="000C401F">
        <w:rPr>
          <w:color w:val="auto"/>
        </w:rPr>
        <w:t>wa</w:t>
      </w:r>
      <w:r w:rsidRPr="006D388C">
        <w:rPr>
          <w:color w:val="auto"/>
        </w:rPr>
        <w:t>s not adequately supported by the evidence presented. Whilst statistical significance was demonstrated favouring ATZ+nab-P for PFS in both the ITT and PD-L1-positive subgroup</w:t>
      </w:r>
      <w:r w:rsidRPr="000C401F">
        <w:rPr>
          <w:i/>
          <w:color w:val="auto"/>
        </w:rPr>
        <w:t xml:space="preserve">, </w:t>
      </w:r>
      <w:r w:rsidR="000C401F" w:rsidRPr="008F6F21">
        <w:rPr>
          <w:color w:val="auto"/>
        </w:rPr>
        <w:t xml:space="preserve">the benefit was small and may not be clinically meaningful. </w:t>
      </w:r>
      <w:r w:rsidR="000C401F">
        <w:rPr>
          <w:color w:val="auto"/>
        </w:rPr>
        <w:t>T</w:t>
      </w:r>
      <w:r w:rsidRPr="006D388C">
        <w:rPr>
          <w:color w:val="auto"/>
        </w:rPr>
        <w:t>here was no statistical</w:t>
      </w:r>
      <w:r w:rsidR="006914AB">
        <w:rPr>
          <w:color w:val="auto"/>
        </w:rPr>
        <w:t>ly</w:t>
      </w:r>
      <w:r w:rsidRPr="006D388C">
        <w:rPr>
          <w:color w:val="auto"/>
        </w:rPr>
        <w:t xml:space="preserve"> significant difference in </w:t>
      </w:r>
      <w:r w:rsidRPr="005D613D">
        <w:rPr>
          <w:color w:val="auto"/>
        </w:rPr>
        <w:t xml:space="preserve">OS in the ITT population and </w:t>
      </w:r>
      <w:r w:rsidR="006914AB">
        <w:rPr>
          <w:color w:val="auto"/>
        </w:rPr>
        <w:t xml:space="preserve">it was not </w:t>
      </w:r>
      <w:r w:rsidR="00922D70">
        <w:rPr>
          <w:color w:val="auto"/>
        </w:rPr>
        <w:t>appropriate</w:t>
      </w:r>
      <w:r w:rsidR="006914AB">
        <w:rPr>
          <w:color w:val="auto"/>
        </w:rPr>
        <w:t xml:space="preserve"> to conduct a </w:t>
      </w:r>
      <w:r w:rsidRPr="005D613D">
        <w:rPr>
          <w:color w:val="auto"/>
        </w:rPr>
        <w:t>formal statistical test for OS in the PD-L1</w:t>
      </w:r>
      <w:r w:rsidR="00666CF6">
        <w:rPr>
          <w:color w:val="auto"/>
        </w:rPr>
        <w:t>-</w:t>
      </w:r>
      <w:r w:rsidRPr="005D613D">
        <w:rPr>
          <w:color w:val="auto"/>
        </w:rPr>
        <w:t xml:space="preserve">positive </w:t>
      </w:r>
      <w:r w:rsidR="006914AB">
        <w:rPr>
          <w:color w:val="auto"/>
        </w:rPr>
        <w:t>subgroup</w:t>
      </w:r>
      <w:r w:rsidR="001341BF" w:rsidRPr="005D613D">
        <w:rPr>
          <w:color w:val="auto"/>
        </w:rPr>
        <w:t>.</w:t>
      </w:r>
    </w:p>
    <w:p w:rsidR="00095E93" w:rsidRDefault="00C37D05" w:rsidP="00A92DFD">
      <w:pPr>
        <w:pStyle w:val="ListParagraph"/>
      </w:pPr>
      <w:r w:rsidRPr="006D388C">
        <w:t xml:space="preserve">The key trial also enrolled a </w:t>
      </w:r>
      <w:r w:rsidR="006914AB">
        <w:t xml:space="preserve">relatively </w:t>
      </w:r>
      <w:r w:rsidRPr="006D388C">
        <w:t>high proportion of pa</w:t>
      </w:r>
      <w:r w:rsidR="00B3059C" w:rsidRPr="006D388C">
        <w:t xml:space="preserve">tients with chemotherapy-naïve </w:t>
      </w:r>
      <w:r w:rsidRPr="006D388C">
        <w:t>TNBC (</w:t>
      </w:r>
      <w:r w:rsidR="00A41EB0" w:rsidRPr="006D388C">
        <w:t>37</w:t>
      </w:r>
      <w:r w:rsidRPr="006D388C">
        <w:t xml:space="preserve">% of the ITT), </w:t>
      </w:r>
      <w:r w:rsidR="000C401F">
        <w:t>who</w:t>
      </w:r>
      <w:r w:rsidR="000C401F" w:rsidRPr="006D388C">
        <w:t xml:space="preserve"> </w:t>
      </w:r>
      <w:r w:rsidRPr="006D388C">
        <w:t xml:space="preserve">may be more likely to respond to chemo/immunotherapy compared to patients who have had previous chemotherapy </w:t>
      </w:r>
      <w:r w:rsidRPr="006D388C">
        <w:lastRenderedPageBreak/>
        <w:t xml:space="preserve">exposure. </w:t>
      </w:r>
      <w:r w:rsidR="00095E93" w:rsidRPr="006D388C">
        <w:t xml:space="preserve">In addition, </w:t>
      </w:r>
      <w:r w:rsidR="00DF4E2D" w:rsidRPr="006D388C">
        <w:t>as few as</w:t>
      </w:r>
      <w:r w:rsidR="00095E93" w:rsidRPr="006D388C">
        <w:t xml:space="preserve"> 10.2% of the ITT </w:t>
      </w:r>
      <w:r w:rsidR="000C401F">
        <w:t xml:space="preserve">population </w:t>
      </w:r>
      <w:r w:rsidR="00417E3F" w:rsidRPr="006D388C">
        <w:t xml:space="preserve">in the key trial </w:t>
      </w:r>
      <w:r w:rsidR="00095E93" w:rsidRPr="006D388C">
        <w:t xml:space="preserve">may have received an </w:t>
      </w:r>
      <w:r w:rsidR="00F12BE9" w:rsidRPr="006D388C">
        <w:t>optimal</w:t>
      </w:r>
      <w:r w:rsidR="00095E93" w:rsidRPr="006D388C">
        <w:t xml:space="preserve"> comparator (taxane-naïve, anthracycline-pretreated patients).</w:t>
      </w:r>
      <w:r w:rsidRPr="006D388C">
        <w:t xml:space="preserve"> </w:t>
      </w:r>
      <w:r w:rsidR="00457EBD" w:rsidRPr="006D388C">
        <w:t>The majority of the target Australian population will</w:t>
      </w:r>
      <w:r w:rsidRPr="006D388C">
        <w:t xml:space="preserve"> have</w:t>
      </w:r>
      <w:r w:rsidR="00457EBD" w:rsidRPr="006D388C">
        <w:t xml:space="preserve"> receive</w:t>
      </w:r>
      <w:r w:rsidRPr="006D388C">
        <w:t>d</w:t>
      </w:r>
      <w:r w:rsidR="00457EBD" w:rsidRPr="006D388C">
        <w:t xml:space="preserve"> prior taxane- and anthracycline-based (neo)adjuvant chemotherapy</w:t>
      </w:r>
      <w:r w:rsidR="00417E3F" w:rsidRPr="006D388C">
        <w:t xml:space="preserve"> for which there is some uncertainty as to whether ATZ+nab-P is clinically beneficial</w:t>
      </w:r>
      <w:r w:rsidR="005924F2" w:rsidRPr="008F6F21">
        <w:t>.</w:t>
      </w:r>
      <w:r w:rsidR="00380E28" w:rsidRPr="008F6F21">
        <w:t xml:space="preserve"> The ESCs considered that the I</w:t>
      </w:r>
      <w:r w:rsidR="00BE47FB" w:rsidRPr="008F6F21">
        <w:t>M</w:t>
      </w:r>
      <w:r w:rsidR="00380E28" w:rsidRPr="008F6F21">
        <w:t xml:space="preserve">passion130 trial had internal validity concerns (including the protocol amendment to </w:t>
      </w:r>
      <w:r w:rsidR="002D6313">
        <w:t xml:space="preserve">the </w:t>
      </w:r>
      <w:r w:rsidR="00380E28" w:rsidRPr="008F6F21">
        <w:t>time</w:t>
      </w:r>
      <w:r w:rsidR="006914AB">
        <w:t xml:space="preserve"> be</w:t>
      </w:r>
      <w:r w:rsidR="002D6313">
        <w:t>tween withholding treatment and discontinuation</w:t>
      </w:r>
      <w:r w:rsidR="00380E28" w:rsidRPr="008F6F21">
        <w:t>) and substantial external validity concerns (including the use of a comparator that was not standard clinical practice</w:t>
      </w:r>
      <w:r w:rsidR="00A92DFD" w:rsidRPr="008F6F21">
        <w:t>, w</w:t>
      </w:r>
      <w:r w:rsidR="00A92DFD" w:rsidRPr="008F6F21">
        <w:rPr>
          <w:color w:val="auto"/>
        </w:rPr>
        <w:t xml:space="preserve">hich likely led to an overestimation of the treatment effect of ATZ+nab-P relative to </w:t>
      </w:r>
      <w:r w:rsidR="00CE6A6D">
        <w:rPr>
          <w:color w:val="auto"/>
        </w:rPr>
        <w:t xml:space="preserve">current </w:t>
      </w:r>
      <w:r w:rsidR="00A92DFD" w:rsidRPr="008F6F21">
        <w:rPr>
          <w:color w:val="auto"/>
        </w:rPr>
        <w:t>clinical practice</w:t>
      </w:r>
      <w:r w:rsidR="00380E28" w:rsidRPr="008F6F21">
        <w:t xml:space="preserve">, the inclusion of a </w:t>
      </w:r>
      <w:r w:rsidR="00051615" w:rsidRPr="008F6F21">
        <w:t>heterogeneous</w:t>
      </w:r>
      <w:r w:rsidR="00380E28" w:rsidRPr="008F6F21">
        <w:t xml:space="preserve"> population</w:t>
      </w:r>
      <w:r w:rsidR="00DE7E6E" w:rsidRPr="008F6F21">
        <w:t>,</w:t>
      </w:r>
      <w:r w:rsidR="00380E28" w:rsidRPr="008F6F21">
        <w:t xml:space="preserve"> and the reliance on PFS </w:t>
      </w:r>
      <w:r w:rsidR="00DE7E6E" w:rsidRPr="008F6F21">
        <w:t xml:space="preserve">from the prespecified </w:t>
      </w:r>
      <w:r w:rsidR="00DC749C" w:rsidRPr="008F6F21">
        <w:t xml:space="preserve">analyses </w:t>
      </w:r>
      <w:r w:rsidR="00380E28" w:rsidRPr="008F6F21">
        <w:t xml:space="preserve">where </w:t>
      </w:r>
      <w:r w:rsidR="00DE7E6E" w:rsidRPr="008F6F21">
        <w:t xml:space="preserve">an </w:t>
      </w:r>
      <w:r w:rsidR="00380E28" w:rsidRPr="008F6F21">
        <w:t>OS difference would be</w:t>
      </w:r>
      <w:r w:rsidR="00434A99" w:rsidRPr="008F6F21">
        <w:t xml:space="preserve"> a</w:t>
      </w:r>
      <w:r w:rsidR="00380E28" w:rsidRPr="008F6F21">
        <w:t xml:space="preserve"> more clinically meaningful outcome).</w:t>
      </w:r>
    </w:p>
    <w:p w:rsidR="0044381A" w:rsidRPr="008B4136" w:rsidRDefault="0044381A" w:rsidP="0044381A">
      <w:pPr>
        <w:pStyle w:val="ListParagraph"/>
        <w:rPr>
          <w:snapToGrid w:val="0"/>
          <w:lang w:val="en-GB"/>
        </w:rPr>
      </w:pPr>
      <w:r>
        <w:rPr>
          <w:snapToGrid w:val="0"/>
          <w:lang w:val="en-GB"/>
        </w:rPr>
        <w:t xml:space="preserve">The PBAC considered that the clinical claim of superior </w:t>
      </w:r>
      <w:r>
        <w:t>effectiveness compared with nab-P alone in the first-line treatment of patients with unresectable locally advanced or metastatic TNBC whose tumours are PD-L1-positive (PD-L1 stained IC covering ≥1% of the tumour area) was not adequately supported by the clinical evidence as the difference in PFS may not be clinically meaningful, the OS benefit was not robust as formal statistical testing could not be conducted, there was uncertainty regarding the test for interaction with PD-L1, nab-P was a potentially inferior comparator in many patients in IMpass</w:t>
      </w:r>
      <w:r w:rsidR="002D6313">
        <w:t>i</w:t>
      </w:r>
      <w:r>
        <w:t xml:space="preserve">on130 and the applicability of the trial to </w:t>
      </w:r>
      <w:r w:rsidR="00CE6A6D">
        <w:t xml:space="preserve">current </w:t>
      </w:r>
      <w:r>
        <w:t>Australian clinical practice was limi</w:t>
      </w:r>
      <w:r w:rsidR="00FD3B05">
        <w:t>ted.</w:t>
      </w:r>
    </w:p>
    <w:p w:rsidR="0044381A" w:rsidRPr="00D90F7C" w:rsidRDefault="0044381A" w:rsidP="0044381A">
      <w:pPr>
        <w:pStyle w:val="ListParagraph"/>
        <w:rPr>
          <w:snapToGrid w:val="0"/>
          <w:lang w:val="en-GB"/>
        </w:rPr>
      </w:pPr>
      <w:r>
        <w:t>The PBAC considered that the claim of inferior but clinically manageable safety compared to nab-paclitaxel alone was reasonable.</w:t>
      </w:r>
    </w:p>
    <w:p w:rsidR="00095E93" w:rsidRPr="00003E6F" w:rsidRDefault="00095E93" w:rsidP="00434533">
      <w:pPr>
        <w:pStyle w:val="PBACESHeading2"/>
      </w:pPr>
      <w:bookmarkStart w:id="30" w:name="_Toc497226190"/>
      <w:bookmarkStart w:id="31" w:name="_Toc30411836"/>
      <w:r w:rsidRPr="00003E6F">
        <w:t>Claim of co</w:t>
      </w:r>
      <w:r w:rsidR="00751BA8">
        <w:t>-</w:t>
      </w:r>
      <w:r w:rsidRPr="00003E6F">
        <w:t>dependence</w:t>
      </w:r>
      <w:bookmarkEnd w:id="30"/>
      <w:bookmarkEnd w:id="31"/>
    </w:p>
    <w:p w:rsidR="00CC6F77" w:rsidRPr="008532B5" w:rsidRDefault="00CC6F77" w:rsidP="00434533">
      <w:pPr>
        <w:pStyle w:val="ListParagraph"/>
      </w:pPr>
      <w:bookmarkStart w:id="32" w:name="_Toc30411837"/>
      <w:bookmarkStart w:id="33" w:name="_Toc413139286"/>
      <w:bookmarkEnd w:id="28"/>
      <w:r>
        <w:t>In TNBC, t</w:t>
      </w:r>
      <w:r w:rsidRPr="00EA3B06">
        <w:t xml:space="preserve">he PD-L1 biomarker </w:t>
      </w:r>
      <w:r>
        <w:t xml:space="preserve">is often associated with tumour-infiltrating immune cells. </w:t>
      </w:r>
      <w:r w:rsidRPr="00EA3B06">
        <w:t>PD-L1 binds to one of two inhibitory receptor proteins, programmed death protein-1 (PD-1) and B7.1 found on the surface of T-cells</w:t>
      </w:r>
      <w:r>
        <w:t>,</w:t>
      </w:r>
      <w:r w:rsidRPr="00EA3B06">
        <w:t xml:space="preserve"> activat</w:t>
      </w:r>
      <w:r>
        <w:t>ing</w:t>
      </w:r>
      <w:r w:rsidRPr="00EA3B06">
        <w:t xml:space="preserve"> a checkpoint inhibitor pathway that dampens the immune response</w:t>
      </w:r>
      <w:r>
        <w:t>. Its biological purpose is to</w:t>
      </w:r>
      <w:r w:rsidRPr="00EA3B06">
        <w:t xml:space="preserve"> prevent auto-immunity</w:t>
      </w:r>
      <w:r>
        <w:t xml:space="preserve">. </w:t>
      </w:r>
      <w:r w:rsidRPr="00EA3B06">
        <w:t>Blockade of the binding between PD-L1 and PD-1/B7.1 with monoclonal antibodies directed to either PD-1 or PD-L1 restores T-cell mediated tumour cell killing and has been shown to be effective in treating patients with various cancer types</w:t>
      </w:r>
      <w:r>
        <w:t>.</w:t>
      </w:r>
    </w:p>
    <w:p w:rsidR="00CC6F77" w:rsidRPr="006D388C" w:rsidRDefault="00CC6F77" w:rsidP="00434533">
      <w:pPr>
        <w:pStyle w:val="ListParagraph"/>
      </w:pPr>
      <w:r w:rsidRPr="006D388C">
        <w:t>Thus, the expectation of a greater effect from atezolizumab in patients with greater PD-L1 expression, supporting the need for IHC testing for PD-L1 expression on IC to determine eligibility for treatment with atezolizumab, is biologically plausible.</w:t>
      </w:r>
    </w:p>
    <w:p w:rsidR="00CC6F77" w:rsidRPr="00DA56EE" w:rsidRDefault="00CC6F77" w:rsidP="00434533">
      <w:pPr>
        <w:pStyle w:val="ListParagraph"/>
      </w:pPr>
      <w:r w:rsidRPr="00DA56EE">
        <w:t>Chemotherapy can induce multiple immunomodulatory changes leading to an increased immune response to the tumour. However, chemotherapy can also lead to PD-L1 upregulation in tumour cells, which dampens the immune response. This leads to the rationale for combining atezolizumab with chemotherapy in TNBC. Th</w:t>
      </w:r>
      <w:r>
        <w:t xml:space="preserve">us, the </w:t>
      </w:r>
      <w:r>
        <w:lastRenderedPageBreak/>
        <w:t>submission concluded that the</w:t>
      </w:r>
      <w:r w:rsidRPr="00DA56EE">
        <w:t xml:space="preserve"> addition of atezolizumab to chemotherapy treatment </w:t>
      </w:r>
      <w:r>
        <w:t>aims</w:t>
      </w:r>
      <w:r w:rsidRPr="00DA56EE">
        <w:t xml:space="preserve"> to prevent the dampening of the immune response, allowing the immune cells to respond to the increased immunogenicity of the tumour and increase the likelihood that the infiltrating immune cells ca</w:t>
      </w:r>
      <w:r>
        <w:t>n kill tumour cells.</w:t>
      </w:r>
    </w:p>
    <w:p w:rsidR="00CC6F77" w:rsidRPr="006D388C" w:rsidRDefault="00CC6F77" w:rsidP="00434533">
      <w:pPr>
        <w:pStyle w:val="ListParagraph"/>
      </w:pPr>
      <w:r w:rsidRPr="006D388C">
        <w:t>However, chemotherapy with taxanes causes leukocytopenia, diminishing the ability to have an immune response at all. The effects of this leukocytopenia on checkpoint inhibitor immunotherapy is not known. Thus, there is some uncertainty about the rationale for using background (taxane) chemotherapy.</w:t>
      </w:r>
    </w:p>
    <w:p w:rsidR="00CC6F77" w:rsidRDefault="00CC6F77" w:rsidP="00434533">
      <w:pPr>
        <w:pStyle w:val="ListParagraph"/>
      </w:pPr>
      <w:r w:rsidRPr="006D388C">
        <w:t>Additionally, TNBC patients with upregulated IC PD-L1 expression were 3–4 times more likely to have a complete response to (neo)adjuvant chemotherapy. The mechanism for the counterintuitive correlation between increased IC PD-L1 expression and increased response to chemotherapy (given its role in dampening the immune response) is poorly understood. This may be related to the known favourable prognostic value of CD8+ tumour-infiltrating lymphocytes in breast cancer and may also explain the favourable prognostic value of PD-L1 expression on IC in TNBC. However, there are limited data available on this relationship in unresectable locally advanced or metastatic TNBC in the published literature.</w:t>
      </w:r>
    </w:p>
    <w:p w:rsidR="00CC6F77" w:rsidRPr="008F6F21" w:rsidRDefault="00CC6F77" w:rsidP="00434533">
      <w:pPr>
        <w:pStyle w:val="ListParagraph"/>
      </w:pPr>
      <w:r w:rsidRPr="008F6F21">
        <w:t>The ESCs questioned whether the biological plausibility for the use of atezolizumab in patients with increased PD-L1 expression was reasonable given that other trials of immunotherapy in TNBC, including in PD-L1</w:t>
      </w:r>
      <w:r w:rsidR="00666CF6">
        <w:t>-</w:t>
      </w:r>
      <w:r w:rsidRPr="008F6F21">
        <w:t>positive populations, have failed to show convincing clinical benefit, with or without combination chemotherapy.</w:t>
      </w:r>
      <w:r w:rsidRPr="008F6F21">
        <w:rPr>
          <w:rStyle w:val="FootnoteReference"/>
        </w:rPr>
        <w:footnoteReference w:id="13"/>
      </w:r>
    </w:p>
    <w:p w:rsidR="00CC6F77" w:rsidRPr="00922D70" w:rsidRDefault="00CC6F77" w:rsidP="00434533">
      <w:pPr>
        <w:pStyle w:val="ListParagraph"/>
      </w:pPr>
      <w:r w:rsidRPr="006D388C">
        <w:t>In the IMpassion130 trial, there was evidence of a difference in OS between PD-L1</w:t>
      </w:r>
      <w:r w:rsidR="00666CF6">
        <w:t>-positive and PD-L1-</w:t>
      </w:r>
      <w:r w:rsidRPr="006D388C">
        <w:t>negative patients receiving the comparator (nab-P monotherapy), favouring patients with no PD-L1 expression on IC. Thus, it is possible that the PD-L1</w:t>
      </w:r>
      <w:r w:rsidR="00666CF6">
        <w:t>-</w:t>
      </w:r>
      <w:r w:rsidRPr="006D388C">
        <w:t>positive patients enrolled in the IMpassion130 trial have an unfavourable prognosis compared to those who are PD-L1 negative.</w:t>
      </w:r>
      <w:r>
        <w:t xml:space="preserve"> </w:t>
      </w:r>
      <w:r w:rsidRPr="008F6F21">
        <w:t>The ESCs considered that this effect may indicate a difference in the response to nab-P, with PD-L1</w:t>
      </w:r>
      <w:r w:rsidR="00666CF6">
        <w:t>-</w:t>
      </w:r>
      <w:r w:rsidRPr="008F6F21">
        <w:t>positive patients having a worse response to nab-P compared with PD-L1</w:t>
      </w:r>
      <w:r w:rsidR="004B7914">
        <w:t>-</w:t>
      </w:r>
      <w:r w:rsidRPr="008F6F21">
        <w:t>negative patients. There is no biologically plausible rationale to suggest that PD-L1 status predicts treatment effect variation with nab-P, but this difference contributes to the variation in hazard ratios across the two arms in the I</w:t>
      </w:r>
      <w:r w:rsidR="00591635">
        <w:t>M</w:t>
      </w:r>
      <w:r w:rsidRPr="008F6F21">
        <w:t>passion130 trial, and thus to the related tests for interaction.</w:t>
      </w:r>
    </w:p>
    <w:p w:rsidR="00CC6F77" w:rsidRPr="008F6F21" w:rsidRDefault="00CC6F77" w:rsidP="00434533">
      <w:pPr>
        <w:pStyle w:val="ListParagraph"/>
      </w:pPr>
      <w:r w:rsidRPr="008F6F21">
        <w:t xml:space="preserve">The ESCs also noted that interaction tests for an OS treatment effect by PD-L1 status had p-values of 0.02 for the </w:t>
      </w:r>
      <w:r w:rsidR="00922D70">
        <w:t xml:space="preserve">17 </w:t>
      </w:r>
      <w:r w:rsidRPr="008F6F21">
        <w:t xml:space="preserve">April 2018 data cut-off and 0.06 for the </w:t>
      </w:r>
      <w:r w:rsidR="00922D70">
        <w:t xml:space="preserve">2 </w:t>
      </w:r>
      <w:r w:rsidRPr="008F6F21">
        <w:t xml:space="preserve">January 2019 data cut-off (as provided in the PSCR). Overall the ESCs considered that this suggests </w:t>
      </w:r>
      <w:r w:rsidRPr="008F6F21">
        <w:lastRenderedPageBreak/>
        <w:t>there is some evidence that PD-L1 status may predict variation in the treatment effect of atezolizumab, but the evidence for this is uncertain.</w:t>
      </w:r>
    </w:p>
    <w:p w:rsidR="0011015D" w:rsidRPr="00A54259" w:rsidRDefault="0011015D" w:rsidP="00434533">
      <w:pPr>
        <w:pStyle w:val="PBACESHeading2"/>
      </w:pPr>
      <w:r w:rsidRPr="00A54259">
        <w:t>Economic analysis</w:t>
      </w:r>
      <w:bookmarkEnd w:id="32"/>
    </w:p>
    <w:p w:rsidR="0011015D" w:rsidRPr="00B666F6" w:rsidRDefault="005C0BC8" w:rsidP="005C0BC8">
      <w:pPr>
        <w:pStyle w:val="ListParagraph"/>
        <w:numPr>
          <w:ilvl w:val="4"/>
          <w:numId w:val="1"/>
        </w:numPr>
        <w:rPr>
          <w:color w:val="auto"/>
        </w:rPr>
      </w:pPr>
      <w:r w:rsidRPr="00750F9C">
        <w:rPr>
          <w:color w:val="auto"/>
        </w:rPr>
        <w:t xml:space="preserve">The submission presented a modelled evaluation based on the direct trial IMpassion130. The types of economic evaluation presented were a cost-effectiveness (cost-per-life-year-gained) and a cost-utility analysis (cost-per-QALY-gained). </w:t>
      </w:r>
      <w:r w:rsidRPr="006D388C">
        <w:rPr>
          <w:color w:val="auto"/>
        </w:rPr>
        <w:t>T</w:t>
      </w:r>
      <w:r w:rsidR="0044381A">
        <w:rPr>
          <w:color w:val="auto"/>
        </w:rPr>
        <w:t xml:space="preserve">he </w:t>
      </w:r>
      <w:r w:rsidR="004155FD">
        <w:rPr>
          <w:color w:val="auto"/>
        </w:rPr>
        <w:t>commentary</w:t>
      </w:r>
      <w:r w:rsidR="0044381A">
        <w:rPr>
          <w:color w:val="auto"/>
        </w:rPr>
        <w:t xml:space="preserve"> considered t</w:t>
      </w:r>
      <w:r w:rsidRPr="006D388C">
        <w:rPr>
          <w:color w:val="auto"/>
        </w:rPr>
        <w:t xml:space="preserve">his </w:t>
      </w:r>
      <w:r w:rsidR="0044381A">
        <w:rPr>
          <w:color w:val="auto"/>
        </w:rPr>
        <w:t>wa</w:t>
      </w:r>
      <w:r w:rsidRPr="006D388C">
        <w:rPr>
          <w:color w:val="auto"/>
        </w:rPr>
        <w:t>s appropriate and consistent with the submission’s clinical claim that PD-L1 testing and ATZ+nab-P treatment in patients whose tumours express PD-L1 IC ≥1% (the proposed scenario) has superior effectiveness and inferior (but clinically manageable) safety profile compared with no testing and treatment with nab-paclitaxel (the current scenario).</w:t>
      </w:r>
      <w:r w:rsidR="005F63E9">
        <w:rPr>
          <w:color w:val="auto"/>
        </w:rPr>
        <w:t xml:space="preserve"> </w:t>
      </w:r>
      <w:r w:rsidR="005F63E9" w:rsidRPr="008F6F21">
        <w:rPr>
          <w:color w:val="auto"/>
        </w:rPr>
        <w:t>The ESCs considered that the clinical claim was not supported by the evidence as the difference in PFS was small and may not be clinically meaningful, and no statistically significant difference in OS was established for the PD-L1</w:t>
      </w:r>
      <w:r w:rsidR="00666CF6">
        <w:rPr>
          <w:color w:val="auto"/>
        </w:rPr>
        <w:t>-</w:t>
      </w:r>
      <w:r w:rsidR="005F63E9" w:rsidRPr="008F6F21">
        <w:rPr>
          <w:color w:val="auto"/>
        </w:rPr>
        <w:t xml:space="preserve">positive population. In addition, benefits are likely to be overestimated due to </w:t>
      </w:r>
      <w:r w:rsidR="00E915AF" w:rsidRPr="008F6F21">
        <w:rPr>
          <w:color w:val="auto"/>
        </w:rPr>
        <w:t xml:space="preserve">external validity concerns. </w:t>
      </w:r>
      <w:r w:rsidR="005F63E9" w:rsidRPr="008F6F21">
        <w:rPr>
          <w:color w:val="auto"/>
        </w:rPr>
        <w:t>As such, the ESC</w:t>
      </w:r>
      <w:r w:rsidR="00DC7815" w:rsidRPr="008F6F21">
        <w:rPr>
          <w:color w:val="auto"/>
        </w:rPr>
        <w:t>s</w:t>
      </w:r>
      <w:r w:rsidR="005F63E9" w:rsidRPr="008F6F21">
        <w:rPr>
          <w:color w:val="auto"/>
        </w:rPr>
        <w:t xml:space="preserve"> consider</w:t>
      </w:r>
      <w:r w:rsidR="00E915AF" w:rsidRPr="008F6F21">
        <w:rPr>
          <w:color w:val="auto"/>
        </w:rPr>
        <w:t>e</w:t>
      </w:r>
      <w:r w:rsidR="005F63E9" w:rsidRPr="008F6F21">
        <w:rPr>
          <w:color w:val="auto"/>
        </w:rPr>
        <w:t>d that modelling a non-significant treatment benefit was not appropriate and resulted in a high level of uncertainty in the model results.</w:t>
      </w:r>
    </w:p>
    <w:p w:rsidR="0011015D" w:rsidRPr="006D388C" w:rsidRDefault="0011015D" w:rsidP="0011015D">
      <w:pPr>
        <w:pStyle w:val="ListParagraph"/>
        <w:numPr>
          <w:ilvl w:val="4"/>
          <w:numId w:val="1"/>
        </w:numPr>
        <w:rPr>
          <w:color w:val="auto"/>
        </w:rPr>
      </w:pPr>
      <w:r w:rsidRPr="006D388C">
        <w:rPr>
          <w:color w:val="auto"/>
        </w:rPr>
        <w:t>The key components of the economic evaluation are summarised in the table below.</w:t>
      </w:r>
    </w:p>
    <w:p w:rsidR="0011015D" w:rsidRDefault="0011015D" w:rsidP="0011015D">
      <w:pPr>
        <w:pStyle w:val="Caption"/>
      </w:pPr>
      <w:r>
        <w:t xml:space="preserve">Table </w:t>
      </w:r>
      <w:r w:rsidR="00074BE0">
        <w:rPr>
          <w:noProof/>
        </w:rPr>
        <w:t>11</w:t>
      </w:r>
      <w:r w:rsidR="00EF5451">
        <w:rPr>
          <w:noProof/>
        </w:rPr>
        <w:t xml:space="preserve">: </w:t>
      </w:r>
      <w:r w:rsidRPr="00962538">
        <w:t>Summary of model structure</w:t>
      </w:r>
      <w:r>
        <w:t>, key inputs</w:t>
      </w:r>
      <w:r w:rsidRPr="00962538">
        <w:t xml:space="preserv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17"/>
        <w:gridCol w:w="6499"/>
      </w:tblGrid>
      <w:tr w:rsidR="0011015D" w:rsidRPr="000F3CA2" w:rsidTr="00656330">
        <w:trPr>
          <w:trHeight w:val="305"/>
          <w:tblHeader/>
        </w:trPr>
        <w:tc>
          <w:tcPr>
            <w:tcW w:w="1396" w:type="pct"/>
            <w:shd w:val="clear" w:color="auto" w:fill="auto"/>
            <w:vAlign w:val="center"/>
          </w:tcPr>
          <w:p w:rsidR="0011015D" w:rsidRPr="000F3CA2" w:rsidRDefault="0011015D" w:rsidP="00656330">
            <w:pPr>
              <w:keepNext/>
              <w:spacing w:before="0" w:after="0"/>
              <w:jc w:val="left"/>
              <w:rPr>
                <w:rFonts w:ascii="Arial Narrow" w:eastAsia="MS Gothic" w:hAnsi="Arial Narrow" w:cs="Times New Roman"/>
                <w:b/>
                <w:sz w:val="20"/>
                <w:szCs w:val="24"/>
                <w:lang w:val="en-US" w:eastAsia="en-AU"/>
              </w:rPr>
            </w:pPr>
            <w:r w:rsidRPr="000F3CA2">
              <w:rPr>
                <w:rFonts w:ascii="Arial Narrow" w:eastAsia="MS Gothic" w:hAnsi="Arial Narrow" w:cs="Times New Roman"/>
                <w:b/>
                <w:sz w:val="20"/>
                <w:szCs w:val="24"/>
                <w:lang w:val="en-US" w:eastAsia="en-AU"/>
              </w:rPr>
              <w:t>Component</w:t>
            </w:r>
          </w:p>
        </w:tc>
        <w:tc>
          <w:tcPr>
            <w:tcW w:w="3604" w:type="pct"/>
            <w:shd w:val="clear" w:color="auto" w:fill="auto"/>
            <w:vAlign w:val="center"/>
          </w:tcPr>
          <w:p w:rsidR="0011015D" w:rsidRPr="000F3CA2" w:rsidRDefault="0011015D" w:rsidP="00656330">
            <w:pPr>
              <w:keepNext/>
              <w:spacing w:before="0" w:after="0"/>
              <w:jc w:val="left"/>
              <w:rPr>
                <w:rFonts w:ascii="Arial Narrow" w:eastAsia="MS Gothic" w:hAnsi="Arial Narrow" w:cs="Times New Roman"/>
                <w:b/>
                <w:sz w:val="20"/>
                <w:szCs w:val="24"/>
                <w:lang w:val="en-US" w:eastAsia="en-AU"/>
              </w:rPr>
            </w:pPr>
            <w:r w:rsidRPr="000F3CA2">
              <w:rPr>
                <w:rFonts w:ascii="Arial Narrow" w:eastAsia="MS Gothic" w:hAnsi="Arial Narrow" w:cs="Times New Roman"/>
                <w:b/>
                <w:sz w:val="20"/>
                <w:szCs w:val="24"/>
                <w:lang w:val="en-US" w:eastAsia="en-AU"/>
              </w:rPr>
              <w:t>Summary</w:t>
            </w:r>
          </w:p>
        </w:tc>
      </w:tr>
      <w:tr w:rsidR="0011015D" w:rsidRPr="000F3CA2" w:rsidTr="00656330">
        <w:tc>
          <w:tcPr>
            <w:tcW w:w="1396" w:type="pct"/>
            <w:shd w:val="clear" w:color="auto" w:fill="auto"/>
            <w:vAlign w:val="center"/>
          </w:tcPr>
          <w:p w:rsidR="0011015D" w:rsidRPr="000F3CA2" w:rsidRDefault="0011015D" w:rsidP="00656330">
            <w:pPr>
              <w:keepNext/>
              <w:spacing w:before="0" w:after="0"/>
              <w:jc w:val="left"/>
              <w:rPr>
                <w:rFonts w:ascii="Arial Narrow" w:eastAsia="MS Gothic" w:hAnsi="Arial Narrow" w:cs="Times New Roman"/>
                <w:bCs/>
                <w:sz w:val="20"/>
                <w:szCs w:val="24"/>
                <w:lang w:eastAsia="en-AU"/>
              </w:rPr>
            </w:pPr>
            <w:r w:rsidRPr="000F3CA2">
              <w:rPr>
                <w:rFonts w:ascii="Arial Narrow" w:eastAsia="MS Gothic" w:hAnsi="Arial Narrow" w:cs="Times New Roman"/>
                <w:bCs/>
                <w:sz w:val="20"/>
                <w:szCs w:val="24"/>
                <w:lang w:eastAsia="en-AU"/>
              </w:rPr>
              <w:t>Treatments</w:t>
            </w:r>
          </w:p>
        </w:tc>
        <w:tc>
          <w:tcPr>
            <w:tcW w:w="3604" w:type="pct"/>
            <w:shd w:val="clear" w:color="auto" w:fill="auto"/>
            <w:vAlign w:val="center"/>
          </w:tcPr>
          <w:p w:rsidR="0011015D" w:rsidRPr="000F3CA2" w:rsidRDefault="0011015D">
            <w:pPr>
              <w:keepNext/>
              <w:spacing w:before="0" w:after="0"/>
              <w:jc w:val="left"/>
              <w:rPr>
                <w:rFonts w:ascii="Arial Narrow" w:eastAsia="MS Gothic" w:hAnsi="Arial Narrow" w:cs="Times New Roman"/>
                <w:bCs/>
                <w:sz w:val="20"/>
                <w:szCs w:val="24"/>
                <w:lang w:eastAsia="en-AU"/>
              </w:rPr>
            </w:pPr>
            <w:r>
              <w:rPr>
                <w:rFonts w:ascii="Arial Narrow" w:eastAsia="MS Gothic" w:hAnsi="Arial Narrow" w:cs="Times New Roman"/>
                <w:bCs/>
                <w:sz w:val="20"/>
                <w:szCs w:val="24"/>
                <w:lang w:eastAsia="en-AU"/>
              </w:rPr>
              <w:t xml:space="preserve">PD-L1 testing and treatment with atezolizumab plus </w:t>
            </w:r>
            <w:r w:rsidR="005C0BC8">
              <w:rPr>
                <w:rFonts w:ascii="Arial Narrow" w:eastAsia="MS Gothic" w:hAnsi="Arial Narrow" w:cs="Times New Roman"/>
                <w:bCs/>
                <w:sz w:val="20"/>
                <w:szCs w:val="24"/>
                <w:lang w:eastAsia="en-AU"/>
              </w:rPr>
              <w:t xml:space="preserve">nab-P (as </w:t>
            </w:r>
            <w:r w:rsidR="00701E21">
              <w:rPr>
                <w:rFonts w:ascii="Arial Narrow" w:eastAsia="MS Gothic" w:hAnsi="Arial Narrow" w:cs="Times New Roman"/>
                <w:bCs/>
                <w:sz w:val="20"/>
                <w:szCs w:val="24"/>
                <w:lang w:eastAsia="en-AU"/>
              </w:rPr>
              <w:t xml:space="preserve">a </w:t>
            </w:r>
            <w:r w:rsidR="005C0BC8">
              <w:rPr>
                <w:rFonts w:ascii="Arial Narrow" w:eastAsia="MS Gothic" w:hAnsi="Arial Narrow" w:cs="Times New Roman"/>
                <w:bCs/>
                <w:sz w:val="20"/>
                <w:szCs w:val="24"/>
                <w:lang w:eastAsia="en-AU"/>
              </w:rPr>
              <w:t xml:space="preserve">proxy for a </w:t>
            </w:r>
            <w:r>
              <w:rPr>
                <w:rFonts w:ascii="Arial Narrow" w:eastAsia="MS Gothic" w:hAnsi="Arial Narrow" w:cs="Times New Roman"/>
                <w:bCs/>
                <w:sz w:val="20"/>
                <w:szCs w:val="24"/>
                <w:lang w:eastAsia="en-AU"/>
              </w:rPr>
              <w:t>taxane</w:t>
            </w:r>
            <w:r w:rsidR="005C0BC8">
              <w:rPr>
                <w:rFonts w:ascii="Arial Narrow" w:eastAsia="MS Gothic" w:hAnsi="Arial Narrow" w:cs="Times New Roman"/>
                <w:bCs/>
                <w:sz w:val="20"/>
                <w:szCs w:val="24"/>
                <w:lang w:eastAsia="en-AU"/>
              </w:rPr>
              <w:t>)</w:t>
            </w:r>
            <w:r>
              <w:rPr>
                <w:rFonts w:ascii="Arial Narrow" w:eastAsia="MS Gothic" w:hAnsi="Arial Narrow" w:cs="Times New Roman"/>
                <w:bCs/>
                <w:sz w:val="20"/>
                <w:szCs w:val="24"/>
                <w:lang w:eastAsia="en-AU"/>
              </w:rPr>
              <w:t xml:space="preserve"> for </w:t>
            </w:r>
            <w:r w:rsidR="00701E21">
              <w:rPr>
                <w:rFonts w:ascii="Arial Narrow" w:eastAsia="MS Gothic" w:hAnsi="Arial Narrow" w:cs="Times New Roman"/>
                <w:bCs/>
                <w:sz w:val="20"/>
                <w:szCs w:val="24"/>
                <w:lang w:eastAsia="en-AU"/>
              </w:rPr>
              <w:t xml:space="preserve">patients </w:t>
            </w:r>
            <w:r>
              <w:rPr>
                <w:rFonts w:ascii="Arial Narrow" w:eastAsia="MS Gothic" w:hAnsi="Arial Narrow" w:cs="Times New Roman"/>
                <w:bCs/>
                <w:sz w:val="20"/>
                <w:szCs w:val="24"/>
                <w:lang w:eastAsia="en-AU"/>
              </w:rPr>
              <w:t>whose tumour</w:t>
            </w:r>
            <w:r w:rsidR="00701E21">
              <w:rPr>
                <w:rFonts w:ascii="Arial Narrow" w:eastAsia="MS Gothic" w:hAnsi="Arial Narrow" w:cs="Times New Roman"/>
                <w:bCs/>
                <w:sz w:val="20"/>
                <w:szCs w:val="24"/>
                <w:lang w:eastAsia="en-AU"/>
              </w:rPr>
              <w:t>s</w:t>
            </w:r>
            <w:r>
              <w:rPr>
                <w:rFonts w:ascii="Arial Narrow" w:eastAsia="MS Gothic" w:hAnsi="Arial Narrow" w:cs="Times New Roman"/>
                <w:bCs/>
                <w:sz w:val="20"/>
                <w:szCs w:val="24"/>
                <w:lang w:eastAsia="en-AU"/>
              </w:rPr>
              <w:t xml:space="preserve"> express PD-L1</w:t>
            </w:r>
            <w:r w:rsidR="005C0BC8">
              <w:rPr>
                <w:rFonts w:ascii="Arial Narrow" w:eastAsia="MS Gothic" w:hAnsi="Arial Narrow" w:cs="Times New Roman"/>
                <w:bCs/>
                <w:sz w:val="20"/>
                <w:szCs w:val="24"/>
                <w:lang w:eastAsia="en-AU"/>
              </w:rPr>
              <w:t xml:space="preserve"> using the VENTANA SP142-IC ≥1% </w:t>
            </w:r>
            <w:r>
              <w:rPr>
                <w:rFonts w:ascii="Arial Narrow" w:eastAsia="MS Gothic" w:hAnsi="Arial Narrow" w:cs="Times New Roman"/>
                <w:bCs/>
                <w:sz w:val="20"/>
                <w:szCs w:val="24"/>
                <w:lang w:eastAsia="en-AU"/>
              </w:rPr>
              <w:t>compared with no PD-L1 testing and treatment with nab-P</w:t>
            </w:r>
          </w:p>
        </w:tc>
      </w:tr>
      <w:tr w:rsidR="0011015D" w:rsidRPr="000F3CA2" w:rsidTr="00656330">
        <w:tc>
          <w:tcPr>
            <w:tcW w:w="1396" w:type="pct"/>
            <w:shd w:val="clear" w:color="auto" w:fill="auto"/>
            <w:vAlign w:val="center"/>
          </w:tcPr>
          <w:p w:rsidR="0011015D" w:rsidRPr="000F3CA2" w:rsidRDefault="0011015D" w:rsidP="00656330">
            <w:pPr>
              <w:keepNext/>
              <w:spacing w:before="0" w:after="0"/>
              <w:jc w:val="left"/>
              <w:rPr>
                <w:rFonts w:ascii="Arial Narrow" w:eastAsia="MS Gothic" w:hAnsi="Arial Narrow" w:cs="Times New Roman"/>
                <w:bCs/>
                <w:sz w:val="20"/>
                <w:szCs w:val="24"/>
                <w:lang w:eastAsia="en-AU"/>
              </w:rPr>
            </w:pPr>
            <w:r w:rsidRPr="000F3CA2">
              <w:rPr>
                <w:rFonts w:ascii="Arial Narrow" w:eastAsia="MS Gothic" w:hAnsi="Arial Narrow" w:cs="Times New Roman"/>
                <w:bCs/>
                <w:sz w:val="20"/>
                <w:szCs w:val="24"/>
                <w:lang w:eastAsia="en-AU"/>
              </w:rPr>
              <w:t>Time horizon</w:t>
            </w:r>
          </w:p>
        </w:tc>
        <w:tc>
          <w:tcPr>
            <w:tcW w:w="3604" w:type="pct"/>
            <w:shd w:val="clear" w:color="auto" w:fill="auto"/>
            <w:vAlign w:val="center"/>
          </w:tcPr>
          <w:p w:rsidR="0011015D" w:rsidRPr="000F3CA2" w:rsidRDefault="0011015D" w:rsidP="00656330">
            <w:pPr>
              <w:keepNext/>
              <w:spacing w:before="0" w:after="0"/>
              <w:jc w:val="left"/>
              <w:rPr>
                <w:rFonts w:ascii="Arial Narrow" w:eastAsia="MS Gothic" w:hAnsi="Arial Narrow" w:cs="Times New Roman"/>
                <w:bCs/>
                <w:sz w:val="20"/>
                <w:szCs w:val="24"/>
                <w:lang w:eastAsia="en-AU"/>
              </w:rPr>
            </w:pPr>
            <w:r w:rsidRPr="00750F9C">
              <w:rPr>
                <w:rFonts w:ascii="Arial Narrow" w:eastAsia="MS Gothic" w:hAnsi="Arial Narrow" w:cs="Times New Roman"/>
                <w:bCs/>
                <w:sz w:val="20"/>
                <w:szCs w:val="24"/>
                <w:lang w:eastAsia="en-AU"/>
              </w:rPr>
              <w:t xml:space="preserve">10 years compared </w:t>
            </w:r>
            <w:r>
              <w:rPr>
                <w:rFonts w:ascii="Arial Narrow" w:eastAsia="MS Gothic" w:hAnsi="Arial Narrow" w:cs="Times New Roman"/>
                <w:bCs/>
                <w:sz w:val="20"/>
                <w:szCs w:val="24"/>
                <w:lang w:eastAsia="en-AU"/>
              </w:rPr>
              <w:t>with</w:t>
            </w:r>
            <w:r w:rsidRPr="00750F9C">
              <w:rPr>
                <w:rFonts w:ascii="Arial Narrow" w:eastAsia="MS Gothic" w:hAnsi="Arial Narrow" w:cs="Times New Roman"/>
                <w:bCs/>
                <w:sz w:val="20"/>
                <w:szCs w:val="24"/>
                <w:lang w:eastAsia="en-AU"/>
              </w:rPr>
              <w:t xml:space="preserve"> a median follow up of 18 months in IMpassion130</w:t>
            </w:r>
          </w:p>
        </w:tc>
      </w:tr>
      <w:tr w:rsidR="0011015D" w:rsidRPr="000F3CA2" w:rsidTr="00656330">
        <w:tc>
          <w:tcPr>
            <w:tcW w:w="1396" w:type="pct"/>
            <w:shd w:val="clear" w:color="auto" w:fill="auto"/>
            <w:vAlign w:val="center"/>
          </w:tcPr>
          <w:p w:rsidR="0011015D" w:rsidRPr="000F3CA2" w:rsidRDefault="0011015D" w:rsidP="00656330">
            <w:pPr>
              <w:keepNext/>
              <w:spacing w:before="0" w:after="0"/>
              <w:jc w:val="left"/>
              <w:rPr>
                <w:rFonts w:ascii="Arial Narrow" w:eastAsia="MS Gothic" w:hAnsi="Arial Narrow" w:cs="Times New Roman"/>
                <w:bCs/>
                <w:sz w:val="20"/>
                <w:szCs w:val="24"/>
                <w:lang w:eastAsia="en-AU"/>
              </w:rPr>
            </w:pPr>
            <w:r w:rsidRPr="000F3CA2">
              <w:rPr>
                <w:rFonts w:ascii="Arial Narrow" w:eastAsia="MS Gothic" w:hAnsi="Arial Narrow" w:cs="Times New Roman"/>
                <w:bCs/>
                <w:sz w:val="20"/>
                <w:szCs w:val="24"/>
                <w:lang w:eastAsia="en-AU"/>
              </w:rPr>
              <w:t>Outcomes</w:t>
            </w:r>
          </w:p>
        </w:tc>
        <w:tc>
          <w:tcPr>
            <w:tcW w:w="3604" w:type="pct"/>
            <w:shd w:val="clear" w:color="auto" w:fill="auto"/>
            <w:vAlign w:val="center"/>
          </w:tcPr>
          <w:p w:rsidR="0011015D" w:rsidRPr="000F3CA2" w:rsidRDefault="0011015D" w:rsidP="00656330">
            <w:pPr>
              <w:keepNext/>
              <w:spacing w:before="0" w:after="0"/>
              <w:jc w:val="left"/>
              <w:rPr>
                <w:rFonts w:ascii="Arial Narrow" w:eastAsia="MS Gothic" w:hAnsi="Arial Narrow" w:cs="Times New Roman"/>
                <w:bCs/>
                <w:sz w:val="20"/>
                <w:szCs w:val="24"/>
                <w:lang w:eastAsia="en-AU"/>
              </w:rPr>
            </w:pPr>
            <w:r w:rsidRPr="00750F9C">
              <w:rPr>
                <w:rFonts w:ascii="Arial Narrow" w:eastAsia="MS Gothic" w:hAnsi="Arial Narrow" w:cs="Times New Roman"/>
                <w:bCs/>
                <w:sz w:val="20"/>
                <w:szCs w:val="24"/>
                <w:lang w:eastAsia="en-AU"/>
              </w:rPr>
              <w:t>Life-years gained (LYG) and quality-adjusted life-years gained (QALYG)</w:t>
            </w:r>
          </w:p>
        </w:tc>
      </w:tr>
      <w:tr w:rsidR="0011015D" w:rsidRPr="000F3CA2" w:rsidTr="00656330">
        <w:tc>
          <w:tcPr>
            <w:tcW w:w="1396" w:type="pct"/>
            <w:shd w:val="clear" w:color="auto" w:fill="auto"/>
            <w:vAlign w:val="center"/>
          </w:tcPr>
          <w:p w:rsidR="0011015D" w:rsidRPr="000F3CA2" w:rsidRDefault="0011015D" w:rsidP="00656330">
            <w:pPr>
              <w:keepNext/>
              <w:spacing w:before="0" w:after="0"/>
              <w:jc w:val="left"/>
              <w:rPr>
                <w:rFonts w:ascii="Arial Narrow" w:eastAsia="MS Gothic" w:hAnsi="Arial Narrow" w:cs="Times New Roman"/>
                <w:bCs/>
                <w:sz w:val="20"/>
                <w:szCs w:val="24"/>
                <w:lang w:eastAsia="en-AU"/>
              </w:rPr>
            </w:pPr>
            <w:r w:rsidRPr="000F3CA2">
              <w:rPr>
                <w:rFonts w:ascii="Arial Narrow" w:eastAsia="MS Gothic" w:hAnsi="Arial Narrow" w:cs="Times New Roman"/>
                <w:bCs/>
                <w:sz w:val="20"/>
                <w:szCs w:val="24"/>
                <w:lang w:eastAsia="en-AU"/>
              </w:rPr>
              <w:t>Methods used to generate results</w:t>
            </w:r>
          </w:p>
        </w:tc>
        <w:tc>
          <w:tcPr>
            <w:tcW w:w="3604" w:type="pct"/>
            <w:shd w:val="clear" w:color="auto" w:fill="auto"/>
            <w:vAlign w:val="center"/>
          </w:tcPr>
          <w:p w:rsidR="0011015D" w:rsidRPr="000F3CA2" w:rsidRDefault="0011015D" w:rsidP="00656330">
            <w:pPr>
              <w:keepNext/>
              <w:spacing w:before="0" w:after="0"/>
              <w:jc w:val="left"/>
              <w:rPr>
                <w:rFonts w:ascii="Arial Narrow" w:eastAsia="MS Gothic" w:hAnsi="Arial Narrow" w:cs="Times New Roman"/>
                <w:bCs/>
                <w:sz w:val="20"/>
                <w:szCs w:val="24"/>
                <w:lang w:eastAsia="en-AU"/>
              </w:rPr>
            </w:pPr>
            <w:r w:rsidRPr="00750F9C">
              <w:rPr>
                <w:rFonts w:ascii="Arial Narrow" w:eastAsia="MS Gothic" w:hAnsi="Arial Narrow" w:cs="Times New Roman"/>
                <w:bCs/>
                <w:sz w:val="20"/>
                <w:szCs w:val="24"/>
                <w:lang w:eastAsia="en-AU"/>
              </w:rPr>
              <w:t>Partitioned survival (area under the curve) analysis</w:t>
            </w:r>
          </w:p>
        </w:tc>
      </w:tr>
      <w:tr w:rsidR="0011015D" w:rsidRPr="000F3CA2" w:rsidTr="00656330">
        <w:tc>
          <w:tcPr>
            <w:tcW w:w="1396" w:type="pct"/>
            <w:shd w:val="clear" w:color="auto" w:fill="auto"/>
            <w:vAlign w:val="center"/>
          </w:tcPr>
          <w:p w:rsidR="0011015D" w:rsidRPr="000F3CA2" w:rsidRDefault="0011015D" w:rsidP="00656330">
            <w:pPr>
              <w:keepNext/>
              <w:spacing w:before="0" w:after="0"/>
              <w:jc w:val="left"/>
              <w:rPr>
                <w:rFonts w:ascii="Arial Narrow" w:eastAsia="MS Gothic" w:hAnsi="Arial Narrow" w:cs="Times New Roman"/>
                <w:bCs/>
                <w:sz w:val="20"/>
                <w:szCs w:val="24"/>
                <w:lang w:eastAsia="en-AU"/>
              </w:rPr>
            </w:pPr>
            <w:r w:rsidRPr="000F3CA2">
              <w:rPr>
                <w:rFonts w:ascii="Arial Narrow" w:eastAsia="MS Gothic" w:hAnsi="Arial Narrow" w:cs="Times New Roman"/>
                <w:bCs/>
                <w:sz w:val="20"/>
                <w:szCs w:val="24"/>
                <w:lang w:eastAsia="en-AU"/>
              </w:rPr>
              <w:t>Health states</w:t>
            </w:r>
          </w:p>
        </w:tc>
        <w:tc>
          <w:tcPr>
            <w:tcW w:w="3604" w:type="pct"/>
            <w:shd w:val="clear" w:color="auto" w:fill="auto"/>
            <w:vAlign w:val="center"/>
          </w:tcPr>
          <w:p w:rsidR="0011015D" w:rsidRPr="000F3CA2" w:rsidRDefault="0011015D" w:rsidP="00656330">
            <w:pPr>
              <w:keepNext/>
              <w:spacing w:before="0" w:after="0"/>
              <w:jc w:val="left"/>
              <w:rPr>
                <w:rFonts w:ascii="Arial Narrow" w:eastAsia="MS Gothic" w:hAnsi="Arial Narrow" w:cs="Times New Roman"/>
                <w:bCs/>
                <w:sz w:val="20"/>
                <w:szCs w:val="24"/>
                <w:lang w:eastAsia="en-AU"/>
              </w:rPr>
            </w:pPr>
            <w:r w:rsidRPr="00750F9C">
              <w:rPr>
                <w:rFonts w:ascii="Arial Narrow" w:eastAsia="MS Gothic" w:hAnsi="Arial Narrow" w:cs="Times New Roman"/>
                <w:bCs/>
                <w:sz w:val="20"/>
                <w:szCs w:val="24"/>
                <w:lang w:eastAsia="en-AU"/>
              </w:rPr>
              <w:t>Three: Progression-free survival (PFS), Progression, and Death</w:t>
            </w:r>
          </w:p>
        </w:tc>
      </w:tr>
      <w:tr w:rsidR="0011015D" w:rsidRPr="000F3CA2" w:rsidTr="00656330">
        <w:tc>
          <w:tcPr>
            <w:tcW w:w="1396" w:type="pct"/>
            <w:shd w:val="clear" w:color="auto" w:fill="auto"/>
            <w:vAlign w:val="center"/>
          </w:tcPr>
          <w:p w:rsidR="0011015D" w:rsidRPr="000F3CA2" w:rsidRDefault="0011015D" w:rsidP="00656330">
            <w:pPr>
              <w:keepNext/>
              <w:spacing w:before="0" w:after="0"/>
              <w:jc w:val="left"/>
              <w:rPr>
                <w:rFonts w:ascii="Arial Narrow" w:eastAsia="MS Gothic" w:hAnsi="Arial Narrow" w:cs="Times New Roman"/>
                <w:bCs/>
                <w:sz w:val="20"/>
                <w:szCs w:val="24"/>
                <w:lang w:eastAsia="en-AU"/>
              </w:rPr>
            </w:pPr>
            <w:r w:rsidRPr="000F3CA2">
              <w:rPr>
                <w:rFonts w:ascii="Arial Narrow" w:eastAsia="MS Gothic" w:hAnsi="Arial Narrow" w:cs="Times New Roman"/>
                <w:bCs/>
                <w:sz w:val="20"/>
                <w:szCs w:val="24"/>
                <w:lang w:eastAsia="en-AU"/>
              </w:rPr>
              <w:t>Cycle length</w:t>
            </w:r>
          </w:p>
        </w:tc>
        <w:tc>
          <w:tcPr>
            <w:tcW w:w="3604" w:type="pct"/>
            <w:shd w:val="clear" w:color="auto" w:fill="auto"/>
            <w:vAlign w:val="center"/>
          </w:tcPr>
          <w:p w:rsidR="0011015D" w:rsidRPr="000F3CA2" w:rsidRDefault="0011015D" w:rsidP="00656330">
            <w:pPr>
              <w:keepNext/>
              <w:spacing w:before="0" w:after="0"/>
              <w:jc w:val="left"/>
              <w:rPr>
                <w:rFonts w:ascii="Arial Narrow" w:eastAsia="MS Gothic" w:hAnsi="Arial Narrow" w:cs="Times New Roman"/>
                <w:bCs/>
                <w:sz w:val="20"/>
                <w:szCs w:val="24"/>
                <w:lang w:eastAsia="en-AU"/>
              </w:rPr>
            </w:pPr>
            <w:r w:rsidRPr="00750F9C">
              <w:rPr>
                <w:rFonts w:ascii="Arial Narrow" w:eastAsia="MS Gothic" w:hAnsi="Arial Narrow" w:cs="Times New Roman"/>
                <w:bCs/>
                <w:sz w:val="20"/>
                <w:szCs w:val="24"/>
                <w:lang w:eastAsia="en-AU"/>
              </w:rPr>
              <w:t>1 week</w:t>
            </w:r>
          </w:p>
        </w:tc>
      </w:tr>
      <w:tr w:rsidR="0011015D" w:rsidRPr="000F3CA2" w:rsidTr="00656330">
        <w:tc>
          <w:tcPr>
            <w:tcW w:w="1396" w:type="pct"/>
            <w:shd w:val="clear" w:color="auto" w:fill="auto"/>
            <w:vAlign w:val="center"/>
          </w:tcPr>
          <w:p w:rsidR="0011015D" w:rsidRPr="000F3CA2" w:rsidRDefault="00CE6A6D" w:rsidP="00656330">
            <w:pPr>
              <w:keepNext/>
              <w:spacing w:before="0" w:after="0"/>
              <w:jc w:val="left"/>
              <w:rPr>
                <w:rFonts w:ascii="Arial Narrow" w:eastAsia="MS Gothic" w:hAnsi="Arial Narrow" w:cs="Times New Roman"/>
                <w:bCs/>
                <w:sz w:val="20"/>
                <w:szCs w:val="24"/>
                <w:lang w:eastAsia="en-AU"/>
              </w:rPr>
            </w:pPr>
            <w:r>
              <w:rPr>
                <w:rFonts w:ascii="Arial Narrow" w:eastAsia="MS Gothic" w:hAnsi="Arial Narrow" w:cs="Times New Roman"/>
                <w:bCs/>
                <w:sz w:val="20"/>
                <w:szCs w:val="24"/>
                <w:lang w:eastAsia="en-AU"/>
              </w:rPr>
              <w:t>Allocation to health states</w:t>
            </w:r>
          </w:p>
        </w:tc>
        <w:tc>
          <w:tcPr>
            <w:tcW w:w="3604" w:type="pct"/>
            <w:shd w:val="clear" w:color="auto" w:fill="auto"/>
            <w:vAlign w:val="center"/>
          </w:tcPr>
          <w:p w:rsidR="0011015D" w:rsidRPr="000F3CA2" w:rsidRDefault="0011015D" w:rsidP="007E5636">
            <w:pPr>
              <w:keepNext/>
              <w:spacing w:before="0" w:after="0"/>
              <w:jc w:val="left"/>
              <w:rPr>
                <w:rFonts w:ascii="Arial Narrow" w:eastAsia="MS Gothic" w:hAnsi="Arial Narrow" w:cs="Times New Roman"/>
                <w:bCs/>
                <w:sz w:val="20"/>
                <w:szCs w:val="24"/>
                <w:lang w:eastAsia="en-AU"/>
              </w:rPr>
            </w:pPr>
            <w:r w:rsidRPr="00750F9C">
              <w:rPr>
                <w:rFonts w:ascii="Arial Narrow" w:eastAsia="MS Gothic" w:hAnsi="Arial Narrow" w:cs="Times New Roman"/>
                <w:bCs/>
                <w:sz w:val="20"/>
                <w:szCs w:val="24"/>
                <w:lang w:eastAsia="en-AU"/>
              </w:rPr>
              <w:t xml:space="preserve">Health state allocation over time determined by PFS and overall survival (OS) curves from IMpassion130 at the 2 January 2019 </w:t>
            </w:r>
            <w:r w:rsidR="007E5636">
              <w:rPr>
                <w:rFonts w:ascii="Arial Narrow" w:eastAsia="MS Gothic" w:hAnsi="Arial Narrow" w:cs="Times New Roman"/>
                <w:bCs/>
                <w:sz w:val="20"/>
                <w:szCs w:val="24"/>
                <w:lang w:eastAsia="en-AU"/>
              </w:rPr>
              <w:t>data</w:t>
            </w:r>
            <w:r w:rsidRPr="00750F9C">
              <w:rPr>
                <w:rFonts w:ascii="Arial Narrow" w:eastAsia="MS Gothic" w:hAnsi="Arial Narrow" w:cs="Times New Roman"/>
                <w:bCs/>
                <w:sz w:val="20"/>
                <w:szCs w:val="24"/>
                <w:lang w:eastAsia="en-AU"/>
              </w:rPr>
              <w:t xml:space="preserve"> cut-off, extrapolated using standard parametric functions over the time horizon of the model</w:t>
            </w:r>
            <w:r w:rsidR="00F05934">
              <w:rPr>
                <w:rFonts w:ascii="Arial Narrow" w:eastAsia="MS Gothic" w:hAnsi="Arial Narrow" w:cs="Times New Roman"/>
                <w:bCs/>
                <w:sz w:val="20"/>
                <w:szCs w:val="24"/>
                <w:lang w:eastAsia="en-AU"/>
              </w:rPr>
              <w:t>.</w:t>
            </w:r>
          </w:p>
        </w:tc>
      </w:tr>
      <w:tr w:rsidR="0011015D" w:rsidRPr="000F3CA2" w:rsidTr="00656330">
        <w:tc>
          <w:tcPr>
            <w:tcW w:w="1396" w:type="pct"/>
            <w:shd w:val="clear" w:color="auto" w:fill="auto"/>
            <w:vAlign w:val="center"/>
          </w:tcPr>
          <w:p w:rsidR="0011015D" w:rsidRPr="00643035" w:rsidRDefault="0011015D" w:rsidP="005B0CCD">
            <w:pPr>
              <w:keepNext/>
              <w:spacing w:before="0" w:after="0"/>
              <w:jc w:val="left"/>
              <w:rPr>
                <w:rFonts w:ascii="Arial Narrow" w:eastAsia="MS Gothic" w:hAnsi="Arial Narrow" w:cs="Times New Roman"/>
                <w:bCs/>
                <w:sz w:val="20"/>
                <w:szCs w:val="24"/>
                <w:vertAlign w:val="superscript"/>
                <w:lang w:eastAsia="en-AU"/>
              </w:rPr>
            </w:pPr>
            <w:r w:rsidRPr="000F3CA2">
              <w:rPr>
                <w:rFonts w:ascii="Arial Narrow" w:eastAsia="MS Gothic" w:hAnsi="Arial Narrow" w:cs="Times New Roman"/>
                <w:bCs/>
                <w:sz w:val="20"/>
                <w:szCs w:val="24"/>
                <w:lang w:eastAsia="en-AU"/>
              </w:rPr>
              <w:t>Extrapolation method</w:t>
            </w:r>
            <w:r w:rsidR="004B2D4A">
              <w:rPr>
                <w:rFonts w:ascii="Arial Narrow" w:eastAsia="MS Gothic" w:hAnsi="Arial Narrow" w:cs="Times New Roman"/>
                <w:bCs/>
                <w:sz w:val="20"/>
                <w:szCs w:val="24"/>
                <w:lang w:eastAsia="en-AU"/>
              </w:rPr>
              <w:t xml:space="preserve"> in </w:t>
            </w:r>
            <w:r w:rsidR="002820A1">
              <w:rPr>
                <w:rFonts w:ascii="Arial Narrow" w:eastAsia="MS Gothic" w:hAnsi="Arial Narrow" w:cs="Times New Roman"/>
                <w:bCs/>
                <w:sz w:val="20"/>
                <w:szCs w:val="24"/>
                <w:lang w:eastAsia="en-AU"/>
              </w:rPr>
              <w:t xml:space="preserve">the </w:t>
            </w:r>
            <w:r w:rsidR="004B2D4A">
              <w:rPr>
                <w:rFonts w:ascii="Arial Narrow" w:eastAsia="MS Gothic" w:hAnsi="Arial Narrow" w:cs="Times New Roman"/>
                <w:bCs/>
                <w:sz w:val="20"/>
                <w:szCs w:val="24"/>
                <w:lang w:eastAsia="en-AU"/>
              </w:rPr>
              <w:t>submission base case</w:t>
            </w:r>
            <w:r w:rsidR="00643035">
              <w:rPr>
                <w:rFonts w:ascii="Arial Narrow" w:eastAsia="MS Gothic" w:hAnsi="Arial Narrow" w:cs="Times New Roman"/>
                <w:bCs/>
                <w:sz w:val="20"/>
                <w:szCs w:val="24"/>
                <w:vertAlign w:val="superscript"/>
                <w:lang w:eastAsia="en-AU"/>
              </w:rPr>
              <w:t>a</w:t>
            </w:r>
          </w:p>
        </w:tc>
        <w:tc>
          <w:tcPr>
            <w:tcW w:w="3604" w:type="pct"/>
            <w:shd w:val="clear" w:color="auto" w:fill="auto"/>
            <w:vAlign w:val="center"/>
          </w:tcPr>
          <w:p w:rsidR="0011015D" w:rsidRPr="007F3037" w:rsidRDefault="0011015D" w:rsidP="00656330">
            <w:pPr>
              <w:keepNext/>
              <w:spacing w:before="0" w:after="0"/>
              <w:jc w:val="left"/>
              <w:rPr>
                <w:rFonts w:ascii="Arial Narrow" w:eastAsia="MS Gothic" w:hAnsi="Arial Narrow" w:cs="Times New Roman"/>
                <w:bCs/>
                <w:sz w:val="20"/>
                <w:szCs w:val="24"/>
                <w:lang w:eastAsia="en-AU"/>
              </w:rPr>
            </w:pPr>
            <w:r>
              <w:rPr>
                <w:rFonts w:ascii="Arial Narrow" w:eastAsia="MS Gothic" w:hAnsi="Arial Narrow" w:cs="Times New Roman"/>
                <w:bCs/>
                <w:sz w:val="20"/>
                <w:szCs w:val="24"/>
                <w:lang w:eastAsia="en-AU"/>
              </w:rPr>
              <w:t xml:space="preserve">The submission extrapolated the KM curves of OS, PFS and time to off treatment (TTOT) from median duration of follow-up of 18 months in IMpassion130. Log-logistic distributions were chosen to extrapolate the PFS, OS and TTOT curves for patient populations in the proposed scenario (regardless of treatment received or PD-L1 status). In contrast, in the current scenario where there was no test and all patients received nab-P, log-logistic distributions were used to extrapolate PFS and TTOT and Weibull was chosen for OS extrapolation. </w:t>
            </w:r>
            <w:r w:rsidRPr="007F3037">
              <w:rPr>
                <w:rFonts w:ascii="Arial Narrow" w:eastAsia="MS Gothic" w:hAnsi="Arial Narrow" w:cs="Times New Roman"/>
                <w:bCs/>
                <w:sz w:val="20"/>
                <w:szCs w:val="24"/>
                <w:lang w:eastAsia="en-AU"/>
              </w:rPr>
              <w:t xml:space="preserve">The selection of </w:t>
            </w:r>
            <w:r w:rsidR="00DA19A4" w:rsidRPr="007F3037">
              <w:rPr>
                <w:rFonts w:ascii="Arial Narrow" w:eastAsia="MS Gothic" w:hAnsi="Arial Narrow" w:cs="Times New Roman"/>
                <w:bCs/>
                <w:sz w:val="20"/>
                <w:szCs w:val="24"/>
                <w:lang w:eastAsia="en-AU"/>
              </w:rPr>
              <w:t xml:space="preserve">a </w:t>
            </w:r>
            <w:r w:rsidRPr="007F3037">
              <w:rPr>
                <w:rFonts w:ascii="Arial Narrow" w:eastAsia="MS Gothic" w:hAnsi="Arial Narrow" w:cs="Times New Roman"/>
                <w:bCs/>
                <w:sz w:val="20"/>
                <w:szCs w:val="24"/>
                <w:lang w:eastAsia="en-AU"/>
              </w:rPr>
              <w:t>different parametric function for</w:t>
            </w:r>
            <w:r w:rsidR="00DA19A4" w:rsidRPr="007F3037">
              <w:rPr>
                <w:rFonts w:ascii="Arial Narrow" w:eastAsia="MS Gothic" w:hAnsi="Arial Narrow" w:cs="Times New Roman"/>
                <w:bCs/>
                <w:sz w:val="20"/>
                <w:szCs w:val="24"/>
                <w:lang w:eastAsia="en-AU"/>
              </w:rPr>
              <w:t xml:space="preserve"> OS in</w:t>
            </w:r>
            <w:r w:rsidRPr="007F3037">
              <w:rPr>
                <w:rFonts w:ascii="Arial Narrow" w:eastAsia="MS Gothic" w:hAnsi="Arial Narrow" w:cs="Times New Roman"/>
                <w:bCs/>
                <w:sz w:val="20"/>
                <w:szCs w:val="24"/>
                <w:lang w:eastAsia="en-AU"/>
              </w:rPr>
              <w:t xml:space="preserve"> the comparative scenario was unjustified, and the model is sensitive to the parametric functions used.</w:t>
            </w:r>
          </w:p>
          <w:p w:rsidR="0011015D" w:rsidRPr="000F3CA2" w:rsidRDefault="0011015D" w:rsidP="00801135">
            <w:pPr>
              <w:keepNext/>
              <w:spacing w:before="0" w:after="0"/>
              <w:jc w:val="left"/>
              <w:rPr>
                <w:rFonts w:ascii="Arial Narrow" w:eastAsia="MS Gothic" w:hAnsi="Arial Narrow" w:cs="Times New Roman"/>
                <w:bCs/>
                <w:sz w:val="20"/>
                <w:szCs w:val="24"/>
                <w:lang w:eastAsia="en-AU"/>
              </w:rPr>
            </w:pPr>
            <w:r w:rsidRPr="007F3037">
              <w:rPr>
                <w:rFonts w:ascii="Arial Narrow" w:eastAsia="MS Gothic" w:hAnsi="Arial Narrow" w:cs="Times New Roman"/>
                <w:bCs/>
                <w:sz w:val="20"/>
                <w:szCs w:val="24"/>
                <w:lang w:eastAsia="en-AU"/>
              </w:rPr>
              <w:t>The survival curves of the two comparative scenarios did not converge within the modelled time horizon</w:t>
            </w:r>
            <w:r w:rsidR="00643035">
              <w:rPr>
                <w:rFonts w:ascii="Arial Narrow" w:eastAsia="MS Gothic" w:hAnsi="Arial Narrow" w:cs="Times New Roman"/>
                <w:bCs/>
                <w:sz w:val="20"/>
                <w:szCs w:val="24"/>
                <w:lang w:eastAsia="en-AU"/>
              </w:rPr>
              <w:t xml:space="preserve"> in the submission base case</w:t>
            </w:r>
            <w:r w:rsidRPr="007F3037">
              <w:rPr>
                <w:rFonts w:ascii="Arial Narrow" w:eastAsia="MS Gothic" w:hAnsi="Arial Narrow" w:cs="Times New Roman"/>
                <w:bCs/>
                <w:sz w:val="20"/>
                <w:szCs w:val="24"/>
                <w:lang w:eastAsia="en-AU"/>
              </w:rPr>
              <w:t>.</w:t>
            </w:r>
          </w:p>
        </w:tc>
      </w:tr>
      <w:tr w:rsidR="0011015D" w:rsidRPr="000F3CA2" w:rsidTr="00656330">
        <w:tc>
          <w:tcPr>
            <w:tcW w:w="1396" w:type="pct"/>
            <w:shd w:val="clear" w:color="auto" w:fill="auto"/>
            <w:vAlign w:val="center"/>
          </w:tcPr>
          <w:p w:rsidR="0011015D" w:rsidRPr="00643035" w:rsidRDefault="0011015D" w:rsidP="005B0CCD">
            <w:pPr>
              <w:keepNext/>
              <w:spacing w:before="0" w:after="0"/>
              <w:jc w:val="left"/>
              <w:rPr>
                <w:rFonts w:ascii="Arial Narrow" w:eastAsia="MS Gothic" w:hAnsi="Arial Narrow" w:cs="Times New Roman"/>
                <w:bCs/>
                <w:sz w:val="20"/>
                <w:szCs w:val="24"/>
                <w:vertAlign w:val="superscript"/>
                <w:lang w:eastAsia="en-AU"/>
              </w:rPr>
            </w:pPr>
            <w:r w:rsidRPr="000F3CA2">
              <w:rPr>
                <w:rFonts w:ascii="Arial Narrow" w:eastAsia="MS Gothic" w:hAnsi="Arial Narrow" w:cs="Times New Roman"/>
                <w:bCs/>
                <w:sz w:val="20"/>
                <w:szCs w:val="24"/>
                <w:lang w:eastAsia="en-AU"/>
              </w:rPr>
              <w:t>Health related quality of life</w:t>
            </w:r>
            <w:r w:rsidR="004B2D4A">
              <w:rPr>
                <w:rFonts w:ascii="Arial Narrow" w:eastAsia="MS Gothic" w:hAnsi="Arial Narrow" w:cs="Times New Roman"/>
                <w:bCs/>
                <w:sz w:val="20"/>
                <w:szCs w:val="24"/>
                <w:lang w:eastAsia="en-AU"/>
              </w:rPr>
              <w:t xml:space="preserve"> in </w:t>
            </w:r>
            <w:r w:rsidR="002820A1">
              <w:rPr>
                <w:rFonts w:ascii="Arial Narrow" w:eastAsia="MS Gothic" w:hAnsi="Arial Narrow" w:cs="Times New Roman"/>
                <w:bCs/>
                <w:sz w:val="20"/>
                <w:szCs w:val="24"/>
                <w:lang w:eastAsia="en-AU"/>
              </w:rPr>
              <w:t xml:space="preserve">the </w:t>
            </w:r>
            <w:r w:rsidR="004B2D4A">
              <w:rPr>
                <w:rFonts w:ascii="Arial Narrow" w:eastAsia="MS Gothic" w:hAnsi="Arial Narrow" w:cs="Times New Roman"/>
                <w:bCs/>
                <w:sz w:val="20"/>
                <w:szCs w:val="24"/>
                <w:lang w:eastAsia="en-AU"/>
              </w:rPr>
              <w:t>submission base case</w:t>
            </w:r>
            <w:r w:rsidR="00643035">
              <w:rPr>
                <w:rFonts w:ascii="Arial Narrow" w:eastAsia="MS Gothic" w:hAnsi="Arial Narrow" w:cs="Times New Roman"/>
                <w:bCs/>
                <w:sz w:val="20"/>
                <w:szCs w:val="24"/>
                <w:vertAlign w:val="superscript"/>
                <w:lang w:eastAsia="en-AU"/>
              </w:rPr>
              <w:t>a</w:t>
            </w:r>
          </w:p>
        </w:tc>
        <w:tc>
          <w:tcPr>
            <w:tcW w:w="3604" w:type="pct"/>
            <w:shd w:val="clear" w:color="auto" w:fill="auto"/>
            <w:vAlign w:val="center"/>
          </w:tcPr>
          <w:p w:rsidR="0011015D" w:rsidRPr="000F3CA2" w:rsidRDefault="0011015D" w:rsidP="00656330">
            <w:pPr>
              <w:keepNext/>
              <w:spacing w:before="0" w:after="0"/>
              <w:jc w:val="left"/>
              <w:rPr>
                <w:rFonts w:ascii="Arial Narrow" w:eastAsia="MS Gothic" w:hAnsi="Arial Narrow" w:cs="Times New Roman"/>
                <w:bCs/>
                <w:sz w:val="20"/>
                <w:szCs w:val="24"/>
                <w:lang w:eastAsia="en-AU"/>
              </w:rPr>
            </w:pPr>
            <w:r>
              <w:rPr>
                <w:rFonts w:ascii="Arial Narrow" w:eastAsia="MS Gothic" w:hAnsi="Arial Narrow" w:cs="Times New Roman"/>
                <w:bCs/>
                <w:sz w:val="20"/>
                <w:szCs w:val="24"/>
                <w:lang w:eastAsia="en-AU"/>
              </w:rPr>
              <w:t xml:space="preserve">EQ-5D-5L results from IMpassion130, converted into utilities </w:t>
            </w:r>
            <w:r w:rsidR="00003E6F">
              <w:rPr>
                <w:rFonts w:ascii="Arial Narrow" w:eastAsia="MS Gothic" w:hAnsi="Arial Narrow" w:cs="Times New Roman"/>
                <w:bCs/>
                <w:sz w:val="20"/>
                <w:szCs w:val="24"/>
                <w:lang w:eastAsia="en-AU"/>
              </w:rPr>
              <w:t xml:space="preserve">using the UK </w:t>
            </w:r>
            <w:r w:rsidR="00CE6A6D">
              <w:rPr>
                <w:rFonts w:ascii="Arial Narrow" w:eastAsia="MS Gothic" w:hAnsi="Arial Narrow" w:cs="Times New Roman"/>
                <w:bCs/>
                <w:sz w:val="20"/>
                <w:szCs w:val="24"/>
                <w:lang w:eastAsia="en-AU"/>
              </w:rPr>
              <w:t>s</w:t>
            </w:r>
            <w:r w:rsidR="00003E6F">
              <w:rPr>
                <w:rFonts w:ascii="Arial Narrow" w:eastAsia="MS Gothic" w:hAnsi="Arial Narrow" w:cs="Times New Roman"/>
                <w:bCs/>
                <w:sz w:val="20"/>
                <w:szCs w:val="24"/>
                <w:lang w:eastAsia="en-AU"/>
              </w:rPr>
              <w:t>coring algorithm.</w:t>
            </w:r>
          </w:p>
        </w:tc>
      </w:tr>
    </w:tbl>
    <w:p w:rsidR="006F58DC" w:rsidRDefault="006F58DC" w:rsidP="006F58DC">
      <w:pPr>
        <w:pStyle w:val="TableFooter"/>
      </w:pPr>
      <w:r>
        <w:t>Source: Sections 3.1 to 3.5 of the submission.</w:t>
      </w:r>
    </w:p>
    <w:p w:rsidR="001B15C6" w:rsidRDefault="001B15C6" w:rsidP="001B15C6">
      <w:pPr>
        <w:pStyle w:val="TableFooter"/>
      </w:pPr>
      <w:r>
        <w:t xml:space="preserve">nab-P = </w:t>
      </w:r>
      <w:r w:rsidRPr="00500B6B">
        <w:t>nanoparticle albumin–bound paclitaxel</w:t>
      </w:r>
      <w:r>
        <w:t>;</w:t>
      </w:r>
      <w:r w:rsidRPr="001B15C6">
        <w:t xml:space="preserve"> </w:t>
      </w:r>
      <w:r>
        <w:t>PD-L1 = programmed death ligand 1</w:t>
      </w:r>
      <w:r w:rsidR="00CE6A6D">
        <w:t>.</w:t>
      </w:r>
    </w:p>
    <w:p w:rsidR="00643035" w:rsidRPr="00643035" w:rsidRDefault="00643035" w:rsidP="001B15C6">
      <w:pPr>
        <w:pStyle w:val="TableFooter"/>
      </w:pPr>
      <w:r>
        <w:rPr>
          <w:vertAlign w:val="superscript"/>
        </w:rPr>
        <w:lastRenderedPageBreak/>
        <w:t>a</w:t>
      </w:r>
      <w:r>
        <w:t xml:space="preserve"> Changes were made to the extrapolation methods and utility values in the pre-PBAC response</w:t>
      </w:r>
      <w:r w:rsidR="00D42EED">
        <w:t>’s revised base case</w:t>
      </w:r>
      <w:r>
        <w:t>.</w:t>
      </w:r>
    </w:p>
    <w:p w:rsidR="0011015D" w:rsidRPr="006D388C" w:rsidRDefault="0011015D" w:rsidP="0011015D">
      <w:pPr>
        <w:pStyle w:val="ListParagraph"/>
        <w:numPr>
          <w:ilvl w:val="4"/>
          <w:numId w:val="1"/>
        </w:numPr>
        <w:rPr>
          <w:color w:val="auto"/>
        </w:rPr>
      </w:pPr>
      <w:r w:rsidRPr="006D388C">
        <w:rPr>
          <w:color w:val="auto"/>
        </w:rPr>
        <w:t>The submission’s approach to modelling the current scenario (i.e. no-test and treatment with nab-paclitaxel) was the extrapolation of single PFS, OS and time-to-off-treatment (TToT) curves from the IMpassion130 ITT patient population treated with nab-</w:t>
      </w:r>
      <w:r w:rsidR="00DA19A4" w:rsidRPr="006D388C">
        <w:rPr>
          <w:color w:val="auto"/>
        </w:rPr>
        <w:t>P</w:t>
      </w:r>
      <w:r w:rsidRPr="006D388C">
        <w:rPr>
          <w:color w:val="auto"/>
        </w:rPr>
        <w:t>. While this approach may be appropriate in the base case when assuming the prevalence of PD-L1</w:t>
      </w:r>
      <w:r w:rsidR="00666CF6">
        <w:rPr>
          <w:color w:val="auto"/>
        </w:rPr>
        <w:t>-</w:t>
      </w:r>
      <w:r w:rsidRPr="006D388C">
        <w:rPr>
          <w:color w:val="auto"/>
        </w:rPr>
        <w:t xml:space="preserve">positive patients in </w:t>
      </w:r>
      <w:r w:rsidR="00CE6A6D">
        <w:rPr>
          <w:color w:val="auto"/>
        </w:rPr>
        <w:t xml:space="preserve">current </w:t>
      </w:r>
      <w:r w:rsidRPr="006D388C">
        <w:rPr>
          <w:color w:val="auto"/>
        </w:rPr>
        <w:t>clinical practice was consistent with that in the trial, it was difficult to carry out sensitivity analyses that varied the prevalence of PD-L1 expression without modifying the model structure presented by the submission. The clinical management inputs are presented below.</w:t>
      </w:r>
    </w:p>
    <w:p w:rsidR="0011015D" w:rsidRDefault="0011015D" w:rsidP="00EA5C8F">
      <w:pPr>
        <w:pStyle w:val="Caption"/>
        <w:keepLines/>
      </w:pPr>
      <w:r>
        <w:t xml:space="preserve">Table </w:t>
      </w:r>
      <w:r w:rsidR="00074BE0">
        <w:rPr>
          <w:noProof/>
        </w:rPr>
        <w:t>12</w:t>
      </w:r>
      <w:r w:rsidR="00EF5451">
        <w:rPr>
          <w:noProof/>
        </w:rPr>
        <w:t xml:space="preserve">: </w:t>
      </w:r>
      <w:r>
        <w:t>Clinical management inputs</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6"/>
        <w:gridCol w:w="1658"/>
        <w:gridCol w:w="1984"/>
        <w:gridCol w:w="3902"/>
      </w:tblGrid>
      <w:tr w:rsidR="0011015D" w:rsidRPr="008708FA" w:rsidTr="00CE6A6D">
        <w:trPr>
          <w:cantSplit/>
          <w:tblHeader/>
        </w:trPr>
        <w:tc>
          <w:tcPr>
            <w:tcW w:w="809" w:type="pct"/>
            <w:tcBorders>
              <w:bottom w:val="single" w:sz="4" w:space="0" w:color="auto"/>
            </w:tcBorders>
          </w:tcPr>
          <w:p w:rsidR="0011015D" w:rsidRPr="008708FA" w:rsidRDefault="0011015D" w:rsidP="00EA5C8F">
            <w:pPr>
              <w:pStyle w:val="TableText"/>
              <w:keepNext/>
              <w:keepLines/>
              <w:rPr>
                <w:b/>
              </w:rPr>
            </w:pPr>
            <w:r w:rsidRPr="008708FA">
              <w:rPr>
                <w:b/>
              </w:rPr>
              <w:t>Scenario</w:t>
            </w:r>
          </w:p>
        </w:tc>
        <w:tc>
          <w:tcPr>
            <w:tcW w:w="921" w:type="pct"/>
            <w:tcBorders>
              <w:bottom w:val="single" w:sz="4" w:space="0" w:color="auto"/>
            </w:tcBorders>
            <w:vAlign w:val="center"/>
          </w:tcPr>
          <w:p w:rsidR="0011015D" w:rsidRPr="008708FA" w:rsidRDefault="0011015D" w:rsidP="00EA5C8F">
            <w:pPr>
              <w:pStyle w:val="TableText"/>
              <w:keepNext/>
              <w:keepLines/>
              <w:rPr>
                <w:b/>
              </w:rPr>
            </w:pPr>
            <w:r w:rsidRPr="008708FA">
              <w:rPr>
                <w:b/>
              </w:rPr>
              <w:t>Testing</w:t>
            </w:r>
          </w:p>
        </w:tc>
        <w:tc>
          <w:tcPr>
            <w:tcW w:w="1102" w:type="pct"/>
            <w:vAlign w:val="center"/>
          </w:tcPr>
          <w:p w:rsidR="0011015D" w:rsidRPr="008708FA" w:rsidRDefault="0011015D" w:rsidP="00EA5C8F">
            <w:pPr>
              <w:pStyle w:val="TableText"/>
              <w:keepNext/>
              <w:keepLines/>
              <w:rPr>
                <w:b/>
              </w:rPr>
            </w:pPr>
            <w:r w:rsidRPr="008708FA">
              <w:rPr>
                <w:b/>
              </w:rPr>
              <w:t xml:space="preserve">Predictive </w:t>
            </w:r>
            <w:r w:rsidR="001341BF" w:rsidRPr="008708FA">
              <w:rPr>
                <w:b/>
              </w:rPr>
              <w:t>v</w:t>
            </w:r>
            <w:r w:rsidRPr="008708FA">
              <w:rPr>
                <w:b/>
              </w:rPr>
              <w:t>alue</w:t>
            </w:r>
          </w:p>
        </w:tc>
        <w:tc>
          <w:tcPr>
            <w:tcW w:w="2168" w:type="pct"/>
            <w:vAlign w:val="center"/>
          </w:tcPr>
          <w:p w:rsidR="0011015D" w:rsidRPr="008708FA" w:rsidRDefault="0011015D" w:rsidP="00EA5C8F">
            <w:pPr>
              <w:pStyle w:val="TableText"/>
              <w:keepNext/>
              <w:keepLines/>
              <w:rPr>
                <w:b/>
              </w:rPr>
            </w:pPr>
            <w:r w:rsidRPr="008708FA">
              <w:rPr>
                <w:b/>
              </w:rPr>
              <w:t>IMpassion130 modelled outcomes</w:t>
            </w:r>
          </w:p>
        </w:tc>
      </w:tr>
      <w:tr w:rsidR="0011015D" w:rsidRPr="008708FA" w:rsidTr="00CE6A6D">
        <w:trPr>
          <w:cantSplit/>
        </w:trPr>
        <w:tc>
          <w:tcPr>
            <w:tcW w:w="809" w:type="pct"/>
            <w:vMerge w:val="restart"/>
          </w:tcPr>
          <w:p w:rsidR="0011015D" w:rsidRPr="008708FA" w:rsidRDefault="0011015D" w:rsidP="00EA5C8F">
            <w:pPr>
              <w:pStyle w:val="TableText"/>
              <w:keepNext/>
              <w:keepLines/>
            </w:pPr>
            <w:r w:rsidRPr="008708FA">
              <w:t>Proposed:</w:t>
            </w:r>
          </w:p>
          <w:p w:rsidR="0011015D" w:rsidRPr="008708FA" w:rsidRDefault="0011015D" w:rsidP="00EA5C8F">
            <w:pPr>
              <w:pStyle w:val="TableText"/>
              <w:keepNext/>
              <w:keepLines/>
            </w:pPr>
            <w:r w:rsidRPr="008708FA">
              <w:t>Test and drug</w:t>
            </w:r>
          </w:p>
        </w:tc>
        <w:tc>
          <w:tcPr>
            <w:tcW w:w="921" w:type="pct"/>
            <w:vMerge w:val="restart"/>
          </w:tcPr>
          <w:p w:rsidR="0011015D" w:rsidRPr="008708FA" w:rsidRDefault="0011015D" w:rsidP="00EA5C8F">
            <w:pPr>
              <w:pStyle w:val="TableText"/>
              <w:keepNext/>
              <w:keepLines/>
            </w:pPr>
            <w:r w:rsidRPr="008708FA">
              <w:t xml:space="preserve">PD-L1 </w:t>
            </w:r>
            <w:r w:rsidR="001341BF" w:rsidRPr="008708FA">
              <w:t>test positiv</w:t>
            </w:r>
            <w:r w:rsidRPr="008708FA">
              <w:t>e</w:t>
            </w:r>
            <w:r>
              <w:t xml:space="preserve"> (40.91%)</w:t>
            </w:r>
          </w:p>
        </w:tc>
        <w:tc>
          <w:tcPr>
            <w:tcW w:w="1102" w:type="pct"/>
          </w:tcPr>
          <w:p w:rsidR="0011015D" w:rsidRPr="008708FA" w:rsidRDefault="0011015D" w:rsidP="00EA5C8F">
            <w:pPr>
              <w:pStyle w:val="TableText"/>
              <w:keepNext/>
              <w:keepLines/>
            </w:pPr>
            <w:r w:rsidRPr="008708FA">
              <w:t xml:space="preserve">True </w:t>
            </w:r>
            <w:r w:rsidR="001341BF" w:rsidRPr="008708FA">
              <w:t>p</w:t>
            </w:r>
            <w:r w:rsidRPr="008708FA">
              <w:t>ositive: 93.2%</w:t>
            </w:r>
          </w:p>
        </w:tc>
        <w:tc>
          <w:tcPr>
            <w:tcW w:w="2168" w:type="pct"/>
          </w:tcPr>
          <w:p w:rsidR="0011015D" w:rsidRPr="008708FA" w:rsidRDefault="0011015D" w:rsidP="00EA5C8F">
            <w:pPr>
              <w:pStyle w:val="TableText"/>
              <w:keepNext/>
              <w:keepLines/>
            </w:pPr>
            <w:r w:rsidRPr="008708FA">
              <w:t xml:space="preserve">PD-L1-positive patients that received </w:t>
            </w:r>
            <w:r>
              <w:t>ATZ+</w:t>
            </w:r>
            <w:r w:rsidRPr="008708FA">
              <w:t>nab-P</w:t>
            </w:r>
          </w:p>
        </w:tc>
      </w:tr>
      <w:tr w:rsidR="0011015D" w:rsidRPr="008708FA" w:rsidTr="00CE6A6D">
        <w:trPr>
          <w:cantSplit/>
        </w:trPr>
        <w:tc>
          <w:tcPr>
            <w:tcW w:w="809" w:type="pct"/>
            <w:vMerge/>
          </w:tcPr>
          <w:p w:rsidR="0011015D" w:rsidRPr="008708FA" w:rsidRDefault="0011015D" w:rsidP="00EA5C8F">
            <w:pPr>
              <w:pStyle w:val="TableText"/>
              <w:keepNext/>
              <w:keepLines/>
            </w:pPr>
          </w:p>
        </w:tc>
        <w:tc>
          <w:tcPr>
            <w:tcW w:w="921" w:type="pct"/>
            <w:vMerge/>
          </w:tcPr>
          <w:p w:rsidR="0011015D" w:rsidRPr="008708FA" w:rsidRDefault="0011015D" w:rsidP="00EA5C8F">
            <w:pPr>
              <w:pStyle w:val="TableText"/>
              <w:keepNext/>
              <w:keepLines/>
            </w:pPr>
          </w:p>
        </w:tc>
        <w:tc>
          <w:tcPr>
            <w:tcW w:w="1102" w:type="pct"/>
          </w:tcPr>
          <w:p w:rsidR="0011015D" w:rsidRPr="008708FA" w:rsidRDefault="0011015D" w:rsidP="00EA5C8F">
            <w:pPr>
              <w:pStyle w:val="TableText"/>
              <w:keepNext/>
              <w:keepLines/>
            </w:pPr>
            <w:r w:rsidRPr="008708FA">
              <w:t xml:space="preserve">False </w:t>
            </w:r>
            <w:r w:rsidR="001341BF" w:rsidRPr="008708FA">
              <w:t>p</w:t>
            </w:r>
            <w:r w:rsidRPr="008708FA">
              <w:t>ositive: 6.8%</w:t>
            </w:r>
          </w:p>
        </w:tc>
        <w:tc>
          <w:tcPr>
            <w:tcW w:w="2168" w:type="pct"/>
          </w:tcPr>
          <w:p w:rsidR="0011015D" w:rsidRPr="008708FA" w:rsidRDefault="0011015D" w:rsidP="00EA5C8F">
            <w:pPr>
              <w:pStyle w:val="TableText"/>
              <w:keepNext/>
              <w:keepLines/>
            </w:pPr>
            <w:r w:rsidRPr="008708FA">
              <w:t xml:space="preserve">PD-L1-negative patients that received </w:t>
            </w:r>
            <w:r>
              <w:t>ATZ+</w:t>
            </w:r>
            <w:r w:rsidRPr="008708FA">
              <w:t>nab-P</w:t>
            </w:r>
          </w:p>
        </w:tc>
      </w:tr>
      <w:tr w:rsidR="0011015D" w:rsidRPr="008708FA" w:rsidTr="00CE6A6D">
        <w:trPr>
          <w:cantSplit/>
        </w:trPr>
        <w:tc>
          <w:tcPr>
            <w:tcW w:w="809" w:type="pct"/>
            <w:vMerge/>
          </w:tcPr>
          <w:p w:rsidR="0011015D" w:rsidRPr="008708FA" w:rsidRDefault="0011015D" w:rsidP="00EA5C8F">
            <w:pPr>
              <w:pStyle w:val="TableText"/>
              <w:keepNext/>
              <w:keepLines/>
            </w:pPr>
          </w:p>
        </w:tc>
        <w:tc>
          <w:tcPr>
            <w:tcW w:w="921" w:type="pct"/>
            <w:vMerge w:val="restart"/>
          </w:tcPr>
          <w:p w:rsidR="0011015D" w:rsidRPr="008708FA" w:rsidRDefault="0011015D" w:rsidP="00EA5C8F">
            <w:pPr>
              <w:pStyle w:val="TableText"/>
              <w:keepNext/>
              <w:keepLines/>
            </w:pPr>
            <w:r w:rsidRPr="008708FA">
              <w:t>PD-L1</w:t>
            </w:r>
            <w:r w:rsidR="001341BF" w:rsidRPr="008708FA">
              <w:t xml:space="preserve"> test negati</w:t>
            </w:r>
            <w:r w:rsidRPr="008708FA">
              <w:t>ve</w:t>
            </w:r>
            <w:r>
              <w:t xml:space="preserve"> (59.09%)</w:t>
            </w:r>
          </w:p>
        </w:tc>
        <w:tc>
          <w:tcPr>
            <w:tcW w:w="1102" w:type="pct"/>
          </w:tcPr>
          <w:p w:rsidR="0011015D" w:rsidRPr="008708FA" w:rsidRDefault="0011015D" w:rsidP="00EA5C8F">
            <w:pPr>
              <w:pStyle w:val="TableText"/>
              <w:keepNext/>
              <w:keepLines/>
            </w:pPr>
            <w:r w:rsidRPr="008708FA">
              <w:t xml:space="preserve">True </w:t>
            </w:r>
            <w:r w:rsidR="001341BF" w:rsidRPr="008708FA">
              <w:t>n</w:t>
            </w:r>
            <w:r w:rsidRPr="008708FA">
              <w:t>egative: 96.6%</w:t>
            </w:r>
          </w:p>
        </w:tc>
        <w:tc>
          <w:tcPr>
            <w:tcW w:w="2168" w:type="pct"/>
          </w:tcPr>
          <w:p w:rsidR="0011015D" w:rsidRPr="008708FA" w:rsidRDefault="0011015D" w:rsidP="00EA5C8F">
            <w:pPr>
              <w:pStyle w:val="TableText"/>
              <w:keepNext/>
              <w:keepLines/>
            </w:pPr>
            <w:r w:rsidRPr="008708FA">
              <w:t>PD-L1-negative patients that received nab-P</w:t>
            </w:r>
          </w:p>
        </w:tc>
      </w:tr>
      <w:tr w:rsidR="0011015D" w:rsidRPr="008708FA" w:rsidTr="00CE6A6D">
        <w:trPr>
          <w:cantSplit/>
        </w:trPr>
        <w:tc>
          <w:tcPr>
            <w:tcW w:w="809" w:type="pct"/>
            <w:vMerge/>
          </w:tcPr>
          <w:p w:rsidR="0011015D" w:rsidRPr="008708FA" w:rsidRDefault="0011015D" w:rsidP="00EA5C8F">
            <w:pPr>
              <w:pStyle w:val="TableText"/>
              <w:keepNext/>
              <w:keepLines/>
            </w:pPr>
          </w:p>
        </w:tc>
        <w:tc>
          <w:tcPr>
            <w:tcW w:w="921" w:type="pct"/>
            <w:vMerge/>
          </w:tcPr>
          <w:p w:rsidR="0011015D" w:rsidRPr="008708FA" w:rsidRDefault="0011015D" w:rsidP="00EA5C8F">
            <w:pPr>
              <w:pStyle w:val="TableText"/>
              <w:keepNext/>
              <w:keepLines/>
            </w:pPr>
          </w:p>
        </w:tc>
        <w:tc>
          <w:tcPr>
            <w:tcW w:w="1102" w:type="pct"/>
          </w:tcPr>
          <w:p w:rsidR="0011015D" w:rsidRPr="008708FA" w:rsidRDefault="0011015D" w:rsidP="00EA5C8F">
            <w:pPr>
              <w:pStyle w:val="TableText"/>
              <w:keepNext/>
              <w:keepLines/>
            </w:pPr>
            <w:r w:rsidRPr="008708FA">
              <w:t xml:space="preserve">False </w:t>
            </w:r>
            <w:r w:rsidR="001341BF" w:rsidRPr="008708FA">
              <w:t>n</w:t>
            </w:r>
            <w:r w:rsidRPr="008708FA">
              <w:t>egative: 3.4%</w:t>
            </w:r>
          </w:p>
        </w:tc>
        <w:tc>
          <w:tcPr>
            <w:tcW w:w="2168" w:type="pct"/>
          </w:tcPr>
          <w:p w:rsidR="0011015D" w:rsidRPr="008708FA" w:rsidRDefault="0011015D" w:rsidP="00EA5C8F">
            <w:pPr>
              <w:pStyle w:val="TableText"/>
              <w:keepNext/>
              <w:keepLines/>
            </w:pPr>
            <w:r w:rsidRPr="008708FA">
              <w:t>PD-L1-positive patients that received nab-P</w:t>
            </w:r>
          </w:p>
        </w:tc>
      </w:tr>
      <w:tr w:rsidR="0011015D" w:rsidRPr="008708FA" w:rsidTr="00CE6A6D">
        <w:trPr>
          <w:cantSplit/>
        </w:trPr>
        <w:tc>
          <w:tcPr>
            <w:tcW w:w="809" w:type="pct"/>
          </w:tcPr>
          <w:p w:rsidR="0011015D" w:rsidRPr="008708FA" w:rsidRDefault="0011015D" w:rsidP="00EA5C8F">
            <w:pPr>
              <w:pStyle w:val="TableText"/>
              <w:keepNext/>
              <w:keepLines/>
            </w:pPr>
            <w:r w:rsidRPr="008708FA">
              <w:t>Current:</w:t>
            </w:r>
          </w:p>
          <w:p w:rsidR="0011015D" w:rsidRPr="008708FA" w:rsidRDefault="0011015D" w:rsidP="00EA5C8F">
            <w:pPr>
              <w:pStyle w:val="TableText"/>
              <w:keepNext/>
              <w:keepLines/>
            </w:pPr>
            <w:r w:rsidRPr="008708FA">
              <w:t>No test, no drug</w:t>
            </w:r>
          </w:p>
        </w:tc>
        <w:tc>
          <w:tcPr>
            <w:tcW w:w="921" w:type="pct"/>
          </w:tcPr>
          <w:p w:rsidR="0011015D" w:rsidRPr="008708FA" w:rsidRDefault="0011015D" w:rsidP="00EA5C8F">
            <w:pPr>
              <w:pStyle w:val="TableText"/>
              <w:keepNext/>
              <w:keepLines/>
            </w:pPr>
            <w:r w:rsidRPr="008708FA">
              <w:t>N/A</w:t>
            </w:r>
          </w:p>
        </w:tc>
        <w:tc>
          <w:tcPr>
            <w:tcW w:w="1102" w:type="pct"/>
          </w:tcPr>
          <w:p w:rsidR="0011015D" w:rsidRPr="008708FA" w:rsidRDefault="0011015D" w:rsidP="00EA5C8F">
            <w:pPr>
              <w:pStyle w:val="TableText"/>
              <w:keepNext/>
              <w:keepLines/>
            </w:pPr>
            <w:r w:rsidRPr="008708FA">
              <w:t>N/A</w:t>
            </w:r>
          </w:p>
        </w:tc>
        <w:tc>
          <w:tcPr>
            <w:tcW w:w="2168" w:type="pct"/>
          </w:tcPr>
          <w:p w:rsidR="0011015D" w:rsidRPr="008708FA" w:rsidRDefault="0011015D" w:rsidP="00EA5C8F">
            <w:pPr>
              <w:pStyle w:val="TableText"/>
              <w:keepNext/>
              <w:keepLines/>
            </w:pPr>
            <w:r w:rsidRPr="008708FA">
              <w:t>ITT patients that received nab-P</w:t>
            </w:r>
          </w:p>
        </w:tc>
      </w:tr>
    </w:tbl>
    <w:p w:rsidR="006F58DC" w:rsidRDefault="006F58DC" w:rsidP="00EA5C8F">
      <w:pPr>
        <w:pStyle w:val="TableFooter"/>
        <w:keepNext/>
        <w:keepLines/>
      </w:pPr>
      <w:r w:rsidRPr="001906CD">
        <w:t>Source: Table 3.4.1, Section 3 of the submission</w:t>
      </w:r>
    </w:p>
    <w:p w:rsidR="001B15C6" w:rsidRPr="001906CD" w:rsidRDefault="001B15C6" w:rsidP="00EA5C8F">
      <w:pPr>
        <w:pStyle w:val="TableFooter"/>
        <w:keepNext/>
        <w:keepLines/>
      </w:pPr>
      <w:r>
        <w:t xml:space="preserve">ATZ = atezolizumab; ITT = intention-to-treat; N/A = not applicable; nab-P = </w:t>
      </w:r>
      <w:r w:rsidRPr="00500B6B">
        <w:t>nanoparticle albumin–bound paclitaxel</w:t>
      </w:r>
      <w:r>
        <w:t>;</w:t>
      </w:r>
      <w:r w:rsidR="001341BF">
        <w:t xml:space="preserve"> </w:t>
      </w:r>
      <w:r>
        <w:t>PD-L1 = programmed death ligand-1</w:t>
      </w:r>
    </w:p>
    <w:p w:rsidR="00731B96" w:rsidRDefault="0011015D" w:rsidP="0011015D">
      <w:pPr>
        <w:pStyle w:val="ListParagraph"/>
        <w:numPr>
          <w:ilvl w:val="4"/>
          <w:numId w:val="1"/>
        </w:numPr>
        <w:rPr>
          <w:color w:val="auto"/>
        </w:rPr>
      </w:pPr>
      <w:r w:rsidRPr="006D388C">
        <w:rPr>
          <w:color w:val="auto"/>
          <w:lang w:val="en-US"/>
        </w:rPr>
        <w:t xml:space="preserve">The submission selected the log-logistic function to extrapolate </w:t>
      </w:r>
      <w:r w:rsidR="00DA19A4" w:rsidRPr="006D388C">
        <w:rPr>
          <w:color w:val="auto"/>
          <w:lang w:val="en-US"/>
        </w:rPr>
        <w:t>OS</w:t>
      </w:r>
      <w:r w:rsidRPr="006D388C">
        <w:rPr>
          <w:color w:val="auto"/>
          <w:lang w:val="en-US"/>
        </w:rPr>
        <w:t xml:space="preserve"> beyond the median follow up for all sub-populations in the proposed scenario (</w:t>
      </w:r>
      <w:r w:rsidR="005C0BC8" w:rsidRPr="006D388C">
        <w:rPr>
          <w:color w:val="auto"/>
          <w:lang w:val="en-US"/>
        </w:rPr>
        <w:t xml:space="preserve">i.e. </w:t>
      </w:r>
      <w:r w:rsidRPr="006D388C">
        <w:rPr>
          <w:color w:val="auto"/>
          <w:lang w:val="en-US"/>
        </w:rPr>
        <w:t xml:space="preserve">regardless of treatment received and PD-L1 status), and the Weibull function </w:t>
      </w:r>
      <w:r w:rsidR="005C0BC8" w:rsidRPr="006D388C">
        <w:rPr>
          <w:color w:val="auto"/>
          <w:lang w:val="en-US"/>
        </w:rPr>
        <w:t xml:space="preserve">for </w:t>
      </w:r>
      <w:r w:rsidRPr="006D388C">
        <w:rPr>
          <w:color w:val="auto"/>
          <w:lang w:val="en-US"/>
        </w:rPr>
        <w:t>the current scenario</w:t>
      </w:r>
      <w:r w:rsidRPr="005659BD">
        <w:rPr>
          <w:i/>
          <w:color w:val="auto"/>
          <w:lang w:val="en-US"/>
        </w:rPr>
        <w:t xml:space="preserve">. </w:t>
      </w:r>
      <w:r>
        <w:rPr>
          <w:color w:val="auto"/>
        </w:rPr>
        <w:t xml:space="preserve">The submission claimed </w:t>
      </w:r>
      <w:r w:rsidRPr="001A6648">
        <w:rPr>
          <w:color w:val="auto"/>
        </w:rPr>
        <w:t xml:space="preserve">that the parametric distributions were evaluated for their goodness of fit against the clinical trial data using the </w:t>
      </w:r>
      <w:r w:rsidRPr="001A6648">
        <w:rPr>
          <w:color w:val="auto"/>
          <w:lang w:val="en-US"/>
        </w:rPr>
        <w:t>Akaike information criterion</w:t>
      </w:r>
      <w:r w:rsidRPr="001A6648">
        <w:rPr>
          <w:color w:val="auto"/>
        </w:rPr>
        <w:t xml:space="preserve"> </w:t>
      </w:r>
      <w:r>
        <w:rPr>
          <w:color w:val="auto"/>
        </w:rPr>
        <w:t>(</w:t>
      </w:r>
      <w:r w:rsidRPr="001A6648">
        <w:rPr>
          <w:color w:val="auto"/>
        </w:rPr>
        <w:t>AIC</w:t>
      </w:r>
      <w:r>
        <w:rPr>
          <w:color w:val="auto"/>
        </w:rPr>
        <w:t>)</w:t>
      </w:r>
      <w:r w:rsidRPr="001A6648">
        <w:rPr>
          <w:color w:val="auto"/>
        </w:rPr>
        <w:t xml:space="preserve"> and </w:t>
      </w:r>
      <w:r w:rsidRPr="001A6648">
        <w:rPr>
          <w:color w:val="auto"/>
          <w:lang w:val="en-US"/>
        </w:rPr>
        <w:t>Bayesian information criterion</w:t>
      </w:r>
      <w:r w:rsidRPr="001A6648">
        <w:rPr>
          <w:color w:val="auto"/>
        </w:rPr>
        <w:t xml:space="preserve"> </w:t>
      </w:r>
      <w:r>
        <w:rPr>
          <w:color w:val="auto"/>
        </w:rPr>
        <w:t>(</w:t>
      </w:r>
      <w:r w:rsidRPr="001A6648">
        <w:rPr>
          <w:color w:val="auto"/>
        </w:rPr>
        <w:t>BIC</w:t>
      </w:r>
      <w:r>
        <w:rPr>
          <w:color w:val="auto"/>
        </w:rPr>
        <w:t>)</w:t>
      </w:r>
      <w:r w:rsidRPr="001A6648">
        <w:rPr>
          <w:color w:val="auto"/>
        </w:rPr>
        <w:t xml:space="preserve"> statistics, graphical inspection of fit and assessment of clinical plausibility.</w:t>
      </w:r>
      <w:r>
        <w:rPr>
          <w:i/>
          <w:color w:val="auto"/>
        </w:rPr>
        <w:t xml:space="preserve"> </w:t>
      </w:r>
      <w:r w:rsidRPr="006D388C">
        <w:rPr>
          <w:color w:val="auto"/>
        </w:rPr>
        <w:t xml:space="preserve">The AIC and BIC statistics did not justify the use of the log-logistic function to extrapolate OS for all patient populations in the proposed scenario. </w:t>
      </w:r>
      <w:r w:rsidR="002820A1" w:rsidRPr="008F6F21">
        <w:rPr>
          <w:color w:val="auto"/>
          <w:lang w:val="en-US"/>
        </w:rPr>
        <w:t xml:space="preserve">The ESCs noted that the PSCR maintained that this approach was appropriate in the context of a codependent model. The ESCs agreed with the commentary that the use of different functions for the proposed and current scenarios was not adequately justified and that this approach resulted in </w:t>
      </w:r>
      <w:r w:rsidR="002820A1">
        <w:rPr>
          <w:color w:val="auto"/>
          <w:lang w:val="en-US"/>
        </w:rPr>
        <w:t xml:space="preserve">an </w:t>
      </w:r>
      <w:r w:rsidR="002820A1" w:rsidRPr="008F6F21">
        <w:rPr>
          <w:color w:val="auto"/>
          <w:lang w:val="en-US"/>
        </w:rPr>
        <w:t>implausible OS advantage for the proposed scenario.</w:t>
      </w:r>
    </w:p>
    <w:p w:rsidR="00731B96" w:rsidRPr="00643035" w:rsidRDefault="0011015D" w:rsidP="0011015D">
      <w:pPr>
        <w:pStyle w:val="ListParagraph"/>
        <w:numPr>
          <w:ilvl w:val="4"/>
          <w:numId w:val="1"/>
        </w:numPr>
        <w:rPr>
          <w:color w:val="auto"/>
          <w:lang w:val="en-US"/>
        </w:rPr>
      </w:pPr>
      <w:r w:rsidRPr="006D388C">
        <w:rPr>
          <w:color w:val="auto"/>
        </w:rPr>
        <w:t>Furthermore, using different parametric functions to extrapolate OS for PD-L1</w:t>
      </w:r>
      <w:r w:rsidR="004B7914">
        <w:rPr>
          <w:color w:val="auto"/>
        </w:rPr>
        <w:t>-</w:t>
      </w:r>
      <w:r w:rsidRPr="006D388C">
        <w:rPr>
          <w:color w:val="auto"/>
        </w:rPr>
        <w:t xml:space="preserve">negative patients in the proposed scenario and those in the current scenario </w:t>
      </w:r>
      <w:r w:rsidRPr="006D388C">
        <w:rPr>
          <w:color w:val="auto"/>
          <w:lang w:val="en-US"/>
        </w:rPr>
        <w:t>is implausible. Approximately 60% of the patient population in the proposed scenario did not change their treatment as a result of PD-L1 testing</w:t>
      </w:r>
      <w:r w:rsidR="005C0BC8" w:rsidRPr="006D388C">
        <w:rPr>
          <w:color w:val="auto"/>
          <w:lang w:val="en-US"/>
        </w:rPr>
        <w:t xml:space="preserve"> (as they were PD-L1 negative)</w:t>
      </w:r>
      <w:r w:rsidRPr="006D388C">
        <w:rPr>
          <w:color w:val="auto"/>
          <w:lang w:val="en-US"/>
        </w:rPr>
        <w:t xml:space="preserve">. Given that PD-L1 testing, without a change in management, is unlikely to result in a change in survival, the use of different parametric functions for this patient population is inappropriate and resulted in </w:t>
      </w:r>
      <w:r w:rsidRPr="006D388C">
        <w:rPr>
          <w:color w:val="auto"/>
        </w:rPr>
        <w:t>modelling of a treatment benefit for patients after receiving a PD-L1 test</w:t>
      </w:r>
      <w:r w:rsidR="005C0BC8" w:rsidRPr="006D388C">
        <w:rPr>
          <w:color w:val="auto"/>
        </w:rPr>
        <w:t xml:space="preserve"> and no change in management</w:t>
      </w:r>
      <w:r w:rsidRPr="006D388C">
        <w:rPr>
          <w:color w:val="auto"/>
        </w:rPr>
        <w:t>.</w:t>
      </w:r>
      <w:r w:rsidRPr="006D388C">
        <w:rPr>
          <w:color w:val="auto"/>
          <w:lang w:val="en-US"/>
        </w:rPr>
        <w:t xml:space="preserve"> The model is </w:t>
      </w:r>
      <w:r w:rsidRPr="006D388C">
        <w:rPr>
          <w:color w:val="auto"/>
          <w:lang w:val="en-US"/>
        </w:rPr>
        <w:lastRenderedPageBreak/>
        <w:t xml:space="preserve">sensitive to this assumption. </w:t>
      </w:r>
      <w:r w:rsidR="00731B96">
        <w:rPr>
          <w:color w:val="auto"/>
          <w:lang w:val="en-US"/>
        </w:rPr>
        <w:t>As discussed further below, this issue was addressed in the pre-PBAC response</w:t>
      </w:r>
      <w:r w:rsidR="002820A1">
        <w:rPr>
          <w:color w:val="auto"/>
          <w:lang w:val="en-US"/>
        </w:rPr>
        <w:t xml:space="preserve"> as the same parametric function (Weibull) was applied for </w:t>
      </w:r>
      <w:r w:rsidR="00643035">
        <w:rPr>
          <w:color w:val="auto"/>
        </w:rPr>
        <w:t>PD</w:t>
      </w:r>
      <w:r w:rsidR="00643035">
        <w:rPr>
          <w:color w:val="auto"/>
        </w:rPr>
        <w:noBreakHyphen/>
      </w:r>
      <w:r w:rsidR="002820A1" w:rsidRPr="006D388C">
        <w:rPr>
          <w:color w:val="auto"/>
        </w:rPr>
        <w:t>L1</w:t>
      </w:r>
      <w:r w:rsidR="004B7914">
        <w:rPr>
          <w:color w:val="auto"/>
        </w:rPr>
        <w:t>-</w:t>
      </w:r>
      <w:r w:rsidR="002820A1" w:rsidRPr="006D388C">
        <w:rPr>
          <w:color w:val="auto"/>
        </w:rPr>
        <w:t xml:space="preserve">negative patients in the proposed </w:t>
      </w:r>
      <w:r w:rsidR="002820A1">
        <w:rPr>
          <w:color w:val="auto"/>
        </w:rPr>
        <w:t>and</w:t>
      </w:r>
      <w:r w:rsidR="002820A1" w:rsidRPr="006D388C">
        <w:rPr>
          <w:color w:val="auto"/>
        </w:rPr>
        <w:t xml:space="preserve"> current scenario</w:t>
      </w:r>
      <w:r w:rsidR="002820A1">
        <w:rPr>
          <w:color w:val="auto"/>
        </w:rPr>
        <w:t>s</w:t>
      </w:r>
      <w:r w:rsidR="00731B96">
        <w:rPr>
          <w:color w:val="auto"/>
          <w:lang w:val="en-US"/>
        </w:rPr>
        <w:t>.</w:t>
      </w:r>
    </w:p>
    <w:p w:rsidR="0011015D" w:rsidRPr="006D388C" w:rsidRDefault="0011015D" w:rsidP="0011015D">
      <w:pPr>
        <w:pStyle w:val="ListParagraph"/>
        <w:numPr>
          <w:ilvl w:val="4"/>
          <w:numId w:val="1"/>
        </w:numPr>
        <w:rPr>
          <w:color w:val="auto"/>
        </w:rPr>
      </w:pPr>
      <w:r w:rsidRPr="006D388C">
        <w:rPr>
          <w:color w:val="auto"/>
          <w:lang w:val="en-US"/>
        </w:rPr>
        <w:t xml:space="preserve">The modelled OS curves in the </w:t>
      </w:r>
      <w:r w:rsidR="00731B96">
        <w:rPr>
          <w:color w:val="auto"/>
          <w:lang w:val="en-US"/>
        </w:rPr>
        <w:t xml:space="preserve">submission </w:t>
      </w:r>
      <w:r w:rsidRPr="006D388C">
        <w:rPr>
          <w:color w:val="auto"/>
          <w:lang w:val="en-US"/>
        </w:rPr>
        <w:t>base case for each subpopulation in the proposed scenario and the population in the current scenario are presented below.</w:t>
      </w:r>
    </w:p>
    <w:p w:rsidR="0011015D" w:rsidRDefault="0011015D" w:rsidP="0011015D">
      <w:pPr>
        <w:pStyle w:val="Caption"/>
      </w:pPr>
      <w:r>
        <w:t xml:space="preserve">Figure </w:t>
      </w:r>
      <w:r w:rsidR="00074BE0">
        <w:rPr>
          <w:noProof/>
        </w:rPr>
        <w:t>5</w:t>
      </w:r>
      <w:r w:rsidR="00EF5451">
        <w:rPr>
          <w:noProof/>
        </w:rPr>
        <w:t xml:space="preserve">: </w:t>
      </w:r>
      <w:r>
        <w:t>Modelled overall survival curves used in the base case of the economic model</w:t>
      </w:r>
      <w:r w:rsidR="004B2D4A">
        <w:t xml:space="preserve"> (submission base case)</w:t>
      </w:r>
    </w:p>
    <w:p w:rsidR="0011015D" w:rsidRDefault="0011015D" w:rsidP="0011015D">
      <w:r>
        <w:rPr>
          <w:noProof/>
          <w:lang w:eastAsia="en-AU"/>
        </w:rPr>
        <w:drawing>
          <wp:inline distT="0" distB="0" distL="0" distR="0" wp14:anchorId="488FC206" wp14:editId="4E13451C">
            <wp:extent cx="5730875" cy="3493135"/>
            <wp:effectExtent l="0" t="0" r="3175" b="0"/>
            <wp:docPr id="979" name="Picture 979" title="Figure 5: Modelled overall survival curves used in the base case of the economic model (submission base 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0875" cy="3493135"/>
                    </a:xfrm>
                    <a:prstGeom prst="rect">
                      <a:avLst/>
                    </a:prstGeom>
                    <a:noFill/>
                  </pic:spPr>
                </pic:pic>
              </a:graphicData>
            </a:graphic>
          </wp:inline>
        </w:drawing>
      </w:r>
    </w:p>
    <w:p w:rsidR="0011015D" w:rsidRDefault="0011015D" w:rsidP="0011015D">
      <w:pPr>
        <w:pStyle w:val="TableFooter"/>
        <w:rPr>
          <w:lang w:val="en-US"/>
        </w:rPr>
      </w:pPr>
      <w:r w:rsidRPr="001A6648">
        <w:rPr>
          <w:lang w:val="en-US"/>
        </w:rPr>
        <w:t>Source: Compiled during the evaluation based on information presented in ‘Economic Evaluation.xlsx’ of the submission</w:t>
      </w:r>
    </w:p>
    <w:p w:rsidR="006F58DC" w:rsidRDefault="001B15C6" w:rsidP="006F58DC">
      <w:pPr>
        <w:pStyle w:val="TableFooter"/>
        <w:rPr>
          <w:lang w:val="en-US"/>
        </w:rPr>
      </w:pPr>
      <w:r>
        <w:t xml:space="preserve">ATZ = atezolizumab; ITT = intention-to-treat; nab-P = </w:t>
      </w:r>
      <w:r w:rsidRPr="00500B6B">
        <w:t>nanoparticle albumin–bound paclitaxel</w:t>
      </w:r>
      <w:r>
        <w:t xml:space="preserve">; </w:t>
      </w:r>
      <w:r w:rsidR="0011015D">
        <w:t>PD-L1 = programme</w:t>
      </w:r>
      <w:r>
        <w:t>d death ligand-1</w:t>
      </w:r>
      <w:r w:rsidR="004155FD">
        <w:rPr>
          <w:lang w:val="en-US"/>
        </w:rPr>
        <w:t>.</w:t>
      </w:r>
    </w:p>
    <w:p w:rsidR="006F58DC" w:rsidRPr="001A6648" w:rsidRDefault="006F58DC" w:rsidP="006F58DC">
      <w:pPr>
        <w:pStyle w:val="TableFooter"/>
      </w:pPr>
      <w:r w:rsidRPr="001A6648">
        <w:rPr>
          <w:lang w:val="en-US"/>
        </w:rPr>
        <w:t>PD-L1+ve:ATZ+nab-P (38%), PD-L1-ve:ATZ+nab+P (3%), PD-L1-ve: nab-P (57%); PD-L1+v</w:t>
      </w:r>
      <w:r>
        <w:rPr>
          <w:lang w:val="en-US"/>
        </w:rPr>
        <w:t>e: nab-P (2%) make up the proposed</w:t>
      </w:r>
      <w:r w:rsidRPr="001A6648">
        <w:rPr>
          <w:lang w:val="en-US"/>
        </w:rPr>
        <w:t xml:space="preserve"> scenario. The ITT:</w:t>
      </w:r>
      <w:r w:rsidR="005B0CCD">
        <w:rPr>
          <w:lang w:val="en-US"/>
        </w:rPr>
        <w:t xml:space="preserve"> </w:t>
      </w:r>
      <w:r w:rsidRPr="001A6648">
        <w:rPr>
          <w:lang w:val="en-US"/>
        </w:rPr>
        <w:t xml:space="preserve">nab-P arm was used to model the </w:t>
      </w:r>
      <w:r>
        <w:rPr>
          <w:lang w:val="en-US"/>
        </w:rPr>
        <w:t xml:space="preserve">current </w:t>
      </w:r>
      <w:r w:rsidRPr="001A6648">
        <w:rPr>
          <w:lang w:val="en-US"/>
        </w:rPr>
        <w:t>scenario.</w:t>
      </w:r>
    </w:p>
    <w:p w:rsidR="00B86EF0" w:rsidRPr="002820A1" w:rsidRDefault="0011015D" w:rsidP="00003E6F">
      <w:pPr>
        <w:pStyle w:val="ListParagraph"/>
        <w:rPr>
          <w:b/>
        </w:rPr>
      </w:pPr>
      <w:r w:rsidRPr="006D388C">
        <w:t>The incremental life years gained (discounted) in the submission’s base case over the modelled time horizon are summarised</w:t>
      </w:r>
      <w:r w:rsidR="002820A1">
        <w:t xml:space="preserve"> in the figure</w:t>
      </w:r>
      <w:r w:rsidRPr="006D388C">
        <w:t xml:space="preserve"> </w:t>
      </w:r>
      <w:r w:rsidRPr="006D388C">
        <w:rPr>
          <w:lang w:val="en-US"/>
        </w:rPr>
        <w:t xml:space="preserve">below. The incremental life years gained at median follow up (18 months) in the </w:t>
      </w:r>
      <w:r w:rsidR="00731B96" w:rsidRPr="006D388C">
        <w:rPr>
          <w:lang w:val="en-US"/>
        </w:rPr>
        <w:t>IMp</w:t>
      </w:r>
      <w:r w:rsidR="00731B96">
        <w:rPr>
          <w:lang w:val="en-US"/>
        </w:rPr>
        <w:t>a</w:t>
      </w:r>
      <w:r w:rsidR="00731B96" w:rsidRPr="006D388C">
        <w:rPr>
          <w:lang w:val="en-US"/>
        </w:rPr>
        <w:t xml:space="preserve">ssion130 </w:t>
      </w:r>
      <w:r w:rsidRPr="006D388C">
        <w:rPr>
          <w:lang w:val="en-US"/>
        </w:rPr>
        <w:t>trial was 0.039 (approximately two weeks). Beyond the median follow up, in the extrapolated portion of the OS curves, patients in the proposed scenario accrued an additional 6.8 months of survival compared to those in the current scenario (approximately 7.3 months overall). Approximately 94% of the incremental benefit in terms of life-years gained in the submission’s base case was therefore derived from the extrapolated portion of the OS curves.</w:t>
      </w:r>
    </w:p>
    <w:p w:rsidR="0011015D" w:rsidRDefault="0011015D" w:rsidP="0011015D">
      <w:pPr>
        <w:pStyle w:val="Caption"/>
      </w:pPr>
      <w:r>
        <w:lastRenderedPageBreak/>
        <w:t xml:space="preserve">Figure </w:t>
      </w:r>
      <w:r w:rsidR="00074BE0">
        <w:rPr>
          <w:noProof/>
        </w:rPr>
        <w:t>6</w:t>
      </w:r>
      <w:r w:rsidR="00EF5451">
        <w:rPr>
          <w:noProof/>
        </w:rPr>
        <w:t xml:space="preserve">: </w:t>
      </w:r>
      <w:r w:rsidRPr="0032227F">
        <w:t>Incremental life-years gained in the submission</w:t>
      </w:r>
      <w:r>
        <w:t>’s</w:t>
      </w:r>
      <w:r w:rsidRPr="0032227F">
        <w:t xml:space="preserve"> base case</w:t>
      </w:r>
    </w:p>
    <w:p w:rsidR="0011015D" w:rsidRDefault="005C0BC8" w:rsidP="0011015D">
      <w:pPr>
        <w:pStyle w:val="ListParagraph"/>
        <w:numPr>
          <w:ilvl w:val="0"/>
          <w:numId w:val="0"/>
        </w:numPr>
        <w:ind w:left="720"/>
        <w:rPr>
          <w:color w:val="auto"/>
        </w:rPr>
      </w:pPr>
      <w:r>
        <w:rPr>
          <w:noProof/>
          <w:lang w:eastAsia="en-AU"/>
        </w:rPr>
        <w:drawing>
          <wp:inline distT="0" distB="0" distL="0" distR="0" wp14:anchorId="11972C12" wp14:editId="2E98B4E0">
            <wp:extent cx="5464810" cy="3580130"/>
            <wp:effectExtent l="0" t="0" r="2540" b="1270"/>
            <wp:docPr id="19" name="Picture 19" title="Figure 6: Incremental life-years gained in the submission’s base 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64810" cy="3580130"/>
                    </a:xfrm>
                    <a:prstGeom prst="rect">
                      <a:avLst/>
                    </a:prstGeom>
                  </pic:spPr>
                </pic:pic>
              </a:graphicData>
            </a:graphic>
          </wp:inline>
        </w:drawing>
      </w:r>
    </w:p>
    <w:p w:rsidR="006F58DC" w:rsidRDefault="006F58DC" w:rsidP="006F58DC">
      <w:pPr>
        <w:pStyle w:val="TableFooter"/>
        <w:rPr>
          <w:lang w:val="en-US"/>
        </w:rPr>
      </w:pPr>
      <w:r w:rsidRPr="0032227F">
        <w:rPr>
          <w:lang w:val="en-US"/>
        </w:rPr>
        <w:t>Source: Compiled during the evaluation based on information presented in ‘Economic Evaluation.xlsx’ of the submission</w:t>
      </w:r>
      <w:r w:rsidR="005B0CCD">
        <w:rPr>
          <w:lang w:val="en-US"/>
        </w:rPr>
        <w:t>.</w:t>
      </w:r>
    </w:p>
    <w:p w:rsidR="00340547" w:rsidRPr="0032227F" w:rsidRDefault="00340547" w:rsidP="00340547">
      <w:pPr>
        <w:pStyle w:val="TableFooter"/>
      </w:pPr>
      <w:r w:rsidRPr="0032227F">
        <w:t xml:space="preserve">ATZ = atezolizumab; </w:t>
      </w:r>
      <w:r>
        <w:t>LYG = life year gained;</w:t>
      </w:r>
      <w:r w:rsidRPr="00A54259">
        <w:t xml:space="preserve"> </w:t>
      </w:r>
      <w:r w:rsidRPr="0032227F">
        <w:t>nab-P = nanoparticle albumin–bound paclitaxel</w:t>
      </w:r>
      <w:r>
        <w:t xml:space="preserve">; </w:t>
      </w:r>
      <w:r w:rsidRPr="0032227F">
        <w:t>PD</w:t>
      </w:r>
      <w:r>
        <w:t>-L1 = programmed death ligand-1</w:t>
      </w:r>
      <w:r w:rsidR="005B0CCD">
        <w:t>.</w:t>
      </w:r>
    </w:p>
    <w:p w:rsidR="002820A1" w:rsidRPr="0000195B" w:rsidRDefault="0011015D" w:rsidP="0011015D">
      <w:pPr>
        <w:pStyle w:val="ListParagraph"/>
        <w:numPr>
          <w:ilvl w:val="4"/>
          <w:numId w:val="1"/>
        </w:numPr>
        <w:rPr>
          <w:color w:val="auto"/>
        </w:rPr>
      </w:pPr>
      <w:r w:rsidRPr="006D388C">
        <w:rPr>
          <w:color w:val="auto"/>
        </w:rPr>
        <w:t xml:space="preserve">In </w:t>
      </w:r>
      <w:r w:rsidR="006C6084">
        <w:rPr>
          <w:color w:val="auto"/>
        </w:rPr>
        <w:t xml:space="preserve">the </w:t>
      </w:r>
      <w:r w:rsidRPr="006D388C">
        <w:rPr>
          <w:color w:val="auto"/>
        </w:rPr>
        <w:t>National Institute for Health and Care Excellence (NICE) consideration of ATZ+na</w:t>
      </w:r>
      <w:r w:rsidR="00935B58" w:rsidRPr="006D388C">
        <w:rPr>
          <w:color w:val="auto"/>
        </w:rPr>
        <w:t>b</w:t>
      </w:r>
      <w:r w:rsidRPr="006D388C">
        <w:rPr>
          <w:color w:val="auto"/>
        </w:rPr>
        <w:t>-P, lo</w:t>
      </w:r>
      <w:r w:rsidR="004155FD">
        <w:rPr>
          <w:color w:val="auto"/>
        </w:rPr>
        <w:t>ng-</w:t>
      </w:r>
      <w:r w:rsidRPr="006D388C">
        <w:rPr>
          <w:color w:val="auto"/>
        </w:rPr>
        <w:t>term OS was estimated to be 4% at 6 years and 0.2% at 10 years for PD-L1</w:t>
      </w:r>
      <w:r w:rsidR="00666CF6">
        <w:rPr>
          <w:color w:val="auto"/>
        </w:rPr>
        <w:t>-</w:t>
      </w:r>
      <w:r w:rsidRPr="006D388C">
        <w:rPr>
          <w:color w:val="auto"/>
        </w:rPr>
        <w:t>positive patients treated with ATZ+nab-P based on sponsor provided clinical expert opinion</w:t>
      </w:r>
      <w:r w:rsidRPr="006D388C">
        <w:rPr>
          <w:rStyle w:val="FootnoteReference"/>
          <w:color w:val="auto"/>
        </w:rPr>
        <w:footnoteReference w:id="14"/>
      </w:r>
      <w:r w:rsidRPr="006D388C">
        <w:rPr>
          <w:color w:val="auto"/>
        </w:rPr>
        <w:t xml:space="preserve">. </w:t>
      </w:r>
      <w:r w:rsidR="00C07AB7">
        <w:rPr>
          <w:color w:val="auto"/>
        </w:rPr>
        <w:t xml:space="preserve">This was significantly lower than estimated in the submission’s base case, which estimated </w:t>
      </w:r>
      <w:r w:rsidR="00C07AB7" w:rsidRPr="006D388C">
        <w:rPr>
          <w:color w:val="auto"/>
        </w:rPr>
        <w:t xml:space="preserve">OS </w:t>
      </w:r>
      <w:r w:rsidR="00C07AB7">
        <w:rPr>
          <w:color w:val="auto"/>
        </w:rPr>
        <w:t xml:space="preserve">to be </w:t>
      </w:r>
      <w:r w:rsidR="00C07AB7" w:rsidRPr="006D388C">
        <w:rPr>
          <w:color w:val="auto"/>
        </w:rPr>
        <w:t>15% at year 6 and 7.5% at year 10</w:t>
      </w:r>
      <w:r w:rsidR="00C07AB7">
        <w:rPr>
          <w:color w:val="auto"/>
        </w:rPr>
        <w:t xml:space="preserve"> for </w:t>
      </w:r>
      <w:r w:rsidRPr="006D388C">
        <w:rPr>
          <w:color w:val="auto"/>
        </w:rPr>
        <w:t>PD-L1</w:t>
      </w:r>
      <w:r w:rsidR="00666CF6">
        <w:rPr>
          <w:color w:val="auto"/>
        </w:rPr>
        <w:t>-</w:t>
      </w:r>
      <w:r w:rsidRPr="006D388C">
        <w:rPr>
          <w:color w:val="auto"/>
        </w:rPr>
        <w:t xml:space="preserve">positive patients treated with ATZ+nab-P </w:t>
      </w:r>
      <w:r w:rsidR="00C07AB7">
        <w:rPr>
          <w:color w:val="auto"/>
        </w:rPr>
        <w:t>(</w:t>
      </w:r>
      <w:r w:rsidRPr="006D388C">
        <w:rPr>
          <w:color w:val="auto"/>
        </w:rPr>
        <w:t>using a log-logistic parametric function</w:t>
      </w:r>
      <w:r w:rsidR="00C07AB7">
        <w:rPr>
          <w:color w:val="auto"/>
        </w:rPr>
        <w:t>).</w:t>
      </w:r>
      <w:r w:rsidRPr="006D388C">
        <w:rPr>
          <w:color w:val="auto"/>
        </w:rPr>
        <w:t xml:space="preserve"> The Weibull parametric function (OS rate of 5.2% at 6 years and 0.3% at 10 years) may reflect the </w:t>
      </w:r>
      <w:r w:rsidR="00370CD7">
        <w:rPr>
          <w:color w:val="auto"/>
        </w:rPr>
        <w:t>OS</w:t>
      </w:r>
      <w:r w:rsidRPr="006D388C">
        <w:rPr>
          <w:color w:val="auto"/>
        </w:rPr>
        <w:t xml:space="preserve"> of patients </w:t>
      </w:r>
      <w:r w:rsidR="001307E3" w:rsidRPr="006D388C">
        <w:rPr>
          <w:color w:val="auto"/>
        </w:rPr>
        <w:t xml:space="preserve">treated with ATZ+nab-P </w:t>
      </w:r>
      <w:r w:rsidRPr="006D388C">
        <w:rPr>
          <w:color w:val="auto"/>
        </w:rPr>
        <w:t xml:space="preserve">more accurately. </w:t>
      </w:r>
      <w:r w:rsidR="00C07AB7">
        <w:rPr>
          <w:color w:val="auto"/>
        </w:rPr>
        <w:t>Further, a</w:t>
      </w:r>
      <w:r w:rsidRPr="006D388C">
        <w:rPr>
          <w:color w:val="auto"/>
        </w:rPr>
        <w:t xml:space="preserve"> Weibull distribution was used in the Sponsor’s submission to NICE, and</w:t>
      </w:r>
      <w:r w:rsidR="00935B58" w:rsidRPr="006D388C">
        <w:rPr>
          <w:color w:val="auto"/>
        </w:rPr>
        <w:t xml:space="preserve"> in</w:t>
      </w:r>
      <w:r w:rsidRPr="006D388C">
        <w:rPr>
          <w:color w:val="auto"/>
        </w:rPr>
        <w:t xml:space="preserve"> the NICE technology assessment prepared by the evidence review group.</w:t>
      </w:r>
      <w:r w:rsidR="00E915AF">
        <w:rPr>
          <w:color w:val="auto"/>
        </w:rPr>
        <w:t xml:space="preserve"> </w:t>
      </w:r>
      <w:r w:rsidR="008434C4" w:rsidRPr="008F6F21">
        <w:rPr>
          <w:color w:val="auto"/>
        </w:rPr>
        <w:t>The ESCs noted that the PSCR disagreed with the use of Weibull distributions to extrapolate OS in all comparative scenarios, arguing that the modelled OS benefit was supported by efficacy data from the I</w:t>
      </w:r>
      <w:r w:rsidR="001307E3" w:rsidRPr="008F6F21">
        <w:rPr>
          <w:color w:val="auto"/>
        </w:rPr>
        <w:t>M</w:t>
      </w:r>
      <w:r w:rsidR="008434C4" w:rsidRPr="008F6F21">
        <w:rPr>
          <w:color w:val="auto"/>
        </w:rPr>
        <w:t xml:space="preserve">passion130 trial. </w:t>
      </w:r>
      <w:r w:rsidR="007C3C99" w:rsidRPr="008F6F21">
        <w:rPr>
          <w:color w:val="auto"/>
        </w:rPr>
        <w:t>The ESCs noted that</w:t>
      </w:r>
      <w:r w:rsidR="007E5636" w:rsidRPr="008F6F21">
        <w:rPr>
          <w:color w:val="auto"/>
        </w:rPr>
        <w:t>,</w:t>
      </w:r>
      <w:r w:rsidR="007C3C99" w:rsidRPr="008F6F21">
        <w:rPr>
          <w:color w:val="auto"/>
        </w:rPr>
        <w:t xml:space="preserve"> for </w:t>
      </w:r>
      <w:r w:rsidR="007E5636" w:rsidRPr="008F6F21">
        <w:rPr>
          <w:color w:val="auto"/>
        </w:rPr>
        <w:t xml:space="preserve">both </w:t>
      </w:r>
      <w:r w:rsidR="007C3C99" w:rsidRPr="008F6F21">
        <w:rPr>
          <w:color w:val="auto"/>
        </w:rPr>
        <w:t>AIC and BIC</w:t>
      </w:r>
      <w:r w:rsidR="007E5636" w:rsidRPr="008F6F21">
        <w:rPr>
          <w:color w:val="auto"/>
        </w:rPr>
        <w:t>,</w:t>
      </w:r>
      <w:r w:rsidR="007C3C99" w:rsidRPr="008F6F21">
        <w:rPr>
          <w:color w:val="auto"/>
        </w:rPr>
        <w:t xml:space="preserve"> Weibull was the best fit for all </w:t>
      </w:r>
      <w:r w:rsidR="007C3C99" w:rsidRPr="008F6F21">
        <w:rPr>
          <w:color w:val="auto"/>
        </w:rPr>
        <w:lastRenderedPageBreak/>
        <w:t>treatment arms except the PD-L1</w:t>
      </w:r>
      <w:r w:rsidR="00666CF6">
        <w:rPr>
          <w:color w:val="auto"/>
        </w:rPr>
        <w:t>-</w:t>
      </w:r>
      <w:r w:rsidR="007C3C99" w:rsidRPr="008F6F21">
        <w:rPr>
          <w:color w:val="auto"/>
        </w:rPr>
        <w:t>positive population treated with nab-P (false</w:t>
      </w:r>
      <w:r w:rsidR="004B7914">
        <w:rPr>
          <w:color w:val="auto"/>
        </w:rPr>
        <w:t xml:space="preserve"> </w:t>
      </w:r>
      <w:r w:rsidR="007C3C99" w:rsidRPr="008F6F21">
        <w:rPr>
          <w:color w:val="auto"/>
        </w:rPr>
        <w:t>negatives, approximately 2% of the modelled population).</w:t>
      </w:r>
    </w:p>
    <w:p w:rsidR="009E3A64" w:rsidRPr="00A50B74" w:rsidRDefault="002820A1" w:rsidP="00C02007">
      <w:pPr>
        <w:pStyle w:val="ListParagraph"/>
        <w:rPr>
          <w:b/>
        </w:rPr>
      </w:pPr>
      <w:r>
        <w:t>The pre-PBAC response presented a</w:t>
      </w:r>
      <w:r w:rsidRPr="00EC7602">
        <w:t xml:space="preserve"> </w:t>
      </w:r>
      <w:r>
        <w:t>revised</w:t>
      </w:r>
      <w:r w:rsidRPr="00EC7602">
        <w:t xml:space="preserve"> base case which </w:t>
      </w:r>
      <w:r>
        <w:t xml:space="preserve">applied the log-logistic function only for </w:t>
      </w:r>
      <w:r w:rsidR="00C07AB7">
        <w:t xml:space="preserve">the </w:t>
      </w:r>
      <w:r>
        <w:t xml:space="preserve">OS extrapolation </w:t>
      </w:r>
      <w:r w:rsidR="00C07AB7">
        <w:t>of</w:t>
      </w:r>
      <w:r>
        <w:t xml:space="preserve"> true PD-L1</w:t>
      </w:r>
      <w:r w:rsidR="00666CF6">
        <w:t>-</w:t>
      </w:r>
      <w:r>
        <w:t>positive patients treated with ATZ+nab-P. The Weibull function was used for extrapolation of OS for all other populations in the model. In addition, the revised base case in the pre-PBAC response converged the ATZ</w:t>
      </w:r>
      <w:r w:rsidRPr="00EC7602">
        <w:t>+</w:t>
      </w:r>
      <w:r>
        <w:t>nab-P</w:t>
      </w:r>
      <w:r w:rsidRPr="00EC7602">
        <w:t xml:space="preserve"> OS curve to the current scenario curve; with convergence appl</w:t>
      </w:r>
      <w:r w:rsidR="009E3A64">
        <w:t>ied</w:t>
      </w:r>
      <w:r w:rsidRPr="00EC7602">
        <w:t xml:space="preserve"> from 90 months to the </w:t>
      </w:r>
      <w:r>
        <w:t>end of the time horizon (120 months)</w:t>
      </w:r>
      <w:r w:rsidRPr="00EC7602">
        <w:t>.</w:t>
      </w:r>
      <w:r>
        <w:t xml:space="preserve"> </w:t>
      </w:r>
      <w:r w:rsidR="009E3A64">
        <w:t>The PBAC noted that no justification was provided for the point at w</w:t>
      </w:r>
      <w:r w:rsidR="004155FD">
        <w:t>hich convergence was commenced.</w:t>
      </w:r>
    </w:p>
    <w:p w:rsidR="002820A1" w:rsidRPr="00003E6F" w:rsidRDefault="009E3A64" w:rsidP="00C02007">
      <w:pPr>
        <w:pStyle w:val="ListParagraph"/>
        <w:rPr>
          <w:b/>
        </w:rPr>
      </w:pPr>
      <w:r>
        <w:t>T</w:t>
      </w:r>
      <w:r w:rsidR="002820A1">
        <w:t xml:space="preserve">he </w:t>
      </w:r>
      <w:r>
        <w:t>pre-PBAC response’s</w:t>
      </w:r>
      <w:r w:rsidR="002820A1">
        <w:t xml:space="preserve"> approach</w:t>
      </w:r>
      <w:r w:rsidR="00C02007">
        <w:t>, which</w:t>
      </w:r>
      <w:r w:rsidR="002820A1">
        <w:t xml:space="preserve"> </w:t>
      </w:r>
      <w:r w:rsidR="00C07AB7">
        <w:t>continued to apply the log-logistic function for extrapolation of OS in true PD-L1</w:t>
      </w:r>
      <w:r w:rsidR="00666CF6">
        <w:t>-</w:t>
      </w:r>
      <w:r w:rsidR="00C07AB7">
        <w:t>positiv</w:t>
      </w:r>
      <w:r>
        <w:t>e patients treated with ATZ+nab</w:t>
      </w:r>
      <w:r>
        <w:noBreakHyphen/>
      </w:r>
      <w:r w:rsidR="00C07AB7">
        <w:t>P</w:t>
      </w:r>
      <w:r w:rsidR="00C02007">
        <w:t xml:space="preserve">, </w:t>
      </w:r>
      <w:r w:rsidR="00A71E6B">
        <w:t>estimat</w:t>
      </w:r>
      <w:r w:rsidR="002820A1">
        <w:t xml:space="preserve">ed an average of 0.31 </w:t>
      </w:r>
      <w:r w:rsidR="00941A4F">
        <w:t xml:space="preserve">incremental </w:t>
      </w:r>
      <w:r w:rsidR="002820A1">
        <w:t xml:space="preserve">life years </w:t>
      </w:r>
      <w:r w:rsidR="00941A4F">
        <w:t xml:space="preserve">gained </w:t>
      </w:r>
      <w:r w:rsidR="002820A1">
        <w:t xml:space="preserve">(3.7 months) in the </w:t>
      </w:r>
      <w:r w:rsidR="00A71E6B">
        <w:t>proposed scenario</w:t>
      </w:r>
      <w:r w:rsidR="002820A1">
        <w:t xml:space="preserve"> compared with the current scenario</w:t>
      </w:r>
      <w:r w:rsidR="00941A4F">
        <w:t xml:space="preserve">, versus </w:t>
      </w:r>
      <w:r w:rsidR="00941A4F" w:rsidRPr="00941A4F">
        <w:t xml:space="preserve">0.039 incremental life years gained </w:t>
      </w:r>
      <w:r w:rsidR="00C02007" w:rsidRPr="00C02007">
        <w:t>at media</w:t>
      </w:r>
      <w:r w:rsidR="00C02007">
        <w:t xml:space="preserve">n follow up (18 months) in the </w:t>
      </w:r>
      <w:r w:rsidR="00C02007" w:rsidRPr="00C02007">
        <w:t xml:space="preserve">IMpassion130 trial </w:t>
      </w:r>
      <w:r w:rsidR="00450774">
        <w:t>with the OS gains not being statistically significant when adjusted for multiplicity</w:t>
      </w:r>
      <w:r w:rsidR="002820A1">
        <w:t>.</w:t>
      </w:r>
    </w:p>
    <w:p w:rsidR="0011015D" w:rsidRPr="008F6F21" w:rsidRDefault="006F40D1" w:rsidP="00C02007">
      <w:pPr>
        <w:pStyle w:val="ListParagraph"/>
      </w:pPr>
      <w:r>
        <w:t xml:space="preserve">The PBAC </w:t>
      </w:r>
      <w:r w:rsidR="00941A4F">
        <w:t>acknowledg</w:t>
      </w:r>
      <w:r>
        <w:t>ed that there was little difference in the AIC and BIC statistics between the Weibull and log-logistic distributions</w:t>
      </w:r>
      <w:r w:rsidR="00C07AB7">
        <w:t xml:space="preserve"> in the proposed scenarios</w:t>
      </w:r>
      <w:r w:rsidR="00941A4F">
        <w:t>, but noted that Weibull was the best fitting function for the proposed scenario for true PD-L1</w:t>
      </w:r>
      <w:r w:rsidR="00666CF6">
        <w:t>-</w:t>
      </w:r>
      <w:r w:rsidR="00941A4F">
        <w:t>positive patients</w:t>
      </w:r>
      <w:r w:rsidR="00941A4F" w:rsidRPr="00941A4F">
        <w:t xml:space="preserve"> </w:t>
      </w:r>
      <w:r w:rsidR="00941A4F">
        <w:t>using AIC and BIC</w:t>
      </w:r>
      <w:r>
        <w:t xml:space="preserve">. The PBAC noted that the sponsor argued that </w:t>
      </w:r>
      <w:r w:rsidRPr="00EC7602">
        <w:t>the log-logistic function is appropriate to extrapolate OS for the PD</w:t>
      </w:r>
      <w:r w:rsidRPr="00EC7602">
        <w:noBreakHyphen/>
        <w:t>L1</w:t>
      </w:r>
      <w:r w:rsidRPr="00EC7602">
        <w:noBreakHyphen/>
      </w:r>
      <w:r w:rsidR="00072D1D">
        <w:t>true-</w:t>
      </w:r>
      <w:r w:rsidRPr="00EC7602">
        <w:t xml:space="preserve">positive population that receive </w:t>
      </w:r>
      <w:r>
        <w:t>ATZ+nab-P and “t</w:t>
      </w:r>
      <w:r>
        <w:rPr>
          <w:rFonts w:ascii="Calibri" w:eastAsia="Times New Roman" w:hAnsi="Calibri" w:cs="Calibri"/>
          <w:color w:val="000000"/>
        </w:rPr>
        <w:t>he potential for ongoing and durable response is further supported by clinical data from other immunotherapy trials and is consistent with expectations of clinicians who are experts in this field”</w:t>
      </w:r>
      <w:r>
        <w:t xml:space="preserve">. </w:t>
      </w:r>
      <w:r w:rsidR="009E3A64">
        <w:t>However, t</w:t>
      </w:r>
      <w:r w:rsidR="00543EF4">
        <w:t xml:space="preserve">he PBAC </w:t>
      </w:r>
      <w:r w:rsidR="00941A4F">
        <w:t>considered</w:t>
      </w:r>
      <w:r>
        <w:t xml:space="preserve"> that the use of </w:t>
      </w:r>
      <w:r w:rsidR="00941A4F">
        <w:t>different parametric functions for the proposed scenario for true PD-L1</w:t>
      </w:r>
      <w:r w:rsidR="00666CF6">
        <w:t>-</w:t>
      </w:r>
      <w:r w:rsidR="00941A4F">
        <w:t xml:space="preserve">positive patients (treated with ATZ+nab-P) and the current scenario was not </w:t>
      </w:r>
      <w:r w:rsidR="007F06C0">
        <w:t>adequately justified</w:t>
      </w:r>
      <w:r w:rsidR="00941A4F">
        <w:t xml:space="preserve"> and </w:t>
      </w:r>
      <w:r w:rsidR="00C02007">
        <w:t>(</w:t>
      </w:r>
      <w:r w:rsidR="00543EF4">
        <w:t xml:space="preserve">even </w:t>
      </w:r>
      <w:r w:rsidR="00C02007">
        <w:t xml:space="preserve">with convergence to the comparator curve from 90 to 120 months) </w:t>
      </w:r>
      <w:r w:rsidR="00C02007" w:rsidRPr="00C02007">
        <w:rPr>
          <w:color w:val="auto"/>
        </w:rPr>
        <w:t>resulted in an OS advantage</w:t>
      </w:r>
      <w:r w:rsidR="00543EF4">
        <w:rPr>
          <w:color w:val="auto"/>
        </w:rPr>
        <w:t xml:space="preserve"> that was not adequately supported by the clinical trial data</w:t>
      </w:r>
      <w:r w:rsidR="00941A4F">
        <w:t xml:space="preserve">. </w:t>
      </w:r>
      <w:r w:rsidR="009E3A64">
        <w:t xml:space="preserve">The PBAC considered that the Weibull function resulted in OS estimates that were more clinically plausible (as outlined in </w:t>
      </w:r>
      <w:r w:rsidR="00253A24" w:rsidRPr="00253A24">
        <w:t>Paragraph 6.49</w:t>
      </w:r>
      <w:r w:rsidR="009E3A64" w:rsidRPr="00253A24">
        <w:t xml:space="preserve">). </w:t>
      </w:r>
      <w:r w:rsidR="00941A4F" w:rsidRPr="00253A24">
        <w:t>As suc</w:t>
      </w:r>
      <w:r w:rsidR="00941A4F">
        <w:t xml:space="preserve">h, the PBAC considered that </w:t>
      </w:r>
      <w:r w:rsidRPr="008F6F21">
        <w:rPr>
          <w:rFonts w:ascii="Calibri" w:hAnsi="Calibri" w:cs="Calibri"/>
          <w:iCs/>
          <w:color w:val="000000"/>
        </w:rPr>
        <w:t>the Weibull parametric function is the most appropriate method for extrapolating the OS curves in both the proposed scenario and the current scenario</w:t>
      </w:r>
      <w:r w:rsidR="00EE6799">
        <w:rPr>
          <w:rFonts w:ascii="Calibri" w:hAnsi="Calibri" w:cs="Calibri"/>
          <w:iCs/>
          <w:color w:val="000000"/>
        </w:rPr>
        <w:t>, based on the clinical data currently available</w:t>
      </w:r>
      <w:r>
        <w:t>.</w:t>
      </w:r>
    </w:p>
    <w:p w:rsidR="006348E7" w:rsidRPr="005601E0" w:rsidRDefault="0011015D" w:rsidP="005601E0">
      <w:pPr>
        <w:pStyle w:val="ListParagraph"/>
        <w:numPr>
          <w:ilvl w:val="4"/>
          <w:numId w:val="1"/>
        </w:numPr>
        <w:rPr>
          <w:color w:val="auto"/>
        </w:rPr>
      </w:pPr>
      <w:r w:rsidRPr="006D388C">
        <w:rPr>
          <w:color w:val="auto"/>
        </w:rPr>
        <w:t xml:space="preserve">The submission </w:t>
      </w:r>
      <w:r w:rsidR="00385BCF">
        <w:rPr>
          <w:color w:val="auto"/>
        </w:rPr>
        <w:t>did not</w:t>
      </w:r>
      <w:r w:rsidRPr="006D388C">
        <w:rPr>
          <w:color w:val="auto"/>
        </w:rPr>
        <w:t xml:space="preserve"> account for disutilities associated with treatment. </w:t>
      </w:r>
      <w:r w:rsidR="0043228E" w:rsidRPr="008F6F21">
        <w:rPr>
          <w:color w:val="auto"/>
        </w:rPr>
        <w:t>The ESCs agreed with the commentary that t</w:t>
      </w:r>
      <w:r w:rsidRPr="006D388C">
        <w:rPr>
          <w:color w:val="auto"/>
        </w:rPr>
        <w:t>his was not reasonable, as there was an inferior safety profile with combination treatment (ATZ+nab-P) compared to monotherapy (nab-P). In addition, the submission failed to consider the likelihood of re-biopsy or re-test</w:t>
      </w:r>
      <w:r w:rsidR="001D2DB9" w:rsidRPr="006D388C">
        <w:rPr>
          <w:color w:val="auto"/>
        </w:rPr>
        <w:t>ing</w:t>
      </w:r>
      <w:r w:rsidRPr="006D388C">
        <w:rPr>
          <w:color w:val="auto"/>
        </w:rPr>
        <w:t>, and any adverse events relating to the conduct of either the original or subsequent tests</w:t>
      </w:r>
      <w:r w:rsidR="001307E3">
        <w:rPr>
          <w:color w:val="auto"/>
        </w:rPr>
        <w:t>.</w:t>
      </w:r>
      <w:r w:rsidR="0043228E">
        <w:rPr>
          <w:color w:val="auto"/>
        </w:rPr>
        <w:t xml:space="preserve"> </w:t>
      </w:r>
      <w:r w:rsidR="001307E3" w:rsidRPr="008F6F21">
        <w:rPr>
          <w:color w:val="auto"/>
        </w:rPr>
        <w:t>T</w:t>
      </w:r>
      <w:r w:rsidR="0043228E" w:rsidRPr="008F6F21">
        <w:rPr>
          <w:color w:val="auto"/>
        </w:rPr>
        <w:t>he ESCs considered that disutility fr</w:t>
      </w:r>
      <w:r w:rsidR="001307E3" w:rsidRPr="008F6F21">
        <w:rPr>
          <w:color w:val="auto"/>
        </w:rPr>
        <w:t>o</w:t>
      </w:r>
      <w:r w:rsidR="0043228E" w:rsidRPr="008F6F21">
        <w:rPr>
          <w:color w:val="auto"/>
        </w:rPr>
        <w:t>m these events should have been included</w:t>
      </w:r>
      <w:r w:rsidR="00F71008" w:rsidRPr="008F6F21">
        <w:rPr>
          <w:color w:val="auto"/>
        </w:rPr>
        <w:t>.</w:t>
      </w:r>
      <w:r w:rsidR="006348E7">
        <w:rPr>
          <w:color w:val="auto"/>
        </w:rPr>
        <w:t xml:space="preserve"> </w:t>
      </w:r>
      <w:r w:rsidR="007F250B">
        <w:rPr>
          <w:color w:val="auto"/>
        </w:rPr>
        <w:t>T</w:t>
      </w:r>
      <w:r w:rsidR="006348E7">
        <w:rPr>
          <w:color w:val="auto"/>
        </w:rPr>
        <w:t xml:space="preserve">he </w:t>
      </w:r>
      <w:r w:rsidR="00EE6799">
        <w:rPr>
          <w:color w:val="auto"/>
        </w:rPr>
        <w:t>p</w:t>
      </w:r>
      <w:r w:rsidR="006348E7">
        <w:rPr>
          <w:color w:val="auto"/>
        </w:rPr>
        <w:t xml:space="preserve">re-PBAC response maintained that </w:t>
      </w:r>
      <w:r w:rsidR="006348E7" w:rsidRPr="005601E0">
        <w:rPr>
          <w:color w:val="auto"/>
        </w:rPr>
        <w:t>it is not appropriate to apply disutilities</w:t>
      </w:r>
      <w:r w:rsidR="009868D4">
        <w:rPr>
          <w:color w:val="auto"/>
        </w:rPr>
        <w:t xml:space="preserve"> associated with treatment</w:t>
      </w:r>
      <w:r w:rsidR="006348E7" w:rsidRPr="005601E0">
        <w:rPr>
          <w:color w:val="auto"/>
        </w:rPr>
        <w:t xml:space="preserve"> in the economic evaluation</w:t>
      </w:r>
      <w:r w:rsidR="005601E0">
        <w:rPr>
          <w:color w:val="auto"/>
        </w:rPr>
        <w:t xml:space="preserve"> because th</w:t>
      </w:r>
      <w:r w:rsidR="006348E7" w:rsidRPr="005601E0">
        <w:rPr>
          <w:color w:val="auto"/>
        </w:rPr>
        <w:t xml:space="preserve">e impact </w:t>
      </w:r>
      <w:r w:rsidR="006348E7" w:rsidRPr="005601E0">
        <w:rPr>
          <w:color w:val="auto"/>
        </w:rPr>
        <w:lastRenderedPageBreak/>
        <w:t xml:space="preserve">of adverse events on patient quality of life is captured within the EQ-5D </w:t>
      </w:r>
      <w:r w:rsidR="005E082D">
        <w:rPr>
          <w:color w:val="auto"/>
        </w:rPr>
        <w:t>data from the IMpassion130 trial, which is used in the model</w:t>
      </w:r>
      <w:r w:rsidR="004155FD">
        <w:rPr>
          <w:color w:val="auto"/>
        </w:rPr>
        <w:t>.</w:t>
      </w:r>
    </w:p>
    <w:p w:rsidR="0011015D" w:rsidRPr="00666CF6" w:rsidRDefault="0011015D" w:rsidP="0011015D">
      <w:pPr>
        <w:pStyle w:val="ListParagraph"/>
        <w:numPr>
          <w:ilvl w:val="4"/>
          <w:numId w:val="1"/>
        </w:numPr>
        <w:rPr>
          <w:color w:val="auto"/>
        </w:rPr>
      </w:pPr>
      <w:r w:rsidRPr="00BE30A3">
        <w:rPr>
          <w:color w:val="auto"/>
        </w:rPr>
        <w:t xml:space="preserve">The base case economic evaluation used the prevalence of PD-L1 IC ≥1% expression </w:t>
      </w:r>
      <w:r>
        <w:rPr>
          <w:color w:val="auto"/>
        </w:rPr>
        <w:t xml:space="preserve">identified in </w:t>
      </w:r>
      <w:r w:rsidRPr="00BE30A3">
        <w:rPr>
          <w:color w:val="auto"/>
        </w:rPr>
        <w:t>the IMpassion130 trial (40.91%)</w:t>
      </w:r>
      <w:r>
        <w:rPr>
          <w:color w:val="auto"/>
        </w:rPr>
        <w:t xml:space="preserve"> using </w:t>
      </w:r>
      <w:r w:rsidRPr="00BE30A3">
        <w:rPr>
          <w:color w:val="auto"/>
        </w:rPr>
        <w:t>the Ventana SP142</w:t>
      </w:r>
      <w:r>
        <w:rPr>
          <w:color w:val="auto"/>
        </w:rPr>
        <w:t>-IC assays. The health outcomes (OS and PFS) modelled in the submission were based on the results of the Ventana SP142 test</w:t>
      </w:r>
      <w:r w:rsidRPr="00BE30A3">
        <w:rPr>
          <w:color w:val="auto"/>
        </w:rPr>
        <w:t xml:space="preserve">. </w:t>
      </w:r>
      <w:r>
        <w:rPr>
          <w:rFonts w:ascii="Calibri" w:eastAsia="Times New Roman" w:hAnsi="Calibri" w:cs="Arial"/>
          <w:color w:val="auto"/>
          <w:szCs w:val="24"/>
          <w:lang w:eastAsia="en-AU"/>
        </w:rPr>
        <w:t>T</w:t>
      </w:r>
      <w:r w:rsidRPr="00052D7C">
        <w:rPr>
          <w:rFonts w:ascii="Calibri" w:eastAsia="Times New Roman" w:hAnsi="Calibri" w:cs="Arial"/>
          <w:color w:val="auto"/>
          <w:szCs w:val="24"/>
          <w:lang w:eastAsia="en-AU"/>
        </w:rPr>
        <w:t>here are currently two other commercially available PD-L1 IHC assays that can be used to determine PD-L1 status in TNBC;</w:t>
      </w:r>
      <w:r>
        <w:t xml:space="preserve"> </w:t>
      </w:r>
      <w:r>
        <w:rPr>
          <w:color w:val="auto"/>
        </w:rPr>
        <w:t xml:space="preserve">the </w:t>
      </w:r>
      <w:r w:rsidRPr="00320360">
        <w:rPr>
          <w:color w:val="auto"/>
        </w:rPr>
        <w:t>VENTANA PD-L1 (SP263) and Agilent/Dako PD-L1 (22C3) pharmDx</w:t>
      </w:r>
      <w:r w:rsidRPr="00E602EF">
        <w:rPr>
          <w:color w:val="auto"/>
        </w:rPr>
        <w:t xml:space="preserve"> </w:t>
      </w:r>
      <w:r>
        <w:rPr>
          <w:color w:val="auto"/>
        </w:rPr>
        <w:t>a</w:t>
      </w:r>
      <w:r w:rsidRPr="00320360">
        <w:rPr>
          <w:color w:val="auto"/>
        </w:rPr>
        <w:t>ssay</w:t>
      </w:r>
      <w:r>
        <w:rPr>
          <w:color w:val="auto"/>
        </w:rPr>
        <w:t>s. T</w:t>
      </w:r>
      <w:r w:rsidRPr="00BE30A3">
        <w:rPr>
          <w:color w:val="auto"/>
        </w:rPr>
        <w:t xml:space="preserve">he concordance between these tests </w:t>
      </w:r>
      <w:r w:rsidR="001D2DB9">
        <w:rPr>
          <w:color w:val="auto"/>
        </w:rPr>
        <w:t>is poor</w:t>
      </w:r>
      <w:r w:rsidR="001D2DB9" w:rsidRPr="00A61D77">
        <w:rPr>
          <w:color w:val="auto"/>
        </w:rPr>
        <w:t xml:space="preserve">. No </w:t>
      </w:r>
      <w:r w:rsidR="005938F2" w:rsidRPr="00A61D77">
        <w:rPr>
          <w:color w:val="auto"/>
        </w:rPr>
        <w:t>e</w:t>
      </w:r>
      <w:r w:rsidR="001D2DB9" w:rsidRPr="00A61D77">
        <w:rPr>
          <w:color w:val="auto"/>
        </w:rPr>
        <w:t>vidence of the prevalence of PD-L1 expression in the patient population was provided by the submission</w:t>
      </w:r>
      <w:r w:rsidRPr="00A61D77">
        <w:rPr>
          <w:color w:val="auto"/>
        </w:rPr>
        <w:t>.</w:t>
      </w:r>
    </w:p>
    <w:p w:rsidR="0011015D" w:rsidRPr="00A61D77" w:rsidRDefault="0011015D" w:rsidP="0011015D">
      <w:pPr>
        <w:pStyle w:val="ListParagraph"/>
        <w:numPr>
          <w:ilvl w:val="4"/>
          <w:numId w:val="1"/>
        </w:numPr>
        <w:rPr>
          <w:color w:val="auto"/>
        </w:rPr>
      </w:pPr>
      <w:r w:rsidRPr="00A61D77">
        <w:rPr>
          <w:color w:val="auto"/>
        </w:rPr>
        <w:t>Given the variation in the proportion of patients testing positive with each of the assays and the variation of ATZ+nab-P treatment effect between these patient populations, it is likely that the cost-effectiveness of the proposed scenario in the Australian population will differ</w:t>
      </w:r>
      <w:r w:rsidR="001D2DB9" w:rsidRPr="00A61D77">
        <w:rPr>
          <w:color w:val="auto"/>
        </w:rPr>
        <w:t xml:space="preserve"> (likely worsen)</w:t>
      </w:r>
      <w:r w:rsidRPr="00A61D77">
        <w:rPr>
          <w:color w:val="auto"/>
        </w:rPr>
        <w:t>, if test assays other than Ventana SP142 are used. This uncertainty was not considered by the submission, and cannot be</w:t>
      </w:r>
      <w:r w:rsidR="00B666F6" w:rsidRPr="00A61D77">
        <w:rPr>
          <w:color w:val="auto"/>
        </w:rPr>
        <w:t xml:space="preserve"> </w:t>
      </w:r>
      <w:r w:rsidR="00445818" w:rsidRPr="00A61D77">
        <w:rPr>
          <w:color w:val="auto"/>
        </w:rPr>
        <w:t>reliably</w:t>
      </w:r>
      <w:r w:rsidRPr="00A61D77">
        <w:rPr>
          <w:color w:val="auto"/>
        </w:rPr>
        <w:t xml:space="preserve"> tested given the information provided by the submission</w:t>
      </w:r>
      <w:r w:rsidR="00445818" w:rsidRPr="00A61D77">
        <w:rPr>
          <w:color w:val="auto"/>
        </w:rPr>
        <w:t xml:space="preserve">. </w:t>
      </w:r>
      <w:r w:rsidR="005938F2" w:rsidRPr="00A61D77">
        <w:rPr>
          <w:rFonts w:ascii="Calibri" w:hAnsi="Calibri" w:cs="Calibri"/>
          <w:iCs/>
          <w:color w:val="000000"/>
        </w:rPr>
        <w:t xml:space="preserve">However, if tests other than the Ventana SP142 are used in clinical </w:t>
      </w:r>
      <w:r w:rsidR="00445818" w:rsidRPr="00A61D77">
        <w:rPr>
          <w:rFonts w:ascii="Calibri" w:hAnsi="Calibri" w:cs="Calibri"/>
          <w:iCs/>
          <w:color w:val="000000"/>
        </w:rPr>
        <w:t>practice</w:t>
      </w:r>
      <w:r w:rsidR="005938F2" w:rsidRPr="00A61D77">
        <w:rPr>
          <w:rFonts w:ascii="Calibri" w:hAnsi="Calibri" w:cs="Calibri"/>
          <w:iCs/>
          <w:color w:val="000000"/>
        </w:rPr>
        <w:t xml:space="preserve">, it is likely that the ICER will increase. </w:t>
      </w:r>
      <w:r w:rsidR="00E915AF">
        <w:rPr>
          <w:rFonts w:ascii="Calibri" w:hAnsi="Calibri" w:cs="Calibri"/>
          <w:iCs/>
          <w:color w:val="000000"/>
        </w:rPr>
        <w:t>Using the</w:t>
      </w:r>
      <w:r w:rsidR="005938F2" w:rsidRPr="00A61D77">
        <w:rPr>
          <w:rFonts w:ascii="Calibri" w:hAnsi="Calibri" w:cs="Calibri"/>
          <w:iCs/>
          <w:color w:val="000000"/>
        </w:rPr>
        <w:t xml:space="preserve"> </w:t>
      </w:r>
      <w:r w:rsidR="00C47526">
        <w:rPr>
          <w:rFonts w:ascii="Calibri" w:hAnsi="Calibri" w:cs="Calibri"/>
          <w:iCs/>
          <w:color w:val="000000"/>
        </w:rPr>
        <w:t xml:space="preserve">more appropriate </w:t>
      </w:r>
      <w:r w:rsidR="005938F2" w:rsidRPr="00A61D77">
        <w:rPr>
          <w:rFonts w:ascii="Calibri" w:hAnsi="Calibri" w:cs="Calibri"/>
          <w:iCs/>
          <w:color w:val="000000"/>
        </w:rPr>
        <w:t>Weibull parametric function for extrapolati</w:t>
      </w:r>
      <w:r w:rsidR="00E915AF">
        <w:rPr>
          <w:rFonts w:ascii="Calibri" w:hAnsi="Calibri" w:cs="Calibri"/>
          <w:iCs/>
          <w:color w:val="000000"/>
        </w:rPr>
        <w:t>on of</w:t>
      </w:r>
      <w:r w:rsidR="005938F2" w:rsidRPr="00A61D77">
        <w:rPr>
          <w:rFonts w:ascii="Calibri" w:hAnsi="Calibri" w:cs="Calibri"/>
          <w:iCs/>
          <w:color w:val="000000"/>
        </w:rPr>
        <w:t xml:space="preserve"> the OS curves in both the proposed scenario and the current scenario, the ICER </w:t>
      </w:r>
      <w:r w:rsidR="007F250B">
        <w:rPr>
          <w:rFonts w:ascii="Calibri" w:hAnsi="Calibri" w:cs="Calibri"/>
          <w:iCs/>
          <w:color w:val="000000"/>
        </w:rPr>
        <w:t xml:space="preserve">(based on the submission’s base case) </w:t>
      </w:r>
      <w:r w:rsidR="005938F2" w:rsidRPr="00A61D77">
        <w:rPr>
          <w:rFonts w:ascii="Calibri" w:hAnsi="Calibri" w:cs="Calibri"/>
          <w:iCs/>
          <w:color w:val="000000"/>
        </w:rPr>
        <w:t>is likely to lie between $</w:t>
      </w:r>
      <w:r w:rsidR="008264D4">
        <w:rPr>
          <w:rFonts w:ascii="Calibri" w:hAnsi="Calibri" w:cs="Calibri"/>
          <w:iCs/>
          <w:color w:val="000000"/>
        </w:rPr>
        <w:t>155,000 to &lt;</w:t>
      </w:r>
      <w:r w:rsidR="009C4D5C">
        <w:rPr>
          <w:rFonts w:ascii="Calibri" w:hAnsi="Calibri" w:cs="Calibri"/>
          <w:iCs/>
          <w:color w:val="000000"/>
        </w:rPr>
        <w:t> </w:t>
      </w:r>
      <w:r w:rsidR="008264D4">
        <w:rPr>
          <w:rFonts w:ascii="Calibri" w:hAnsi="Calibri" w:cs="Calibri"/>
          <w:iCs/>
          <w:color w:val="000000"/>
        </w:rPr>
        <w:t>$255,000</w:t>
      </w:r>
      <w:r w:rsidR="005938F2" w:rsidRPr="00A61D77">
        <w:rPr>
          <w:rFonts w:ascii="Calibri" w:hAnsi="Calibri" w:cs="Calibri"/>
          <w:iCs/>
          <w:color w:val="000000"/>
        </w:rPr>
        <w:t>/QALY and $</w:t>
      </w:r>
      <w:r w:rsidR="008264D4">
        <w:rPr>
          <w:rFonts w:ascii="Calibri" w:hAnsi="Calibri" w:cs="Calibri"/>
          <w:iCs/>
          <w:color w:val="000000"/>
        </w:rPr>
        <w:t>355,000 to &lt;</w:t>
      </w:r>
      <w:r w:rsidR="001951F5">
        <w:rPr>
          <w:rFonts w:ascii="Calibri" w:hAnsi="Calibri" w:cs="Calibri"/>
          <w:iCs/>
          <w:color w:val="000000"/>
        </w:rPr>
        <w:t> </w:t>
      </w:r>
      <w:r w:rsidR="008264D4">
        <w:rPr>
          <w:rFonts w:ascii="Calibri" w:hAnsi="Calibri" w:cs="Calibri"/>
          <w:iCs/>
          <w:color w:val="000000"/>
        </w:rPr>
        <w:t>$455,000</w:t>
      </w:r>
      <w:r w:rsidR="005938F2" w:rsidRPr="00A61D77">
        <w:rPr>
          <w:rFonts w:ascii="Calibri" w:hAnsi="Calibri" w:cs="Calibri"/>
          <w:iCs/>
          <w:color w:val="000000"/>
        </w:rPr>
        <w:t>/QALY</w:t>
      </w:r>
      <w:r w:rsidR="005938F2" w:rsidRPr="00A61D77">
        <w:rPr>
          <w:rStyle w:val="FootnoteReference"/>
          <w:rFonts w:ascii="Calibri" w:hAnsi="Calibri" w:cs="Calibri"/>
          <w:iCs/>
          <w:color w:val="000000"/>
        </w:rPr>
        <w:footnoteReference w:id="15"/>
      </w:r>
      <w:r w:rsidR="005938F2" w:rsidRPr="00A61D77">
        <w:rPr>
          <w:rFonts w:ascii="Calibri" w:hAnsi="Calibri" w:cs="Calibri"/>
          <w:iCs/>
          <w:color w:val="000000"/>
        </w:rPr>
        <w:t xml:space="preserve"> (or $</w:t>
      </w:r>
      <w:r w:rsidR="008264D4">
        <w:rPr>
          <w:rFonts w:ascii="Calibri" w:hAnsi="Calibri" w:cs="Calibri"/>
          <w:iCs/>
          <w:color w:val="000000"/>
        </w:rPr>
        <w:t>55,000 to &lt;</w:t>
      </w:r>
      <w:r w:rsidR="001951F5">
        <w:rPr>
          <w:rFonts w:ascii="Calibri" w:hAnsi="Calibri" w:cs="Calibri"/>
          <w:iCs/>
          <w:color w:val="000000"/>
        </w:rPr>
        <w:t> </w:t>
      </w:r>
      <w:r w:rsidR="008264D4">
        <w:rPr>
          <w:rFonts w:ascii="Calibri" w:hAnsi="Calibri" w:cs="Calibri"/>
          <w:iCs/>
          <w:color w:val="000000"/>
        </w:rPr>
        <w:t>$75,000</w:t>
      </w:r>
      <w:r w:rsidR="005938F2" w:rsidRPr="00A61D77">
        <w:rPr>
          <w:rFonts w:ascii="Calibri" w:hAnsi="Calibri" w:cs="Calibri"/>
          <w:iCs/>
          <w:color w:val="000000"/>
        </w:rPr>
        <w:t>/QALY and $</w:t>
      </w:r>
      <w:r w:rsidR="008264D4">
        <w:rPr>
          <w:rFonts w:ascii="Calibri" w:hAnsi="Calibri" w:cs="Calibri"/>
          <w:iCs/>
          <w:color w:val="000000"/>
        </w:rPr>
        <w:t>1</w:t>
      </w:r>
      <w:r w:rsidR="00E54E81">
        <w:rPr>
          <w:rFonts w:ascii="Calibri" w:hAnsi="Calibri" w:cs="Calibri"/>
          <w:iCs/>
          <w:color w:val="000000"/>
        </w:rPr>
        <w:t>1</w:t>
      </w:r>
      <w:r w:rsidR="008264D4">
        <w:rPr>
          <w:rFonts w:ascii="Calibri" w:hAnsi="Calibri" w:cs="Calibri"/>
          <w:iCs/>
          <w:color w:val="000000"/>
        </w:rPr>
        <w:t>5,000 to &lt;</w:t>
      </w:r>
      <w:r w:rsidR="001951F5">
        <w:rPr>
          <w:rFonts w:ascii="Calibri" w:hAnsi="Calibri" w:cs="Calibri"/>
          <w:iCs/>
          <w:color w:val="000000"/>
        </w:rPr>
        <w:t> </w:t>
      </w:r>
      <w:r w:rsidR="008264D4">
        <w:rPr>
          <w:rFonts w:ascii="Calibri" w:hAnsi="Calibri" w:cs="Calibri"/>
          <w:iCs/>
          <w:color w:val="000000"/>
        </w:rPr>
        <w:t>$135,000</w:t>
      </w:r>
      <w:r w:rsidR="005938F2" w:rsidRPr="00A61D77">
        <w:rPr>
          <w:rFonts w:ascii="Calibri" w:hAnsi="Calibri" w:cs="Calibri"/>
          <w:iCs/>
          <w:color w:val="000000"/>
        </w:rPr>
        <w:t>/QALY when using the submission’s extrapolation functions).</w:t>
      </w:r>
      <w:r w:rsidR="008E226E" w:rsidRPr="008F6F21">
        <w:rPr>
          <w:rFonts w:ascii="Calibri" w:hAnsi="Calibri" w:cs="Calibri"/>
          <w:iCs/>
          <w:color w:val="000000"/>
        </w:rPr>
        <w:t xml:space="preserve"> </w:t>
      </w:r>
      <w:r w:rsidR="008E226E" w:rsidRPr="008F6F21">
        <w:t>The ESCs noted that it is likely that the cost-effectiveness of ATZ+nab-P in the Australian population would differ depending on the assays used and considered that this could be addressed by limiting testing to the VENTANA SP142.</w:t>
      </w:r>
    </w:p>
    <w:p w:rsidR="0011015D" w:rsidRPr="00027FFE" w:rsidRDefault="0011015D" w:rsidP="00592461">
      <w:pPr>
        <w:pStyle w:val="ListParagraph"/>
        <w:numPr>
          <w:ilvl w:val="4"/>
          <w:numId w:val="1"/>
        </w:numPr>
        <w:rPr>
          <w:color w:val="auto"/>
        </w:rPr>
      </w:pPr>
      <w:r w:rsidRPr="00592461">
        <w:rPr>
          <w:color w:val="auto"/>
        </w:rPr>
        <w:t>The submis</w:t>
      </w:r>
      <w:r w:rsidR="004155FD">
        <w:rPr>
          <w:color w:val="auto"/>
        </w:rPr>
        <w:t>sion stated that the Australian-</w:t>
      </w:r>
      <w:r w:rsidRPr="00592461">
        <w:rPr>
          <w:color w:val="auto"/>
        </w:rPr>
        <w:t>mapped utilities were considerably lower than expected (0.665 for progression-free survival; and 0.554 for progressive disease), therefore the preference weights from the EQ-5D-5L mapped using a UK scoring algorithm (van Hout, 201</w:t>
      </w:r>
      <w:r w:rsidRPr="00760E36">
        <w:rPr>
          <w:color w:val="auto"/>
        </w:rPr>
        <w:t>2) were used.</w:t>
      </w:r>
      <w:r w:rsidRPr="00277FF5">
        <w:t xml:space="preserve"> This resulted in PFS and </w:t>
      </w:r>
      <w:r w:rsidR="00CB0989">
        <w:t>progressive disease</w:t>
      </w:r>
      <w:r w:rsidR="00CB0989" w:rsidRPr="00277FF5">
        <w:t xml:space="preserve"> </w:t>
      </w:r>
      <w:r w:rsidRPr="00277FF5">
        <w:t>utilities of 0.723 and 0.649, respectively</w:t>
      </w:r>
      <w:r>
        <w:t xml:space="preserve">. </w:t>
      </w:r>
      <w:r w:rsidRPr="00A61D77">
        <w:t xml:space="preserve">The utility value used in the post-progressive disease health state appeared higher than others previously considered reasonable by the PBAC (0.555; paragraph 6.50, </w:t>
      </w:r>
      <w:r w:rsidR="00F949D7">
        <w:t>P</w:t>
      </w:r>
      <w:r w:rsidRPr="00592461">
        <w:rPr>
          <w:lang w:val="en-US"/>
        </w:rPr>
        <w:t xml:space="preserve">ertuzumab and trastuzumab, </w:t>
      </w:r>
      <w:r w:rsidR="00AF5DAE">
        <w:rPr>
          <w:lang w:val="en-US"/>
        </w:rPr>
        <w:t>Public Summary Document (</w:t>
      </w:r>
      <w:r w:rsidRPr="00592461">
        <w:rPr>
          <w:lang w:val="en-US"/>
        </w:rPr>
        <w:t>P</w:t>
      </w:r>
      <w:r w:rsidR="00F949D7">
        <w:rPr>
          <w:lang w:val="en-US"/>
        </w:rPr>
        <w:t>SD</w:t>
      </w:r>
      <w:r w:rsidR="00AF5DAE">
        <w:rPr>
          <w:lang w:val="en-US"/>
        </w:rPr>
        <w:t>)</w:t>
      </w:r>
      <w:r w:rsidRPr="00592461">
        <w:rPr>
          <w:lang w:val="en-US"/>
        </w:rPr>
        <w:t xml:space="preserve">, November 2014 PBAC </w:t>
      </w:r>
      <w:r w:rsidR="00F949D7" w:rsidRPr="00592461">
        <w:rPr>
          <w:lang w:val="en-US"/>
        </w:rPr>
        <w:t>m</w:t>
      </w:r>
      <w:r w:rsidRPr="00592461">
        <w:rPr>
          <w:lang w:val="en-US"/>
        </w:rPr>
        <w:t>eeting), and used in other economic evaluat</w:t>
      </w:r>
      <w:r w:rsidR="00F71008" w:rsidRPr="00096B61">
        <w:rPr>
          <w:lang w:val="en-US"/>
        </w:rPr>
        <w:t>ions of advanced breast cancer.</w:t>
      </w:r>
      <w:r w:rsidR="008434C4" w:rsidRPr="00760E36">
        <w:rPr>
          <w:lang w:val="en-US"/>
        </w:rPr>
        <w:t xml:space="preserve"> The ESC</w:t>
      </w:r>
      <w:r w:rsidR="008E226E" w:rsidRPr="00760E36">
        <w:rPr>
          <w:lang w:val="en-US"/>
        </w:rPr>
        <w:t>s</w:t>
      </w:r>
      <w:r w:rsidR="008434C4" w:rsidRPr="00760E36">
        <w:rPr>
          <w:lang w:val="en-US"/>
        </w:rPr>
        <w:t xml:space="preserve"> considered that</w:t>
      </w:r>
      <w:r w:rsidR="008E226E" w:rsidRPr="00C528C7">
        <w:rPr>
          <w:lang w:val="en-US"/>
        </w:rPr>
        <w:t xml:space="preserve"> use of utility values from a UK scoring algorithm was not </w:t>
      </w:r>
      <w:r w:rsidR="007F06C0">
        <w:rPr>
          <w:lang w:val="en-US"/>
        </w:rPr>
        <w:t xml:space="preserve">adequately </w:t>
      </w:r>
      <w:r w:rsidR="008E226E" w:rsidRPr="00C528C7">
        <w:rPr>
          <w:lang w:val="en-US"/>
        </w:rPr>
        <w:t xml:space="preserve">justified </w:t>
      </w:r>
      <w:r w:rsidR="007F250B">
        <w:rPr>
          <w:lang w:val="en-US"/>
        </w:rPr>
        <w:t xml:space="preserve">in the submission </w:t>
      </w:r>
      <w:r w:rsidR="008E226E" w:rsidRPr="00C528C7">
        <w:rPr>
          <w:lang w:val="en-US"/>
        </w:rPr>
        <w:t xml:space="preserve">and noted that use of </w:t>
      </w:r>
      <w:r w:rsidR="000A44C2" w:rsidRPr="00C528C7">
        <w:rPr>
          <w:lang w:val="en-US"/>
        </w:rPr>
        <w:t xml:space="preserve">the </w:t>
      </w:r>
      <w:r w:rsidR="008E226E" w:rsidRPr="00C528C7">
        <w:rPr>
          <w:lang w:val="en-US"/>
        </w:rPr>
        <w:t xml:space="preserve">Australian </w:t>
      </w:r>
      <w:r w:rsidR="000A44C2" w:rsidRPr="00C528C7">
        <w:rPr>
          <w:lang w:val="en-US"/>
        </w:rPr>
        <w:t>scoring algorithm</w:t>
      </w:r>
      <w:r w:rsidR="008E226E" w:rsidRPr="00C528C7">
        <w:rPr>
          <w:lang w:val="en-US"/>
        </w:rPr>
        <w:t xml:space="preserve"> </w:t>
      </w:r>
      <w:r w:rsidR="006773CD">
        <w:rPr>
          <w:lang w:val="en-US"/>
        </w:rPr>
        <w:t xml:space="preserve">(using Viney et al (2014), which applied tariffs derived through discrete choice experiments) </w:t>
      </w:r>
      <w:r w:rsidR="008E226E" w:rsidRPr="00C528C7">
        <w:rPr>
          <w:lang w:val="en-US"/>
        </w:rPr>
        <w:t>increased the ICER from $</w:t>
      </w:r>
      <w:r w:rsidR="008264D4">
        <w:rPr>
          <w:lang w:val="en-US"/>
        </w:rPr>
        <w:t xml:space="preserve">55,000 </w:t>
      </w:r>
      <w:r w:rsidR="008264D4">
        <w:rPr>
          <w:lang w:val="en-US"/>
        </w:rPr>
        <w:lastRenderedPageBreak/>
        <w:t>to &lt;</w:t>
      </w:r>
      <w:r w:rsidR="001951F5">
        <w:rPr>
          <w:lang w:val="en-US"/>
        </w:rPr>
        <w:t> </w:t>
      </w:r>
      <w:r w:rsidR="008264D4">
        <w:rPr>
          <w:lang w:val="en-US"/>
        </w:rPr>
        <w:t>$75,000</w:t>
      </w:r>
      <w:r w:rsidR="008E226E" w:rsidRPr="00C528C7">
        <w:rPr>
          <w:lang w:val="en-US"/>
        </w:rPr>
        <w:t xml:space="preserve"> to $</w:t>
      </w:r>
      <w:r w:rsidR="008264D4">
        <w:rPr>
          <w:lang w:val="en-US"/>
        </w:rPr>
        <w:t>55,000 to &lt;</w:t>
      </w:r>
      <w:r w:rsidR="001951F5">
        <w:rPr>
          <w:lang w:val="en-US"/>
        </w:rPr>
        <w:t> </w:t>
      </w:r>
      <w:r w:rsidR="008264D4">
        <w:rPr>
          <w:lang w:val="en-US"/>
        </w:rPr>
        <w:t>$75,000</w:t>
      </w:r>
      <w:r w:rsidR="008E226E" w:rsidRPr="00C528C7">
        <w:rPr>
          <w:lang w:val="en-US"/>
        </w:rPr>
        <w:t xml:space="preserve"> per QALY.</w:t>
      </w:r>
      <w:r w:rsidR="00385BCF" w:rsidRPr="00C528C7">
        <w:rPr>
          <w:lang w:val="en-US"/>
        </w:rPr>
        <w:t xml:space="preserve"> </w:t>
      </w:r>
      <w:r w:rsidR="00592461" w:rsidRPr="0044381A">
        <w:rPr>
          <w:lang w:val="en-US"/>
        </w:rPr>
        <w:t>The pre-PBAC response presented an alternative analysis of the EQ-5D data, applying Australian tariffs using the crosswalk algorithm from van Hout et al (2012), returning a set of 3L values from the original 5L EQ-5D questionnaire, and then applying time trade-off derived tariffs in EQ-5D from Viney et al (2011). Th</w:t>
      </w:r>
      <w:r w:rsidR="00592461">
        <w:rPr>
          <w:lang w:val="en-US"/>
        </w:rPr>
        <w:t>e pre-PBAC response stated that th</w:t>
      </w:r>
      <w:r w:rsidR="00592461" w:rsidRPr="00592461">
        <w:rPr>
          <w:lang w:val="en-US"/>
        </w:rPr>
        <w:t>is approach gave utility values of 0.734 for PFS and 0.684 for progressi</w:t>
      </w:r>
      <w:r w:rsidR="007F06C0">
        <w:rPr>
          <w:lang w:val="en-US"/>
        </w:rPr>
        <w:t>ve disease</w:t>
      </w:r>
      <w:r w:rsidR="00592461" w:rsidRPr="00096B61">
        <w:rPr>
          <w:lang w:val="en-US"/>
        </w:rPr>
        <w:t>, however these values could not be verified</w:t>
      </w:r>
      <w:r w:rsidR="006773CD">
        <w:rPr>
          <w:lang w:val="en-US"/>
        </w:rPr>
        <w:t xml:space="preserve"> and the rationale for the approach was not adequately justified</w:t>
      </w:r>
      <w:r w:rsidR="005B0CCD">
        <w:rPr>
          <w:lang w:val="en-US"/>
        </w:rPr>
        <w:t>.</w:t>
      </w:r>
    </w:p>
    <w:p w:rsidR="0043228E" w:rsidRPr="005B0CCD" w:rsidRDefault="0043228E" w:rsidP="0011015D">
      <w:pPr>
        <w:pStyle w:val="ListParagraph"/>
        <w:numPr>
          <w:ilvl w:val="4"/>
          <w:numId w:val="1"/>
        </w:numPr>
        <w:rPr>
          <w:color w:val="auto"/>
        </w:rPr>
      </w:pPr>
      <w:r w:rsidRPr="008F6F21">
        <w:rPr>
          <w:color w:val="auto"/>
        </w:rPr>
        <w:t>The ESCs also noted that the submission inappropriately excluded costs of management of the disease, which favoured the proposed scenario as patients remain alive longer in the modelled proposed scenario.</w:t>
      </w:r>
      <w:r w:rsidR="006773CD">
        <w:rPr>
          <w:color w:val="auto"/>
        </w:rPr>
        <w:t xml:space="preserve"> The revised base case in the pre-PBAC response a</w:t>
      </w:r>
      <w:r w:rsidR="005B0CCD">
        <w:rPr>
          <w:color w:val="auto"/>
        </w:rPr>
        <w:t>ttempted to address this issue.</w:t>
      </w:r>
    </w:p>
    <w:p w:rsidR="0011015D" w:rsidRPr="00F71008" w:rsidRDefault="0011015D" w:rsidP="0011015D">
      <w:pPr>
        <w:pStyle w:val="ListParagraph"/>
        <w:numPr>
          <w:ilvl w:val="4"/>
          <w:numId w:val="1"/>
        </w:numPr>
        <w:rPr>
          <w:color w:val="auto"/>
        </w:rPr>
      </w:pPr>
      <w:r>
        <w:rPr>
          <w:color w:val="auto"/>
        </w:rPr>
        <w:t>The key drivers of the model are summarised below.</w:t>
      </w:r>
    </w:p>
    <w:p w:rsidR="0011015D" w:rsidRDefault="0011015D" w:rsidP="0011015D">
      <w:pPr>
        <w:pStyle w:val="Caption"/>
      </w:pPr>
      <w:r>
        <w:t xml:space="preserve">Table </w:t>
      </w:r>
      <w:r w:rsidR="00074BE0">
        <w:rPr>
          <w:noProof/>
        </w:rPr>
        <w:t>13</w:t>
      </w:r>
      <w:r w:rsidR="00EF5451">
        <w:rPr>
          <w:noProof/>
        </w:rPr>
        <w:t xml:space="preserve">: </w:t>
      </w:r>
      <w:r w:rsidRPr="00962538">
        <w:t>Key drivers of the model</w:t>
      </w:r>
      <w:r w:rsidR="00027FFE">
        <w:t xml:space="preserve"> (submission base case)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29"/>
        <w:gridCol w:w="4537"/>
        <w:gridCol w:w="3350"/>
      </w:tblGrid>
      <w:tr w:rsidR="0011015D" w:rsidRPr="00962538" w:rsidTr="005B0CCD">
        <w:trPr>
          <w:trHeight w:val="127"/>
          <w:tblHeader/>
        </w:trPr>
        <w:tc>
          <w:tcPr>
            <w:tcW w:w="626" w:type="pct"/>
            <w:vMerge w:val="restart"/>
            <w:shd w:val="clear" w:color="auto" w:fill="auto"/>
            <w:vAlign w:val="bottom"/>
          </w:tcPr>
          <w:p w:rsidR="0011015D" w:rsidRPr="006D2658" w:rsidRDefault="0011015D" w:rsidP="00656330">
            <w:pPr>
              <w:pStyle w:val="TableText"/>
              <w:rPr>
                <w:b/>
              </w:rPr>
            </w:pPr>
            <w:r w:rsidRPr="006D2658">
              <w:rPr>
                <w:b/>
              </w:rPr>
              <w:t>Description</w:t>
            </w:r>
          </w:p>
        </w:tc>
        <w:tc>
          <w:tcPr>
            <w:tcW w:w="2516" w:type="pct"/>
            <w:vMerge w:val="restart"/>
            <w:shd w:val="clear" w:color="auto" w:fill="auto"/>
            <w:vAlign w:val="bottom"/>
          </w:tcPr>
          <w:p w:rsidR="0011015D" w:rsidRPr="006D2658" w:rsidRDefault="0011015D" w:rsidP="00656330">
            <w:pPr>
              <w:pStyle w:val="TableText"/>
              <w:rPr>
                <w:b/>
              </w:rPr>
            </w:pPr>
            <w:r w:rsidRPr="006D2658">
              <w:rPr>
                <w:b/>
              </w:rPr>
              <w:t>Method/Value</w:t>
            </w:r>
          </w:p>
        </w:tc>
        <w:tc>
          <w:tcPr>
            <w:tcW w:w="1858" w:type="pct"/>
            <w:shd w:val="clear" w:color="auto" w:fill="auto"/>
            <w:vAlign w:val="bottom"/>
          </w:tcPr>
          <w:p w:rsidR="0011015D" w:rsidRPr="006D2658" w:rsidRDefault="0011015D" w:rsidP="00656330">
            <w:pPr>
              <w:pStyle w:val="TableText"/>
              <w:rPr>
                <w:b/>
              </w:rPr>
            </w:pPr>
            <w:r w:rsidRPr="006D2658">
              <w:rPr>
                <w:b/>
              </w:rPr>
              <w:t>Impact</w:t>
            </w:r>
          </w:p>
        </w:tc>
      </w:tr>
      <w:tr w:rsidR="0011015D" w:rsidRPr="00962538" w:rsidTr="005B0CCD">
        <w:trPr>
          <w:cantSplit/>
          <w:trHeight w:val="126"/>
          <w:tblHeader/>
        </w:trPr>
        <w:tc>
          <w:tcPr>
            <w:tcW w:w="626" w:type="pct"/>
            <w:vMerge/>
            <w:shd w:val="clear" w:color="auto" w:fill="auto"/>
            <w:vAlign w:val="bottom"/>
          </w:tcPr>
          <w:p w:rsidR="0011015D" w:rsidRPr="00F0152D" w:rsidRDefault="0011015D" w:rsidP="00656330">
            <w:pPr>
              <w:pStyle w:val="TableText"/>
            </w:pPr>
          </w:p>
        </w:tc>
        <w:tc>
          <w:tcPr>
            <w:tcW w:w="2516" w:type="pct"/>
            <w:vMerge/>
            <w:shd w:val="clear" w:color="auto" w:fill="auto"/>
            <w:vAlign w:val="bottom"/>
          </w:tcPr>
          <w:p w:rsidR="0011015D" w:rsidRPr="00F0152D" w:rsidRDefault="0011015D" w:rsidP="00656330">
            <w:pPr>
              <w:pStyle w:val="TableText"/>
            </w:pPr>
          </w:p>
        </w:tc>
        <w:tc>
          <w:tcPr>
            <w:tcW w:w="1858" w:type="pct"/>
            <w:shd w:val="clear" w:color="auto" w:fill="auto"/>
            <w:vAlign w:val="bottom"/>
          </w:tcPr>
          <w:p w:rsidR="0011015D" w:rsidRPr="00F0152D" w:rsidRDefault="00027FFE" w:rsidP="005B0CCD">
            <w:pPr>
              <w:pStyle w:val="TableText"/>
            </w:pPr>
            <w:r>
              <w:t>Submiss</w:t>
            </w:r>
            <w:r w:rsidR="005B0CCD">
              <w:t>i</w:t>
            </w:r>
            <w:r>
              <w:t>on b</w:t>
            </w:r>
            <w:r w:rsidR="0011015D">
              <w:t>ase case: $</w:t>
            </w:r>
            <w:r w:rsidR="008264D4">
              <w:t>55,000 to &lt;</w:t>
            </w:r>
            <w:r w:rsidR="001951F5">
              <w:t> </w:t>
            </w:r>
            <w:r w:rsidR="008264D4">
              <w:t>$75,000</w:t>
            </w:r>
            <w:r w:rsidR="0011015D">
              <w:t>/QALY</w:t>
            </w:r>
          </w:p>
        </w:tc>
      </w:tr>
      <w:tr w:rsidR="00E915AF" w:rsidRPr="008F6F21" w:rsidTr="005B0CCD">
        <w:tc>
          <w:tcPr>
            <w:tcW w:w="626" w:type="pct"/>
            <w:shd w:val="clear" w:color="auto" w:fill="auto"/>
            <w:vAlign w:val="center"/>
          </w:tcPr>
          <w:p w:rsidR="00E915AF" w:rsidRPr="008F6F21" w:rsidRDefault="00E915AF" w:rsidP="00E915AF">
            <w:pPr>
              <w:pStyle w:val="TableText"/>
            </w:pPr>
            <w:r w:rsidRPr="008F6F21">
              <w:t>Modelling OS</w:t>
            </w:r>
          </w:p>
        </w:tc>
        <w:tc>
          <w:tcPr>
            <w:tcW w:w="2516" w:type="pct"/>
            <w:shd w:val="clear" w:color="auto" w:fill="auto"/>
            <w:vAlign w:val="bottom"/>
          </w:tcPr>
          <w:p w:rsidR="00E915AF" w:rsidRPr="008F6F21" w:rsidRDefault="00E915AF" w:rsidP="001307E3">
            <w:pPr>
              <w:pStyle w:val="TableText"/>
            </w:pPr>
            <w:r w:rsidRPr="008F6F21">
              <w:t>Use of OS data from I</w:t>
            </w:r>
            <w:r w:rsidR="00003E6F" w:rsidRPr="008F6F21">
              <w:t>M</w:t>
            </w:r>
            <w:r w:rsidRPr="008F6F21">
              <w:t>passion130 trial, where no statistically significant benefit in OS was demonstrated.</w:t>
            </w:r>
          </w:p>
        </w:tc>
        <w:tc>
          <w:tcPr>
            <w:tcW w:w="1858" w:type="pct"/>
            <w:shd w:val="clear" w:color="auto" w:fill="auto"/>
          </w:tcPr>
          <w:p w:rsidR="00E915AF" w:rsidRPr="008F6F21" w:rsidRDefault="00E915AF" w:rsidP="00E915AF">
            <w:pPr>
              <w:pStyle w:val="TableText"/>
            </w:pPr>
            <w:r w:rsidRPr="008F6F21">
              <w:t>High, likely to favour the proposed scenario</w:t>
            </w:r>
          </w:p>
        </w:tc>
      </w:tr>
      <w:tr w:rsidR="0011015D" w:rsidRPr="00962538" w:rsidTr="005B0CCD">
        <w:tc>
          <w:tcPr>
            <w:tcW w:w="626" w:type="pct"/>
            <w:shd w:val="clear" w:color="auto" w:fill="auto"/>
            <w:vAlign w:val="center"/>
          </w:tcPr>
          <w:p w:rsidR="0011015D" w:rsidRPr="00962538" w:rsidRDefault="0011015D" w:rsidP="00656330">
            <w:pPr>
              <w:pStyle w:val="TableText"/>
            </w:pPr>
            <w:r w:rsidRPr="00962538">
              <w:t>Extrapolation</w:t>
            </w:r>
          </w:p>
        </w:tc>
        <w:tc>
          <w:tcPr>
            <w:tcW w:w="2516" w:type="pct"/>
            <w:shd w:val="clear" w:color="auto" w:fill="auto"/>
            <w:vAlign w:val="center"/>
          </w:tcPr>
          <w:p w:rsidR="0011015D" w:rsidRPr="00962538" w:rsidRDefault="0011015D" w:rsidP="00656330">
            <w:pPr>
              <w:pStyle w:val="TableText"/>
            </w:pPr>
            <w:r>
              <w:t>Log-logistic distribution was used to extrapolate OS curves in the proposed scenario and Weibull distribution in the current scenario</w:t>
            </w:r>
            <w:r w:rsidR="00003E6F">
              <w:t>.</w:t>
            </w:r>
          </w:p>
        </w:tc>
        <w:tc>
          <w:tcPr>
            <w:tcW w:w="1858" w:type="pct"/>
            <w:shd w:val="clear" w:color="auto" w:fill="auto"/>
            <w:vAlign w:val="center"/>
          </w:tcPr>
          <w:p w:rsidR="0011015D" w:rsidRPr="00A61D77" w:rsidRDefault="0011015D" w:rsidP="00656330">
            <w:pPr>
              <w:pStyle w:val="TableText"/>
            </w:pPr>
            <w:r w:rsidRPr="00A61D77">
              <w:t>High, favours the proposed scenario. When using Weibull distribution for OS extrapolation in both scenarios, the ICER increased to $</w:t>
            </w:r>
            <w:r w:rsidR="008264D4">
              <w:t>155,000 to &lt;</w:t>
            </w:r>
            <w:r w:rsidR="001951F5">
              <w:t> </w:t>
            </w:r>
            <w:r w:rsidR="008264D4">
              <w:t>$255,000</w:t>
            </w:r>
            <w:r w:rsidRPr="00A61D77">
              <w:t>/QALY</w:t>
            </w:r>
          </w:p>
        </w:tc>
      </w:tr>
      <w:tr w:rsidR="0011015D" w:rsidRPr="00962538" w:rsidTr="005B0CCD">
        <w:tc>
          <w:tcPr>
            <w:tcW w:w="626" w:type="pct"/>
            <w:shd w:val="clear" w:color="auto" w:fill="auto"/>
            <w:vAlign w:val="center"/>
          </w:tcPr>
          <w:p w:rsidR="0011015D" w:rsidRPr="00962538" w:rsidRDefault="0011015D" w:rsidP="00656330">
            <w:pPr>
              <w:pStyle w:val="TableText"/>
            </w:pPr>
            <w:r w:rsidRPr="00962538">
              <w:t>Utilities</w:t>
            </w:r>
          </w:p>
        </w:tc>
        <w:tc>
          <w:tcPr>
            <w:tcW w:w="2516" w:type="pct"/>
            <w:shd w:val="clear" w:color="auto" w:fill="auto"/>
            <w:vAlign w:val="center"/>
          </w:tcPr>
          <w:p w:rsidR="0011015D" w:rsidRPr="00962538" w:rsidRDefault="0011015D" w:rsidP="005B0CCD">
            <w:pPr>
              <w:pStyle w:val="TableText"/>
            </w:pPr>
            <w:r w:rsidRPr="00962538">
              <w:t>High</w:t>
            </w:r>
            <w:r>
              <w:t>er</w:t>
            </w:r>
            <w:r w:rsidRPr="00962538">
              <w:t xml:space="preserve"> values for model health states</w:t>
            </w:r>
            <w:r>
              <w:t xml:space="preserve"> based on EQ-5D data from IMpassion130, translated into utilities based on a UK scoring algorithm</w:t>
            </w:r>
            <w:r w:rsidRPr="00962538">
              <w:t>, and no disutility for AEs</w:t>
            </w:r>
            <w:r w:rsidR="00003E6F">
              <w:t>.</w:t>
            </w:r>
          </w:p>
        </w:tc>
        <w:tc>
          <w:tcPr>
            <w:tcW w:w="1858" w:type="pct"/>
            <w:shd w:val="clear" w:color="auto" w:fill="auto"/>
            <w:vAlign w:val="center"/>
          </w:tcPr>
          <w:p w:rsidR="0011015D" w:rsidRPr="00A61D77" w:rsidRDefault="0011015D" w:rsidP="00027FFE">
            <w:pPr>
              <w:pStyle w:val="TableText"/>
            </w:pPr>
            <w:r w:rsidRPr="00A61D77">
              <w:t>Moderate, favours proposed scenario</w:t>
            </w:r>
            <w:r w:rsidR="005916A0" w:rsidRPr="00A61D77">
              <w:t xml:space="preserve">. </w:t>
            </w:r>
            <w:r w:rsidR="006773CD">
              <w:t>U</w:t>
            </w:r>
            <w:r w:rsidR="005916A0" w:rsidRPr="00A61D77">
              <w:t xml:space="preserve">sing </w:t>
            </w:r>
            <w:r w:rsidR="00027FFE">
              <w:t>an</w:t>
            </w:r>
            <w:r w:rsidR="006773CD" w:rsidRPr="00A61D77">
              <w:t xml:space="preserve"> </w:t>
            </w:r>
            <w:r w:rsidR="005916A0" w:rsidRPr="00A61D77">
              <w:t xml:space="preserve">Australian </w:t>
            </w:r>
            <w:r w:rsidR="006773CD">
              <w:t xml:space="preserve">scoring algorithm </w:t>
            </w:r>
            <w:r w:rsidR="00027FFE">
              <w:t xml:space="preserve">(Viney 2014) </w:t>
            </w:r>
            <w:r w:rsidR="006773CD">
              <w:t>increased</w:t>
            </w:r>
            <w:r w:rsidR="005B0CCD">
              <w:t xml:space="preserve"> the ICER to $</w:t>
            </w:r>
            <w:r w:rsidR="008264D4">
              <w:t>55,000 to &lt;</w:t>
            </w:r>
            <w:r w:rsidR="001951F5">
              <w:t> </w:t>
            </w:r>
            <w:r w:rsidR="008264D4">
              <w:t>$75,000</w:t>
            </w:r>
            <w:r w:rsidR="005B0CCD">
              <w:t>/QALY</w:t>
            </w:r>
          </w:p>
        </w:tc>
      </w:tr>
      <w:tr w:rsidR="0011015D" w:rsidRPr="00962538" w:rsidTr="005B0CCD">
        <w:tc>
          <w:tcPr>
            <w:tcW w:w="626" w:type="pct"/>
            <w:shd w:val="clear" w:color="auto" w:fill="auto"/>
            <w:vAlign w:val="center"/>
          </w:tcPr>
          <w:p w:rsidR="0011015D" w:rsidRPr="00962538" w:rsidRDefault="0011015D" w:rsidP="00656330">
            <w:pPr>
              <w:pStyle w:val="TableText"/>
            </w:pPr>
            <w:r>
              <w:t>Testing assay</w:t>
            </w:r>
          </w:p>
        </w:tc>
        <w:tc>
          <w:tcPr>
            <w:tcW w:w="2516" w:type="pct"/>
            <w:shd w:val="clear" w:color="auto" w:fill="auto"/>
            <w:vAlign w:val="center"/>
          </w:tcPr>
          <w:p w:rsidR="0011015D" w:rsidRPr="00962538" w:rsidRDefault="0011015D" w:rsidP="00656330">
            <w:pPr>
              <w:pStyle w:val="TableText"/>
            </w:pPr>
            <w:r>
              <w:t>The modelled outcomes were based on VENTANA SP142 (the evidentiary standard), however, other assays are comme</w:t>
            </w:r>
            <w:r w:rsidR="00003E6F">
              <w:t>rcially available in Australia.</w:t>
            </w:r>
          </w:p>
        </w:tc>
        <w:tc>
          <w:tcPr>
            <w:tcW w:w="1858" w:type="pct"/>
            <w:shd w:val="clear" w:color="auto" w:fill="auto"/>
            <w:vAlign w:val="center"/>
          </w:tcPr>
          <w:p w:rsidR="0011015D" w:rsidRPr="00A61D77" w:rsidRDefault="0011015D" w:rsidP="00656330">
            <w:pPr>
              <w:pStyle w:val="TableText"/>
            </w:pPr>
            <w:r w:rsidRPr="00A61D77">
              <w:t>Unclear, likely to favour proposed scenario</w:t>
            </w:r>
          </w:p>
        </w:tc>
      </w:tr>
    </w:tbl>
    <w:p w:rsidR="006F58DC" w:rsidRDefault="006F58DC" w:rsidP="006F58DC">
      <w:pPr>
        <w:pStyle w:val="TableFooter"/>
      </w:pPr>
      <w:r w:rsidRPr="0032227F">
        <w:rPr>
          <w:lang w:val="en-US"/>
        </w:rPr>
        <w:t>Source: Compiled during the evaluation based on information presented in ‘Economic Evaluation.xlsx’ of the submission</w:t>
      </w:r>
      <w:r w:rsidR="005B0CCD">
        <w:rPr>
          <w:lang w:val="en-US"/>
        </w:rPr>
        <w:t>.</w:t>
      </w:r>
    </w:p>
    <w:p w:rsidR="001B15C6" w:rsidRDefault="001B15C6" w:rsidP="0011015D">
      <w:pPr>
        <w:pStyle w:val="TableFooter"/>
        <w:rPr>
          <w:lang w:val="en-US"/>
        </w:rPr>
      </w:pPr>
      <w:r w:rsidRPr="005916A0">
        <w:rPr>
          <w:lang w:val="en-US"/>
        </w:rPr>
        <w:t xml:space="preserve">AE </w:t>
      </w:r>
      <w:r w:rsidR="00EC50BD" w:rsidRPr="005916A0">
        <w:rPr>
          <w:lang w:val="en-US"/>
        </w:rPr>
        <w:t>= adverse</w:t>
      </w:r>
      <w:r w:rsidR="006A7F2D" w:rsidRPr="005916A0">
        <w:rPr>
          <w:lang w:val="en-US"/>
        </w:rPr>
        <w:t xml:space="preserve"> event</w:t>
      </w:r>
      <w:r w:rsidRPr="005916A0">
        <w:rPr>
          <w:lang w:val="en-US"/>
        </w:rPr>
        <w:t xml:space="preserve">; ICER = </w:t>
      </w:r>
      <w:r w:rsidR="006A7F2D" w:rsidRPr="005916A0">
        <w:rPr>
          <w:lang w:val="en-US"/>
        </w:rPr>
        <w:t>incremental cost-effectiveness ratio</w:t>
      </w:r>
      <w:r w:rsidRPr="005916A0">
        <w:rPr>
          <w:lang w:val="en-US"/>
        </w:rPr>
        <w:t>; EQ-5D =</w:t>
      </w:r>
      <w:r w:rsidR="006A7F2D" w:rsidRPr="005916A0">
        <w:rPr>
          <w:lang w:val="en-US"/>
        </w:rPr>
        <w:t xml:space="preserve"> EuroQoL </w:t>
      </w:r>
      <w:r w:rsidR="005916A0" w:rsidRPr="005916A0">
        <w:rPr>
          <w:lang w:val="en-US"/>
        </w:rPr>
        <w:t>f</w:t>
      </w:r>
      <w:r w:rsidR="006A7F2D" w:rsidRPr="005916A0">
        <w:rPr>
          <w:lang w:val="en-US"/>
        </w:rPr>
        <w:t xml:space="preserve">ive </w:t>
      </w:r>
      <w:r w:rsidR="00051615" w:rsidRPr="005916A0">
        <w:rPr>
          <w:lang w:val="en-US"/>
        </w:rPr>
        <w:t>dimension;</w:t>
      </w:r>
      <w:r w:rsidRPr="005916A0">
        <w:rPr>
          <w:lang w:val="en-US"/>
        </w:rPr>
        <w:t xml:space="preserve"> OS = </w:t>
      </w:r>
      <w:r w:rsidR="006A7F2D" w:rsidRPr="005916A0">
        <w:rPr>
          <w:lang w:val="en-US"/>
        </w:rPr>
        <w:t>overall survival</w:t>
      </w:r>
      <w:r w:rsidRPr="005916A0">
        <w:rPr>
          <w:lang w:val="en-US"/>
        </w:rPr>
        <w:t>; QALY =</w:t>
      </w:r>
      <w:r w:rsidR="00003E6F">
        <w:rPr>
          <w:lang w:val="en-US"/>
        </w:rPr>
        <w:t xml:space="preserve"> quality-adjusted life year.</w:t>
      </w:r>
    </w:p>
    <w:p w:rsidR="0011015D" w:rsidRPr="00C50E78" w:rsidRDefault="0011015D" w:rsidP="0011015D">
      <w:pPr>
        <w:pStyle w:val="ListParagraph"/>
        <w:numPr>
          <w:ilvl w:val="4"/>
          <w:numId w:val="1"/>
        </w:numPr>
        <w:rPr>
          <w:color w:val="auto"/>
        </w:rPr>
      </w:pPr>
      <w:r w:rsidRPr="00C50E78">
        <w:rPr>
          <w:color w:val="auto"/>
        </w:rPr>
        <w:t>The results of stepped economic evaluation are presented below.</w:t>
      </w:r>
    </w:p>
    <w:p w:rsidR="0011015D" w:rsidRDefault="0011015D" w:rsidP="00051615">
      <w:pPr>
        <w:pStyle w:val="Caption"/>
      </w:pPr>
      <w:r>
        <w:lastRenderedPageBreak/>
        <w:t>Table</w:t>
      </w:r>
      <w:r w:rsidR="00003E6F">
        <w:t xml:space="preserve"> </w:t>
      </w:r>
      <w:r w:rsidR="00074BE0">
        <w:rPr>
          <w:noProof/>
        </w:rPr>
        <w:t>14</w:t>
      </w:r>
      <w:r w:rsidR="00EF5451">
        <w:rPr>
          <w:noProof/>
        </w:rPr>
        <w:t xml:space="preserve">: </w:t>
      </w:r>
      <w:r w:rsidRPr="00962538">
        <w:t>Results of the stepped economic evaluation</w:t>
      </w:r>
      <w:r w:rsidR="00112739">
        <w:t xml:space="preserve"> (submission base case)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972"/>
        <w:gridCol w:w="2268"/>
        <w:gridCol w:w="2162"/>
        <w:gridCol w:w="25"/>
        <w:gridCol w:w="1589"/>
      </w:tblGrid>
      <w:tr w:rsidR="0011015D" w:rsidRPr="002F703E" w:rsidTr="005B0CCD">
        <w:trPr>
          <w:tblHeader/>
          <w:jc w:val="center"/>
        </w:trPr>
        <w:tc>
          <w:tcPr>
            <w:tcW w:w="1648" w:type="pct"/>
            <w:vAlign w:val="center"/>
          </w:tcPr>
          <w:p w:rsidR="0011015D" w:rsidRPr="002F703E" w:rsidRDefault="0011015D" w:rsidP="00051615">
            <w:pPr>
              <w:pStyle w:val="Tabletext1"/>
              <w:keepNext/>
              <w:rPr>
                <w:b/>
                <w:szCs w:val="20"/>
              </w:rPr>
            </w:pPr>
            <w:r w:rsidRPr="002F703E">
              <w:rPr>
                <w:b/>
                <w:szCs w:val="20"/>
              </w:rPr>
              <w:t>Step and component</w:t>
            </w:r>
          </w:p>
        </w:tc>
        <w:tc>
          <w:tcPr>
            <w:tcW w:w="1258" w:type="pct"/>
            <w:vAlign w:val="center"/>
          </w:tcPr>
          <w:p w:rsidR="0011015D" w:rsidRPr="002F703E" w:rsidRDefault="0011015D" w:rsidP="00051615">
            <w:pPr>
              <w:pStyle w:val="Tabletext1"/>
              <w:keepNext/>
              <w:jc w:val="center"/>
              <w:rPr>
                <w:b/>
                <w:szCs w:val="20"/>
              </w:rPr>
            </w:pPr>
            <w:r w:rsidRPr="002F703E">
              <w:rPr>
                <w:b/>
                <w:szCs w:val="20"/>
              </w:rPr>
              <w:t>Proposed scenario</w:t>
            </w:r>
            <w:r w:rsidRPr="002F703E">
              <w:rPr>
                <w:b/>
                <w:szCs w:val="20"/>
              </w:rPr>
              <w:br/>
              <w:t>(test/ATZ+nab-P)</w:t>
            </w:r>
          </w:p>
        </w:tc>
        <w:tc>
          <w:tcPr>
            <w:tcW w:w="1213" w:type="pct"/>
            <w:gridSpan w:val="2"/>
            <w:vAlign w:val="center"/>
          </w:tcPr>
          <w:p w:rsidR="0011015D" w:rsidRPr="002F703E" w:rsidRDefault="0011015D" w:rsidP="00051615">
            <w:pPr>
              <w:pStyle w:val="Tabletext1"/>
              <w:keepNext/>
              <w:jc w:val="center"/>
              <w:rPr>
                <w:b/>
                <w:szCs w:val="20"/>
              </w:rPr>
            </w:pPr>
            <w:r w:rsidRPr="002F703E">
              <w:rPr>
                <w:b/>
                <w:szCs w:val="20"/>
              </w:rPr>
              <w:t>Current scenario</w:t>
            </w:r>
            <w:r w:rsidRPr="002F703E">
              <w:rPr>
                <w:b/>
                <w:szCs w:val="20"/>
              </w:rPr>
              <w:br/>
              <w:t>(no test/nab-P)</w:t>
            </w:r>
          </w:p>
        </w:tc>
        <w:tc>
          <w:tcPr>
            <w:tcW w:w="881" w:type="pct"/>
            <w:vAlign w:val="center"/>
          </w:tcPr>
          <w:p w:rsidR="0011015D" w:rsidRPr="002F703E" w:rsidRDefault="0011015D" w:rsidP="00051615">
            <w:pPr>
              <w:pStyle w:val="Tabletext1"/>
              <w:keepNext/>
              <w:jc w:val="center"/>
              <w:rPr>
                <w:b/>
                <w:szCs w:val="20"/>
              </w:rPr>
            </w:pPr>
            <w:r w:rsidRPr="002F703E">
              <w:rPr>
                <w:b/>
                <w:szCs w:val="20"/>
              </w:rPr>
              <w:t>Increment</w:t>
            </w:r>
          </w:p>
        </w:tc>
      </w:tr>
      <w:tr w:rsidR="0011015D" w:rsidRPr="002F703E" w:rsidTr="00051615">
        <w:trPr>
          <w:jc w:val="center"/>
        </w:trPr>
        <w:tc>
          <w:tcPr>
            <w:tcW w:w="5000" w:type="pct"/>
            <w:gridSpan w:val="5"/>
            <w:vAlign w:val="center"/>
          </w:tcPr>
          <w:p w:rsidR="0011015D" w:rsidRPr="002F703E" w:rsidRDefault="0011015D" w:rsidP="00051615">
            <w:pPr>
              <w:pStyle w:val="Tabletext1"/>
              <w:keepNext/>
              <w:rPr>
                <w:b/>
                <w:snapToGrid w:val="0"/>
                <w:szCs w:val="20"/>
              </w:rPr>
            </w:pPr>
            <w:r w:rsidRPr="002F703E">
              <w:rPr>
                <w:b/>
                <w:snapToGrid w:val="0"/>
                <w:szCs w:val="20"/>
              </w:rPr>
              <w:t>Step 1: trial-based costs and outcomes</w:t>
            </w:r>
          </w:p>
        </w:tc>
      </w:tr>
      <w:tr w:rsidR="0011015D" w:rsidRPr="002F703E" w:rsidTr="005B0CCD">
        <w:trPr>
          <w:jc w:val="center"/>
        </w:trPr>
        <w:tc>
          <w:tcPr>
            <w:tcW w:w="1648" w:type="pct"/>
            <w:vAlign w:val="center"/>
          </w:tcPr>
          <w:p w:rsidR="0011015D" w:rsidRPr="002F703E" w:rsidRDefault="0011015D" w:rsidP="00051615">
            <w:pPr>
              <w:pStyle w:val="Tabletext1"/>
              <w:keepNext/>
              <w:rPr>
                <w:szCs w:val="20"/>
              </w:rPr>
            </w:pPr>
            <w:r w:rsidRPr="002F703E">
              <w:rPr>
                <w:szCs w:val="20"/>
              </w:rPr>
              <w:t>Costs</w:t>
            </w:r>
          </w:p>
        </w:tc>
        <w:tc>
          <w:tcPr>
            <w:tcW w:w="1258" w:type="pct"/>
            <w:vAlign w:val="bottom"/>
          </w:tcPr>
          <w:p w:rsidR="0011015D" w:rsidRPr="002F703E" w:rsidRDefault="0011015D" w:rsidP="00051615">
            <w:pPr>
              <w:pStyle w:val="Tabletext1"/>
              <w:keepNext/>
              <w:jc w:val="center"/>
              <w:rPr>
                <w:szCs w:val="20"/>
              </w:rPr>
            </w:pPr>
            <w:r w:rsidRPr="002F703E">
              <w:rPr>
                <w:rFonts w:cs="Calibri"/>
                <w:color w:val="000000"/>
                <w:szCs w:val="20"/>
              </w:rPr>
              <w:t>$</w:t>
            </w:r>
            <w:r w:rsidR="00EB2224">
              <w:rPr>
                <w:rFonts w:cs="Calibri"/>
                <w:noProof/>
                <w:color w:val="000000"/>
                <w:szCs w:val="20"/>
                <w:highlight w:val="black"/>
              </w:rPr>
              <w:t>''''''''''''''''</w:t>
            </w:r>
          </w:p>
        </w:tc>
        <w:tc>
          <w:tcPr>
            <w:tcW w:w="1213" w:type="pct"/>
            <w:gridSpan w:val="2"/>
            <w:vAlign w:val="bottom"/>
          </w:tcPr>
          <w:p w:rsidR="0011015D" w:rsidRPr="00DD0EBF" w:rsidRDefault="0011015D" w:rsidP="00051615">
            <w:pPr>
              <w:pStyle w:val="Tabletext1"/>
              <w:keepNext/>
              <w:jc w:val="center"/>
              <w:rPr>
                <w:szCs w:val="20"/>
              </w:rPr>
            </w:pPr>
            <w:r w:rsidRPr="00DD0EBF">
              <w:rPr>
                <w:rFonts w:cs="Calibri"/>
                <w:color w:val="000000"/>
                <w:szCs w:val="20"/>
              </w:rPr>
              <w:t>$</w:t>
            </w:r>
            <w:r w:rsidR="00EB2224">
              <w:rPr>
                <w:rFonts w:cs="Calibri"/>
                <w:noProof/>
                <w:color w:val="000000"/>
                <w:szCs w:val="20"/>
                <w:highlight w:val="black"/>
              </w:rPr>
              <w:t>''''''''''''''''</w:t>
            </w:r>
          </w:p>
        </w:tc>
        <w:tc>
          <w:tcPr>
            <w:tcW w:w="881" w:type="pct"/>
            <w:vAlign w:val="bottom"/>
          </w:tcPr>
          <w:p w:rsidR="0011015D" w:rsidRPr="002F703E" w:rsidRDefault="0011015D" w:rsidP="00051615">
            <w:pPr>
              <w:pStyle w:val="Tabletext1"/>
              <w:keepNext/>
              <w:jc w:val="center"/>
              <w:rPr>
                <w:szCs w:val="20"/>
              </w:rPr>
            </w:pPr>
            <w:r w:rsidRPr="002F703E">
              <w:rPr>
                <w:rFonts w:cs="Calibri"/>
                <w:color w:val="000000"/>
                <w:szCs w:val="20"/>
              </w:rPr>
              <w:t>$</w:t>
            </w:r>
            <w:r w:rsidR="00EB2224">
              <w:rPr>
                <w:rFonts w:cs="Calibri"/>
                <w:noProof/>
                <w:color w:val="000000"/>
                <w:szCs w:val="20"/>
                <w:highlight w:val="black"/>
              </w:rPr>
              <w:t>''''''''''''''''</w:t>
            </w:r>
          </w:p>
        </w:tc>
      </w:tr>
      <w:tr w:rsidR="0011015D" w:rsidRPr="002F703E" w:rsidTr="005B0CCD">
        <w:trPr>
          <w:jc w:val="center"/>
        </w:trPr>
        <w:tc>
          <w:tcPr>
            <w:tcW w:w="1648" w:type="pct"/>
            <w:vAlign w:val="center"/>
          </w:tcPr>
          <w:p w:rsidR="0011015D" w:rsidRPr="002F703E" w:rsidRDefault="0011015D" w:rsidP="00051615">
            <w:pPr>
              <w:pStyle w:val="Tabletext1"/>
              <w:keepNext/>
              <w:rPr>
                <w:szCs w:val="20"/>
              </w:rPr>
            </w:pPr>
            <w:r w:rsidRPr="002F703E">
              <w:rPr>
                <w:szCs w:val="20"/>
              </w:rPr>
              <w:t>Life years gained</w:t>
            </w:r>
          </w:p>
        </w:tc>
        <w:tc>
          <w:tcPr>
            <w:tcW w:w="1258" w:type="pct"/>
            <w:vAlign w:val="center"/>
          </w:tcPr>
          <w:p w:rsidR="0011015D" w:rsidRPr="002F703E" w:rsidRDefault="0011015D" w:rsidP="00051615">
            <w:pPr>
              <w:pStyle w:val="Tabletext1"/>
              <w:keepNext/>
              <w:jc w:val="center"/>
              <w:rPr>
                <w:rFonts w:eastAsiaTheme="minorHAnsi" w:cs="Calibri"/>
                <w:bCs/>
                <w:color w:val="000000"/>
                <w:szCs w:val="20"/>
              </w:rPr>
            </w:pPr>
            <w:r w:rsidRPr="002F703E">
              <w:rPr>
                <w:rFonts w:cs="Calibri"/>
                <w:bCs/>
                <w:color w:val="000000"/>
                <w:szCs w:val="20"/>
              </w:rPr>
              <w:t>1.66</w:t>
            </w:r>
          </w:p>
        </w:tc>
        <w:tc>
          <w:tcPr>
            <w:tcW w:w="1213" w:type="pct"/>
            <w:gridSpan w:val="2"/>
            <w:vAlign w:val="center"/>
          </w:tcPr>
          <w:p w:rsidR="0011015D" w:rsidRPr="00DD0EBF" w:rsidRDefault="0011015D" w:rsidP="00051615">
            <w:pPr>
              <w:pStyle w:val="Tabletext1"/>
              <w:keepNext/>
              <w:jc w:val="center"/>
              <w:rPr>
                <w:rFonts w:eastAsiaTheme="minorHAnsi" w:cs="Calibri"/>
                <w:bCs/>
                <w:color w:val="000000"/>
                <w:szCs w:val="20"/>
              </w:rPr>
            </w:pPr>
            <w:r w:rsidRPr="00DD0EBF">
              <w:rPr>
                <w:rFonts w:cs="Calibri"/>
                <w:bCs/>
                <w:color w:val="000000"/>
                <w:szCs w:val="20"/>
              </w:rPr>
              <w:t>1.60</w:t>
            </w:r>
          </w:p>
        </w:tc>
        <w:tc>
          <w:tcPr>
            <w:tcW w:w="881" w:type="pct"/>
            <w:vAlign w:val="center"/>
          </w:tcPr>
          <w:p w:rsidR="0011015D" w:rsidRPr="002F703E" w:rsidRDefault="0011015D" w:rsidP="00051615">
            <w:pPr>
              <w:pStyle w:val="Tabletext1"/>
              <w:keepNext/>
              <w:jc w:val="center"/>
              <w:rPr>
                <w:rFonts w:cs="Calibri"/>
                <w:bCs/>
                <w:color w:val="000000"/>
                <w:szCs w:val="20"/>
              </w:rPr>
            </w:pPr>
            <w:r w:rsidRPr="002F703E">
              <w:rPr>
                <w:rFonts w:cs="Calibri"/>
                <w:bCs/>
                <w:color w:val="000000"/>
                <w:szCs w:val="20"/>
              </w:rPr>
              <w:t>0.06</w:t>
            </w:r>
          </w:p>
        </w:tc>
      </w:tr>
      <w:tr w:rsidR="0011015D" w:rsidRPr="002F703E" w:rsidTr="00051615">
        <w:trPr>
          <w:jc w:val="center"/>
        </w:trPr>
        <w:tc>
          <w:tcPr>
            <w:tcW w:w="4119" w:type="pct"/>
            <w:gridSpan w:val="4"/>
            <w:vAlign w:val="center"/>
          </w:tcPr>
          <w:p w:rsidR="0011015D" w:rsidRPr="00DD0EBF" w:rsidRDefault="0011015D" w:rsidP="00051615">
            <w:pPr>
              <w:pStyle w:val="Tabletext1"/>
              <w:keepNext/>
              <w:rPr>
                <w:snapToGrid w:val="0"/>
                <w:szCs w:val="20"/>
              </w:rPr>
            </w:pPr>
            <w:r w:rsidRPr="00DD0EBF">
              <w:rPr>
                <w:szCs w:val="20"/>
              </w:rPr>
              <w:t>Incremental cost/extra life year gained</w:t>
            </w:r>
          </w:p>
        </w:tc>
        <w:tc>
          <w:tcPr>
            <w:tcW w:w="881" w:type="pct"/>
            <w:vAlign w:val="center"/>
          </w:tcPr>
          <w:p w:rsidR="0011015D" w:rsidRPr="002F703E" w:rsidRDefault="0011015D" w:rsidP="00051615">
            <w:pPr>
              <w:pStyle w:val="Tabletext1"/>
              <w:keepNext/>
              <w:jc w:val="center"/>
              <w:rPr>
                <w:rFonts w:eastAsiaTheme="minorHAnsi" w:cs="Calibri"/>
                <w:bCs/>
                <w:color w:val="000000"/>
                <w:szCs w:val="20"/>
              </w:rPr>
            </w:pPr>
            <w:r w:rsidRPr="002F703E">
              <w:rPr>
                <w:rFonts w:cs="Calibri"/>
                <w:bCs/>
                <w:color w:val="000000"/>
                <w:szCs w:val="20"/>
              </w:rPr>
              <w:t>$</w:t>
            </w:r>
            <w:r w:rsidR="00EB2224">
              <w:rPr>
                <w:rFonts w:cs="Calibri"/>
                <w:bCs/>
                <w:noProof/>
                <w:color w:val="000000"/>
                <w:szCs w:val="20"/>
                <w:highlight w:val="black"/>
              </w:rPr>
              <w:t>''''''''''''''''''''</w:t>
            </w:r>
          </w:p>
        </w:tc>
      </w:tr>
      <w:tr w:rsidR="0011015D" w:rsidRPr="002F703E" w:rsidTr="00051615">
        <w:trPr>
          <w:jc w:val="center"/>
        </w:trPr>
        <w:tc>
          <w:tcPr>
            <w:tcW w:w="5000" w:type="pct"/>
            <w:gridSpan w:val="5"/>
            <w:vAlign w:val="center"/>
          </w:tcPr>
          <w:p w:rsidR="0011015D" w:rsidRPr="00DD0EBF" w:rsidRDefault="0011015D" w:rsidP="00051615">
            <w:pPr>
              <w:pStyle w:val="Tabletext1"/>
              <w:keepNext/>
              <w:rPr>
                <w:b/>
                <w:snapToGrid w:val="0"/>
                <w:szCs w:val="20"/>
              </w:rPr>
            </w:pPr>
            <w:r w:rsidRPr="00DD0EBF">
              <w:rPr>
                <w:b/>
                <w:snapToGrid w:val="0"/>
                <w:szCs w:val="20"/>
              </w:rPr>
              <w:t xml:space="preserve">Step 2: </w:t>
            </w:r>
            <w:r w:rsidRPr="00DD0EBF">
              <w:rPr>
                <w:b/>
                <w:szCs w:val="20"/>
              </w:rPr>
              <w:t>parametric extrapolation from 18 months to a 10 year time horizon</w:t>
            </w:r>
          </w:p>
        </w:tc>
      </w:tr>
      <w:tr w:rsidR="0011015D" w:rsidRPr="002F703E" w:rsidTr="005B0CCD">
        <w:trPr>
          <w:jc w:val="center"/>
        </w:trPr>
        <w:tc>
          <w:tcPr>
            <w:tcW w:w="1648" w:type="pct"/>
            <w:vAlign w:val="center"/>
          </w:tcPr>
          <w:p w:rsidR="0011015D" w:rsidRPr="002F703E" w:rsidRDefault="0011015D" w:rsidP="00051615">
            <w:pPr>
              <w:pStyle w:val="Tabletext1"/>
              <w:keepNext/>
              <w:rPr>
                <w:szCs w:val="20"/>
              </w:rPr>
            </w:pPr>
            <w:r w:rsidRPr="002F703E">
              <w:rPr>
                <w:szCs w:val="20"/>
              </w:rPr>
              <w:t>Costs</w:t>
            </w:r>
          </w:p>
        </w:tc>
        <w:tc>
          <w:tcPr>
            <w:tcW w:w="1258" w:type="pct"/>
            <w:vAlign w:val="bottom"/>
          </w:tcPr>
          <w:p w:rsidR="0011015D" w:rsidRPr="002F703E" w:rsidRDefault="0011015D" w:rsidP="00051615">
            <w:pPr>
              <w:pStyle w:val="Tabletext1"/>
              <w:keepNext/>
              <w:jc w:val="center"/>
              <w:rPr>
                <w:szCs w:val="20"/>
              </w:rPr>
            </w:pPr>
            <w:r w:rsidRPr="002F703E">
              <w:rPr>
                <w:rFonts w:cs="Calibri"/>
                <w:color w:val="000000"/>
                <w:szCs w:val="20"/>
              </w:rPr>
              <w:t>$</w:t>
            </w:r>
            <w:r w:rsidR="00EB2224">
              <w:rPr>
                <w:rFonts w:cs="Calibri"/>
                <w:noProof/>
                <w:color w:val="000000"/>
                <w:szCs w:val="20"/>
                <w:highlight w:val="black"/>
              </w:rPr>
              <w:t>'''''''''''''''</w:t>
            </w:r>
          </w:p>
        </w:tc>
        <w:tc>
          <w:tcPr>
            <w:tcW w:w="1213" w:type="pct"/>
            <w:gridSpan w:val="2"/>
            <w:vAlign w:val="bottom"/>
          </w:tcPr>
          <w:p w:rsidR="0011015D" w:rsidRPr="00DD0EBF" w:rsidRDefault="0011015D" w:rsidP="00051615">
            <w:pPr>
              <w:pStyle w:val="Tabletext1"/>
              <w:keepNext/>
              <w:jc w:val="center"/>
              <w:rPr>
                <w:szCs w:val="20"/>
              </w:rPr>
            </w:pPr>
            <w:r w:rsidRPr="00DD0EBF">
              <w:rPr>
                <w:rFonts w:cs="Calibri"/>
                <w:color w:val="000000"/>
                <w:szCs w:val="20"/>
              </w:rPr>
              <w:t>$</w:t>
            </w:r>
            <w:r w:rsidR="00EB2224">
              <w:rPr>
                <w:rFonts w:cs="Calibri"/>
                <w:noProof/>
                <w:color w:val="000000"/>
                <w:szCs w:val="20"/>
                <w:highlight w:val="black"/>
              </w:rPr>
              <w:t>''''''''''''''''''</w:t>
            </w:r>
          </w:p>
        </w:tc>
        <w:tc>
          <w:tcPr>
            <w:tcW w:w="881" w:type="pct"/>
            <w:vAlign w:val="bottom"/>
          </w:tcPr>
          <w:p w:rsidR="0011015D" w:rsidRPr="002F703E" w:rsidRDefault="0011015D" w:rsidP="00051615">
            <w:pPr>
              <w:pStyle w:val="Tabletext1"/>
              <w:keepNext/>
              <w:jc w:val="center"/>
              <w:rPr>
                <w:szCs w:val="20"/>
              </w:rPr>
            </w:pPr>
            <w:r w:rsidRPr="002F703E">
              <w:rPr>
                <w:rFonts w:cs="Calibri"/>
                <w:color w:val="000000"/>
                <w:szCs w:val="20"/>
              </w:rPr>
              <w:t>$</w:t>
            </w:r>
            <w:r w:rsidR="00EB2224">
              <w:rPr>
                <w:rFonts w:cs="Calibri"/>
                <w:noProof/>
                <w:color w:val="000000"/>
                <w:szCs w:val="20"/>
                <w:highlight w:val="black"/>
              </w:rPr>
              <w:t>''''''''''''''''</w:t>
            </w:r>
          </w:p>
        </w:tc>
      </w:tr>
      <w:tr w:rsidR="0011015D" w:rsidRPr="002F703E" w:rsidTr="005B0CCD">
        <w:trPr>
          <w:jc w:val="center"/>
        </w:trPr>
        <w:tc>
          <w:tcPr>
            <w:tcW w:w="1648" w:type="pct"/>
            <w:vAlign w:val="center"/>
          </w:tcPr>
          <w:p w:rsidR="0011015D" w:rsidRPr="002F703E" w:rsidRDefault="0011015D" w:rsidP="00051615">
            <w:pPr>
              <w:pStyle w:val="Tabletext1"/>
              <w:keepNext/>
              <w:rPr>
                <w:szCs w:val="20"/>
              </w:rPr>
            </w:pPr>
            <w:r w:rsidRPr="002F703E">
              <w:rPr>
                <w:szCs w:val="20"/>
              </w:rPr>
              <w:t>Life years gained</w:t>
            </w:r>
          </w:p>
        </w:tc>
        <w:tc>
          <w:tcPr>
            <w:tcW w:w="1258" w:type="pct"/>
            <w:vAlign w:val="bottom"/>
          </w:tcPr>
          <w:p w:rsidR="0011015D" w:rsidRPr="002F703E" w:rsidRDefault="0011015D" w:rsidP="00051615">
            <w:pPr>
              <w:pStyle w:val="Tabletext1"/>
              <w:keepNext/>
              <w:jc w:val="center"/>
              <w:rPr>
                <w:szCs w:val="20"/>
              </w:rPr>
            </w:pPr>
            <w:r w:rsidRPr="002F703E">
              <w:rPr>
                <w:rFonts w:cs="Calibri"/>
                <w:color w:val="000000"/>
                <w:szCs w:val="20"/>
              </w:rPr>
              <w:t>2.40</w:t>
            </w:r>
          </w:p>
        </w:tc>
        <w:tc>
          <w:tcPr>
            <w:tcW w:w="1213" w:type="pct"/>
            <w:gridSpan w:val="2"/>
            <w:vAlign w:val="bottom"/>
          </w:tcPr>
          <w:p w:rsidR="0011015D" w:rsidRPr="00DD0EBF" w:rsidRDefault="0011015D" w:rsidP="00051615">
            <w:pPr>
              <w:pStyle w:val="Tabletext1"/>
              <w:keepNext/>
              <w:jc w:val="center"/>
              <w:rPr>
                <w:szCs w:val="20"/>
              </w:rPr>
            </w:pPr>
            <w:r w:rsidRPr="00DD0EBF">
              <w:rPr>
                <w:rFonts w:cs="Calibri"/>
                <w:color w:val="000000"/>
                <w:szCs w:val="20"/>
              </w:rPr>
              <w:t>1.80</w:t>
            </w:r>
          </w:p>
        </w:tc>
        <w:tc>
          <w:tcPr>
            <w:tcW w:w="881" w:type="pct"/>
            <w:vAlign w:val="bottom"/>
          </w:tcPr>
          <w:p w:rsidR="0011015D" w:rsidRPr="002F703E" w:rsidRDefault="0011015D" w:rsidP="00051615">
            <w:pPr>
              <w:pStyle w:val="Tabletext1"/>
              <w:keepNext/>
              <w:jc w:val="center"/>
              <w:rPr>
                <w:szCs w:val="20"/>
              </w:rPr>
            </w:pPr>
            <w:r w:rsidRPr="002F703E">
              <w:rPr>
                <w:rFonts w:cs="Calibri"/>
                <w:color w:val="000000"/>
                <w:szCs w:val="20"/>
              </w:rPr>
              <w:t>0.61</w:t>
            </w:r>
          </w:p>
        </w:tc>
      </w:tr>
      <w:tr w:rsidR="0011015D" w:rsidRPr="002F703E" w:rsidTr="00051615">
        <w:trPr>
          <w:jc w:val="center"/>
        </w:trPr>
        <w:tc>
          <w:tcPr>
            <w:tcW w:w="4119" w:type="pct"/>
            <w:gridSpan w:val="4"/>
            <w:vAlign w:val="center"/>
          </w:tcPr>
          <w:p w:rsidR="0011015D" w:rsidRPr="00DD0EBF" w:rsidRDefault="0011015D" w:rsidP="00051615">
            <w:pPr>
              <w:pStyle w:val="Tabletext1"/>
              <w:keepNext/>
              <w:rPr>
                <w:snapToGrid w:val="0"/>
                <w:szCs w:val="20"/>
              </w:rPr>
            </w:pPr>
            <w:r w:rsidRPr="00DD0EBF">
              <w:rPr>
                <w:szCs w:val="20"/>
              </w:rPr>
              <w:t>Incremental cost/extra life year gained</w:t>
            </w:r>
          </w:p>
        </w:tc>
        <w:tc>
          <w:tcPr>
            <w:tcW w:w="881" w:type="pct"/>
            <w:vAlign w:val="center"/>
          </w:tcPr>
          <w:p w:rsidR="0011015D" w:rsidRPr="002F703E" w:rsidRDefault="0011015D" w:rsidP="00051615">
            <w:pPr>
              <w:pStyle w:val="Tabletext1"/>
              <w:keepNext/>
              <w:jc w:val="center"/>
              <w:rPr>
                <w:rFonts w:eastAsiaTheme="minorHAnsi" w:cs="Calibri"/>
                <w:bCs/>
                <w:color w:val="000000"/>
                <w:szCs w:val="20"/>
              </w:rPr>
            </w:pPr>
            <w:r w:rsidRPr="002F703E">
              <w:rPr>
                <w:rFonts w:cs="Calibri"/>
                <w:bCs/>
                <w:color w:val="000000"/>
                <w:szCs w:val="20"/>
              </w:rPr>
              <w:t>$</w:t>
            </w:r>
            <w:r w:rsidR="00EB2224">
              <w:rPr>
                <w:rFonts w:cs="Calibri"/>
                <w:bCs/>
                <w:noProof/>
                <w:color w:val="000000"/>
                <w:szCs w:val="20"/>
                <w:highlight w:val="black"/>
              </w:rPr>
              <w:t>''''''''''''''''</w:t>
            </w:r>
          </w:p>
        </w:tc>
      </w:tr>
      <w:tr w:rsidR="0011015D" w:rsidRPr="002F703E" w:rsidTr="00051615">
        <w:trPr>
          <w:jc w:val="center"/>
        </w:trPr>
        <w:tc>
          <w:tcPr>
            <w:tcW w:w="5000" w:type="pct"/>
            <w:gridSpan w:val="5"/>
            <w:vAlign w:val="center"/>
          </w:tcPr>
          <w:p w:rsidR="0011015D" w:rsidRPr="00DD0EBF" w:rsidRDefault="0011015D" w:rsidP="00051615">
            <w:pPr>
              <w:pStyle w:val="Tabletext1"/>
              <w:keepNext/>
              <w:rPr>
                <w:b/>
                <w:snapToGrid w:val="0"/>
                <w:szCs w:val="20"/>
              </w:rPr>
            </w:pPr>
            <w:r w:rsidRPr="00DD0EBF">
              <w:rPr>
                <w:b/>
                <w:snapToGrid w:val="0"/>
                <w:szCs w:val="20"/>
              </w:rPr>
              <w:t>Step 3: inclusion of MRU costs</w:t>
            </w:r>
          </w:p>
        </w:tc>
      </w:tr>
      <w:tr w:rsidR="0011015D" w:rsidRPr="002F703E" w:rsidTr="005B0CCD">
        <w:trPr>
          <w:jc w:val="center"/>
        </w:trPr>
        <w:tc>
          <w:tcPr>
            <w:tcW w:w="1648" w:type="pct"/>
            <w:vAlign w:val="center"/>
          </w:tcPr>
          <w:p w:rsidR="0011015D" w:rsidRPr="002F703E" w:rsidRDefault="0011015D" w:rsidP="00051615">
            <w:pPr>
              <w:pStyle w:val="Tabletext1"/>
              <w:keepNext/>
              <w:rPr>
                <w:szCs w:val="20"/>
              </w:rPr>
            </w:pPr>
            <w:r w:rsidRPr="002F703E">
              <w:rPr>
                <w:szCs w:val="20"/>
              </w:rPr>
              <w:t>Costs</w:t>
            </w:r>
          </w:p>
        </w:tc>
        <w:tc>
          <w:tcPr>
            <w:tcW w:w="1258" w:type="pct"/>
            <w:vAlign w:val="bottom"/>
          </w:tcPr>
          <w:p w:rsidR="0011015D" w:rsidRPr="002F703E" w:rsidRDefault="0011015D" w:rsidP="00051615">
            <w:pPr>
              <w:pStyle w:val="Tabletext1"/>
              <w:keepNext/>
              <w:jc w:val="center"/>
              <w:rPr>
                <w:szCs w:val="20"/>
              </w:rPr>
            </w:pPr>
            <w:r w:rsidRPr="002F703E">
              <w:rPr>
                <w:rFonts w:cs="Calibri"/>
                <w:color w:val="000000"/>
                <w:szCs w:val="20"/>
              </w:rPr>
              <w:t>$</w:t>
            </w:r>
            <w:r w:rsidR="00EB2224">
              <w:rPr>
                <w:rFonts w:cs="Calibri"/>
                <w:noProof/>
                <w:color w:val="000000"/>
                <w:szCs w:val="20"/>
                <w:highlight w:val="black"/>
              </w:rPr>
              <w:t>''''''''''''''''</w:t>
            </w:r>
          </w:p>
        </w:tc>
        <w:tc>
          <w:tcPr>
            <w:tcW w:w="1213" w:type="pct"/>
            <w:gridSpan w:val="2"/>
            <w:vAlign w:val="bottom"/>
          </w:tcPr>
          <w:p w:rsidR="0011015D" w:rsidRPr="00DD0EBF" w:rsidRDefault="0011015D" w:rsidP="00051615">
            <w:pPr>
              <w:pStyle w:val="Tabletext1"/>
              <w:keepNext/>
              <w:jc w:val="center"/>
              <w:rPr>
                <w:szCs w:val="20"/>
              </w:rPr>
            </w:pPr>
            <w:r w:rsidRPr="00DD0EBF">
              <w:rPr>
                <w:rFonts w:cs="Calibri"/>
                <w:color w:val="000000"/>
                <w:szCs w:val="20"/>
              </w:rPr>
              <w:t>$</w:t>
            </w:r>
            <w:r w:rsidR="00EB2224">
              <w:rPr>
                <w:rFonts w:cs="Calibri"/>
                <w:noProof/>
                <w:color w:val="000000"/>
                <w:szCs w:val="20"/>
                <w:highlight w:val="black"/>
              </w:rPr>
              <w:t>''''''''''''''''</w:t>
            </w:r>
          </w:p>
        </w:tc>
        <w:tc>
          <w:tcPr>
            <w:tcW w:w="881" w:type="pct"/>
            <w:vAlign w:val="bottom"/>
          </w:tcPr>
          <w:p w:rsidR="0011015D" w:rsidRPr="002F703E" w:rsidRDefault="0011015D" w:rsidP="00051615">
            <w:pPr>
              <w:pStyle w:val="Tabletext1"/>
              <w:keepNext/>
              <w:jc w:val="center"/>
              <w:rPr>
                <w:szCs w:val="20"/>
              </w:rPr>
            </w:pPr>
            <w:r w:rsidRPr="002F703E">
              <w:rPr>
                <w:rFonts w:cs="Calibri"/>
                <w:color w:val="000000"/>
                <w:szCs w:val="20"/>
              </w:rPr>
              <w:t>$</w:t>
            </w:r>
            <w:r w:rsidR="00EB2224">
              <w:rPr>
                <w:rFonts w:cs="Calibri"/>
                <w:noProof/>
                <w:color w:val="000000"/>
                <w:szCs w:val="20"/>
                <w:highlight w:val="black"/>
              </w:rPr>
              <w:t>''''''''''''''''</w:t>
            </w:r>
          </w:p>
        </w:tc>
      </w:tr>
      <w:tr w:rsidR="0011015D" w:rsidRPr="002F703E" w:rsidTr="005B0CCD">
        <w:trPr>
          <w:jc w:val="center"/>
        </w:trPr>
        <w:tc>
          <w:tcPr>
            <w:tcW w:w="1648" w:type="pct"/>
            <w:vAlign w:val="center"/>
          </w:tcPr>
          <w:p w:rsidR="0011015D" w:rsidRPr="002F703E" w:rsidRDefault="0011015D" w:rsidP="00051615">
            <w:pPr>
              <w:pStyle w:val="Tabletext1"/>
              <w:keepNext/>
              <w:rPr>
                <w:szCs w:val="20"/>
              </w:rPr>
            </w:pPr>
            <w:r w:rsidRPr="002F703E">
              <w:rPr>
                <w:szCs w:val="20"/>
              </w:rPr>
              <w:t>Life years gained</w:t>
            </w:r>
          </w:p>
        </w:tc>
        <w:tc>
          <w:tcPr>
            <w:tcW w:w="1258" w:type="pct"/>
            <w:vAlign w:val="bottom"/>
          </w:tcPr>
          <w:p w:rsidR="0011015D" w:rsidRPr="002F703E" w:rsidRDefault="0011015D" w:rsidP="00051615">
            <w:pPr>
              <w:pStyle w:val="Tabletext1"/>
              <w:keepNext/>
              <w:jc w:val="center"/>
              <w:rPr>
                <w:szCs w:val="20"/>
              </w:rPr>
            </w:pPr>
            <w:r w:rsidRPr="002F703E">
              <w:rPr>
                <w:rFonts w:cs="Calibri"/>
                <w:color w:val="000000"/>
                <w:szCs w:val="20"/>
              </w:rPr>
              <w:t>2.40</w:t>
            </w:r>
          </w:p>
        </w:tc>
        <w:tc>
          <w:tcPr>
            <w:tcW w:w="1213" w:type="pct"/>
            <w:gridSpan w:val="2"/>
            <w:vAlign w:val="bottom"/>
          </w:tcPr>
          <w:p w:rsidR="0011015D" w:rsidRPr="00DD0EBF" w:rsidRDefault="0011015D" w:rsidP="00051615">
            <w:pPr>
              <w:pStyle w:val="Tabletext1"/>
              <w:keepNext/>
              <w:jc w:val="center"/>
              <w:rPr>
                <w:szCs w:val="20"/>
              </w:rPr>
            </w:pPr>
            <w:r w:rsidRPr="00DD0EBF">
              <w:rPr>
                <w:rFonts w:cs="Calibri"/>
                <w:color w:val="000000"/>
                <w:szCs w:val="20"/>
              </w:rPr>
              <w:t>1.80</w:t>
            </w:r>
          </w:p>
        </w:tc>
        <w:tc>
          <w:tcPr>
            <w:tcW w:w="881" w:type="pct"/>
            <w:vAlign w:val="bottom"/>
          </w:tcPr>
          <w:p w:rsidR="0011015D" w:rsidRPr="002F703E" w:rsidRDefault="0011015D" w:rsidP="00051615">
            <w:pPr>
              <w:pStyle w:val="Tabletext1"/>
              <w:keepNext/>
              <w:jc w:val="center"/>
              <w:rPr>
                <w:szCs w:val="20"/>
              </w:rPr>
            </w:pPr>
            <w:r w:rsidRPr="002F703E">
              <w:rPr>
                <w:rFonts w:cs="Calibri"/>
                <w:color w:val="000000"/>
                <w:szCs w:val="20"/>
              </w:rPr>
              <w:t>0.61</w:t>
            </w:r>
          </w:p>
        </w:tc>
      </w:tr>
      <w:tr w:rsidR="0011015D" w:rsidRPr="002F703E" w:rsidTr="00051615">
        <w:trPr>
          <w:jc w:val="center"/>
        </w:trPr>
        <w:tc>
          <w:tcPr>
            <w:tcW w:w="4119" w:type="pct"/>
            <w:gridSpan w:val="4"/>
            <w:vAlign w:val="center"/>
          </w:tcPr>
          <w:p w:rsidR="0011015D" w:rsidRPr="00DD0EBF" w:rsidRDefault="0011015D" w:rsidP="00051615">
            <w:pPr>
              <w:pStyle w:val="Tabletext1"/>
              <w:keepNext/>
              <w:rPr>
                <w:szCs w:val="20"/>
              </w:rPr>
            </w:pPr>
            <w:r w:rsidRPr="00DD0EBF">
              <w:rPr>
                <w:szCs w:val="20"/>
              </w:rPr>
              <w:t>Incremental cost/extra life year gained</w:t>
            </w:r>
          </w:p>
        </w:tc>
        <w:tc>
          <w:tcPr>
            <w:tcW w:w="881" w:type="pct"/>
            <w:vAlign w:val="center"/>
          </w:tcPr>
          <w:p w:rsidR="0011015D" w:rsidRPr="002F703E" w:rsidRDefault="0011015D" w:rsidP="00051615">
            <w:pPr>
              <w:pStyle w:val="Tabletext1"/>
              <w:keepNext/>
              <w:jc w:val="center"/>
              <w:rPr>
                <w:rFonts w:eastAsiaTheme="minorHAnsi" w:cs="Calibri"/>
                <w:bCs/>
                <w:color w:val="000000"/>
                <w:szCs w:val="20"/>
              </w:rPr>
            </w:pPr>
            <w:r w:rsidRPr="002F703E">
              <w:rPr>
                <w:rFonts w:cs="Calibri"/>
                <w:bCs/>
                <w:color w:val="000000"/>
                <w:szCs w:val="20"/>
              </w:rPr>
              <w:t>$</w:t>
            </w:r>
            <w:r w:rsidR="00EB2224">
              <w:rPr>
                <w:rFonts w:cs="Calibri"/>
                <w:bCs/>
                <w:noProof/>
                <w:color w:val="000000"/>
                <w:szCs w:val="20"/>
                <w:highlight w:val="black"/>
              </w:rPr>
              <w:t>'''''''''''''''''</w:t>
            </w:r>
          </w:p>
        </w:tc>
      </w:tr>
      <w:tr w:rsidR="0011015D" w:rsidRPr="002F703E" w:rsidTr="00051615">
        <w:trPr>
          <w:jc w:val="center"/>
        </w:trPr>
        <w:tc>
          <w:tcPr>
            <w:tcW w:w="5000" w:type="pct"/>
            <w:gridSpan w:val="5"/>
            <w:vAlign w:val="center"/>
          </w:tcPr>
          <w:p w:rsidR="0011015D" w:rsidRPr="00DD0EBF" w:rsidRDefault="0011015D" w:rsidP="00051615">
            <w:pPr>
              <w:pStyle w:val="Tabletext1"/>
              <w:keepNext/>
              <w:rPr>
                <w:b/>
                <w:snapToGrid w:val="0"/>
                <w:szCs w:val="20"/>
              </w:rPr>
            </w:pPr>
            <w:r w:rsidRPr="00DD0EBF">
              <w:rPr>
                <w:b/>
                <w:snapToGrid w:val="0"/>
                <w:szCs w:val="20"/>
              </w:rPr>
              <w:t>Step 4: inclusion of AE costs</w:t>
            </w:r>
          </w:p>
        </w:tc>
      </w:tr>
      <w:tr w:rsidR="0011015D" w:rsidRPr="002F703E" w:rsidTr="005B0CCD">
        <w:trPr>
          <w:jc w:val="center"/>
        </w:trPr>
        <w:tc>
          <w:tcPr>
            <w:tcW w:w="1648" w:type="pct"/>
            <w:vAlign w:val="center"/>
          </w:tcPr>
          <w:p w:rsidR="0011015D" w:rsidRPr="002F703E" w:rsidRDefault="0011015D" w:rsidP="00051615">
            <w:pPr>
              <w:pStyle w:val="Tabletext1"/>
              <w:keepNext/>
              <w:rPr>
                <w:szCs w:val="20"/>
              </w:rPr>
            </w:pPr>
            <w:r w:rsidRPr="002F703E">
              <w:rPr>
                <w:szCs w:val="20"/>
              </w:rPr>
              <w:t>Costs</w:t>
            </w:r>
          </w:p>
        </w:tc>
        <w:tc>
          <w:tcPr>
            <w:tcW w:w="1258" w:type="pct"/>
            <w:vAlign w:val="bottom"/>
          </w:tcPr>
          <w:p w:rsidR="0011015D" w:rsidRPr="002F703E" w:rsidRDefault="0011015D" w:rsidP="00051615">
            <w:pPr>
              <w:pStyle w:val="Tabletext1"/>
              <w:keepNext/>
              <w:jc w:val="center"/>
              <w:rPr>
                <w:szCs w:val="20"/>
              </w:rPr>
            </w:pPr>
            <w:r w:rsidRPr="002F703E">
              <w:rPr>
                <w:rFonts w:cs="Calibri"/>
                <w:color w:val="000000"/>
                <w:szCs w:val="20"/>
              </w:rPr>
              <w:t>$</w:t>
            </w:r>
            <w:r w:rsidR="00EB2224">
              <w:rPr>
                <w:rFonts w:cs="Calibri"/>
                <w:noProof/>
                <w:color w:val="000000"/>
                <w:szCs w:val="20"/>
                <w:highlight w:val="black"/>
              </w:rPr>
              <w:t>'''''''''''''''''</w:t>
            </w:r>
          </w:p>
        </w:tc>
        <w:tc>
          <w:tcPr>
            <w:tcW w:w="1213" w:type="pct"/>
            <w:gridSpan w:val="2"/>
            <w:vAlign w:val="bottom"/>
          </w:tcPr>
          <w:p w:rsidR="0011015D" w:rsidRPr="00DD0EBF" w:rsidRDefault="0011015D" w:rsidP="00051615">
            <w:pPr>
              <w:pStyle w:val="Tabletext1"/>
              <w:keepNext/>
              <w:jc w:val="center"/>
              <w:rPr>
                <w:szCs w:val="20"/>
              </w:rPr>
            </w:pPr>
            <w:r w:rsidRPr="00DD0EBF">
              <w:rPr>
                <w:rFonts w:cs="Calibri"/>
                <w:color w:val="000000"/>
                <w:szCs w:val="20"/>
              </w:rPr>
              <w:t>$</w:t>
            </w:r>
            <w:r w:rsidR="00EB2224">
              <w:rPr>
                <w:rFonts w:cs="Calibri"/>
                <w:noProof/>
                <w:color w:val="000000"/>
                <w:szCs w:val="20"/>
                <w:highlight w:val="black"/>
              </w:rPr>
              <w:t>'''''''''''''''''</w:t>
            </w:r>
          </w:p>
        </w:tc>
        <w:tc>
          <w:tcPr>
            <w:tcW w:w="881" w:type="pct"/>
            <w:vAlign w:val="bottom"/>
          </w:tcPr>
          <w:p w:rsidR="0011015D" w:rsidRPr="002F703E" w:rsidRDefault="0011015D" w:rsidP="00051615">
            <w:pPr>
              <w:pStyle w:val="Tabletext1"/>
              <w:keepNext/>
              <w:jc w:val="center"/>
              <w:rPr>
                <w:szCs w:val="20"/>
              </w:rPr>
            </w:pPr>
            <w:r w:rsidRPr="002F703E">
              <w:rPr>
                <w:rFonts w:cs="Calibri"/>
                <w:color w:val="000000"/>
                <w:szCs w:val="20"/>
              </w:rPr>
              <w:t>$</w:t>
            </w:r>
            <w:r w:rsidR="00EB2224">
              <w:rPr>
                <w:rFonts w:cs="Calibri"/>
                <w:noProof/>
                <w:color w:val="000000"/>
                <w:szCs w:val="20"/>
                <w:highlight w:val="black"/>
              </w:rPr>
              <w:t>'''''''''''''''''</w:t>
            </w:r>
          </w:p>
        </w:tc>
      </w:tr>
      <w:tr w:rsidR="0011015D" w:rsidRPr="002F703E" w:rsidTr="005B0CCD">
        <w:trPr>
          <w:jc w:val="center"/>
        </w:trPr>
        <w:tc>
          <w:tcPr>
            <w:tcW w:w="1648" w:type="pct"/>
            <w:vAlign w:val="center"/>
          </w:tcPr>
          <w:p w:rsidR="0011015D" w:rsidRPr="002F703E" w:rsidRDefault="0011015D" w:rsidP="00051615">
            <w:pPr>
              <w:pStyle w:val="Tabletext1"/>
              <w:keepNext/>
              <w:rPr>
                <w:szCs w:val="20"/>
              </w:rPr>
            </w:pPr>
            <w:r w:rsidRPr="002F703E">
              <w:rPr>
                <w:szCs w:val="20"/>
              </w:rPr>
              <w:t>Life year gained</w:t>
            </w:r>
          </w:p>
        </w:tc>
        <w:tc>
          <w:tcPr>
            <w:tcW w:w="1258" w:type="pct"/>
            <w:vAlign w:val="bottom"/>
          </w:tcPr>
          <w:p w:rsidR="0011015D" w:rsidRPr="002F703E" w:rsidRDefault="0011015D" w:rsidP="00051615">
            <w:pPr>
              <w:pStyle w:val="Tabletext1"/>
              <w:keepNext/>
              <w:jc w:val="center"/>
              <w:rPr>
                <w:szCs w:val="20"/>
              </w:rPr>
            </w:pPr>
            <w:r w:rsidRPr="002F703E">
              <w:rPr>
                <w:rFonts w:cs="Calibri"/>
                <w:color w:val="000000"/>
                <w:szCs w:val="20"/>
              </w:rPr>
              <w:t>2.40</w:t>
            </w:r>
          </w:p>
        </w:tc>
        <w:tc>
          <w:tcPr>
            <w:tcW w:w="1213" w:type="pct"/>
            <w:gridSpan w:val="2"/>
            <w:vAlign w:val="bottom"/>
          </w:tcPr>
          <w:p w:rsidR="0011015D" w:rsidRPr="00DD0EBF" w:rsidRDefault="0011015D" w:rsidP="00051615">
            <w:pPr>
              <w:pStyle w:val="Tabletext1"/>
              <w:keepNext/>
              <w:jc w:val="center"/>
              <w:rPr>
                <w:szCs w:val="20"/>
              </w:rPr>
            </w:pPr>
            <w:r w:rsidRPr="00DD0EBF">
              <w:rPr>
                <w:rFonts w:cs="Calibri"/>
                <w:color w:val="000000"/>
                <w:szCs w:val="20"/>
              </w:rPr>
              <w:t>1.80</w:t>
            </w:r>
          </w:p>
        </w:tc>
        <w:tc>
          <w:tcPr>
            <w:tcW w:w="881" w:type="pct"/>
            <w:vAlign w:val="bottom"/>
          </w:tcPr>
          <w:p w:rsidR="0011015D" w:rsidRPr="002F703E" w:rsidRDefault="0011015D" w:rsidP="00051615">
            <w:pPr>
              <w:pStyle w:val="Tabletext1"/>
              <w:keepNext/>
              <w:jc w:val="center"/>
              <w:rPr>
                <w:szCs w:val="20"/>
              </w:rPr>
            </w:pPr>
            <w:r w:rsidRPr="002F703E">
              <w:rPr>
                <w:rFonts w:cs="Calibri"/>
                <w:color w:val="000000"/>
                <w:szCs w:val="20"/>
              </w:rPr>
              <w:t>0.61</w:t>
            </w:r>
          </w:p>
        </w:tc>
      </w:tr>
      <w:tr w:rsidR="0011015D" w:rsidRPr="002F703E" w:rsidTr="00051615">
        <w:trPr>
          <w:jc w:val="center"/>
        </w:trPr>
        <w:tc>
          <w:tcPr>
            <w:tcW w:w="4119" w:type="pct"/>
            <w:gridSpan w:val="4"/>
            <w:vAlign w:val="center"/>
          </w:tcPr>
          <w:p w:rsidR="0011015D" w:rsidRPr="00DD0EBF" w:rsidRDefault="0011015D" w:rsidP="00051615">
            <w:pPr>
              <w:pStyle w:val="Tabletext1"/>
              <w:keepNext/>
              <w:rPr>
                <w:szCs w:val="20"/>
              </w:rPr>
            </w:pPr>
            <w:r w:rsidRPr="00DD0EBF">
              <w:rPr>
                <w:szCs w:val="20"/>
              </w:rPr>
              <w:t>Incremental cost/extra life year gained</w:t>
            </w:r>
          </w:p>
        </w:tc>
        <w:tc>
          <w:tcPr>
            <w:tcW w:w="881" w:type="pct"/>
            <w:vAlign w:val="center"/>
          </w:tcPr>
          <w:p w:rsidR="0011015D" w:rsidRPr="002F703E" w:rsidRDefault="0011015D" w:rsidP="00051615">
            <w:pPr>
              <w:pStyle w:val="Tabletext1"/>
              <w:keepNext/>
              <w:jc w:val="center"/>
              <w:rPr>
                <w:rFonts w:eastAsiaTheme="minorHAnsi" w:cs="Calibri"/>
                <w:bCs/>
                <w:color w:val="000000"/>
                <w:szCs w:val="20"/>
              </w:rPr>
            </w:pPr>
            <w:r w:rsidRPr="002F703E">
              <w:rPr>
                <w:rFonts w:cs="Calibri"/>
                <w:bCs/>
                <w:color w:val="000000"/>
                <w:szCs w:val="20"/>
              </w:rPr>
              <w:t>$</w:t>
            </w:r>
            <w:r w:rsidR="00EB2224">
              <w:rPr>
                <w:rFonts w:cs="Calibri"/>
                <w:bCs/>
                <w:noProof/>
                <w:color w:val="000000"/>
                <w:szCs w:val="20"/>
                <w:highlight w:val="black"/>
              </w:rPr>
              <w:t>''''''''''''''''</w:t>
            </w:r>
          </w:p>
        </w:tc>
      </w:tr>
      <w:tr w:rsidR="0011015D" w:rsidRPr="002F703E" w:rsidTr="00051615">
        <w:trPr>
          <w:jc w:val="center"/>
        </w:trPr>
        <w:tc>
          <w:tcPr>
            <w:tcW w:w="5000" w:type="pct"/>
            <w:gridSpan w:val="5"/>
            <w:vAlign w:val="center"/>
          </w:tcPr>
          <w:p w:rsidR="0011015D" w:rsidRPr="00DD0EBF" w:rsidRDefault="0011015D" w:rsidP="00051615">
            <w:pPr>
              <w:pStyle w:val="Tabletext1"/>
              <w:keepNext/>
              <w:rPr>
                <w:b/>
                <w:snapToGrid w:val="0"/>
                <w:szCs w:val="20"/>
              </w:rPr>
            </w:pPr>
            <w:r w:rsidRPr="00DD0EBF">
              <w:rPr>
                <w:b/>
                <w:snapToGrid w:val="0"/>
                <w:szCs w:val="20"/>
              </w:rPr>
              <w:t>Step 5: inclusion of utilities to determine QALYs</w:t>
            </w:r>
          </w:p>
        </w:tc>
      </w:tr>
      <w:tr w:rsidR="0011015D" w:rsidRPr="002F703E" w:rsidTr="005B0CCD">
        <w:trPr>
          <w:jc w:val="center"/>
        </w:trPr>
        <w:tc>
          <w:tcPr>
            <w:tcW w:w="1648" w:type="pct"/>
            <w:vAlign w:val="center"/>
          </w:tcPr>
          <w:p w:rsidR="0011015D" w:rsidRPr="002F703E" w:rsidRDefault="0011015D" w:rsidP="00051615">
            <w:pPr>
              <w:pStyle w:val="Tabletext1"/>
              <w:keepNext/>
              <w:rPr>
                <w:szCs w:val="20"/>
              </w:rPr>
            </w:pPr>
            <w:r w:rsidRPr="002F703E">
              <w:rPr>
                <w:szCs w:val="20"/>
              </w:rPr>
              <w:t>Costs</w:t>
            </w:r>
          </w:p>
        </w:tc>
        <w:tc>
          <w:tcPr>
            <w:tcW w:w="1258" w:type="pct"/>
            <w:vAlign w:val="bottom"/>
          </w:tcPr>
          <w:p w:rsidR="0011015D" w:rsidRPr="002F703E" w:rsidRDefault="0011015D" w:rsidP="00051615">
            <w:pPr>
              <w:pStyle w:val="Tabletext1"/>
              <w:keepNext/>
              <w:jc w:val="center"/>
              <w:rPr>
                <w:szCs w:val="20"/>
              </w:rPr>
            </w:pPr>
            <w:r w:rsidRPr="002F703E">
              <w:rPr>
                <w:rFonts w:cs="Calibri"/>
                <w:color w:val="000000"/>
                <w:szCs w:val="20"/>
              </w:rPr>
              <w:t>$</w:t>
            </w:r>
            <w:r w:rsidR="00EB2224">
              <w:rPr>
                <w:rFonts w:cs="Calibri"/>
                <w:noProof/>
                <w:color w:val="000000"/>
                <w:szCs w:val="20"/>
                <w:highlight w:val="black"/>
              </w:rPr>
              <w:t>'''''''''''''''''</w:t>
            </w:r>
          </w:p>
        </w:tc>
        <w:tc>
          <w:tcPr>
            <w:tcW w:w="1213" w:type="pct"/>
            <w:gridSpan w:val="2"/>
            <w:vAlign w:val="bottom"/>
          </w:tcPr>
          <w:p w:rsidR="0011015D" w:rsidRPr="00DD0EBF" w:rsidRDefault="0011015D" w:rsidP="00051615">
            <w:pPr>
              <w:pStyle w:val="Tabletext1"/>
              <w:keepNext/>
              <w:jc w:val="center"/>
              <w:rPr>
                <w:szCs w:val="20"/>
              </w:rPr>
            </w:pPr>
            <w:r w:rsidRPr="00DD0EBF">
              <w:rPr>
                <w:rFonts w:cs="Calibri"/>
                <w:color w:val="000000"/>
                <w:szCs w:val="20"/>
              </w:rPr>
              <w:t>$</w:t>
            </w:r>
            <w:r w:rsidR="00EB2224">
              <w:rPr>
                <w:rFonts w:cs="Calibri"/>
                <w:noProof/>
                <w:color w:val="000000"/>
                <w:szCs w:val="20"/>
                <w:highlight w:val="black"/>
              </w:rPr>
              <w:t>'''''''''''''''''</w:t>
            </w:r>
          </w:p>
        </w:tc>
        <w:tc>
          <w:tcPr>
            <w:tcW w:w="881" w:type="pct"/>
            <w:vAlign w:val="bottom"/>
          </w:tcPr>
          <w:p w:rsidR="0011015D" w:rsidRPr="002F703E" w:rsidRDefault="0011015D" w:rsidP="00051615">
            <w:pPr>
              <w:pStyle w:val="Tabletext1"/>
              <w:keepNext/>
              <w:jc w:val="center"/>
              <w:rPr>
                <w:szCs w:val="20"/>
              </w:rPr>
            </w:pPr>
            <w:r w:rsidRPr="002F703E">
              <w:rPr>
                <w:rFonts w:cs="Calibri"/>
                <w:color w:val="000000"/>
                <w:szCs w:val="20"/>
              </w:rPr>
              <w:t>$</w:t>
            </w:r>
            <w:r w:rsidR="00EB2224">
              <w:rPr>
                <w:rFonts w:cs="Calibri"/>
                <w:noProof/>
                <w:color w:val="000000"/>
                <w:szCs w:val="20"/>
                <w:highlight w:val="black"/>
              </w:rPr>
              <w:t>'''''''''''''''''</w:t>
            </w:r>
          </w:p>
        </w:tc>
      </w:tr>
      <w:tr w:rsidR="0011015D" w:rsidRPr="002F703E" w:rsidTr="005B0CCD">
        <w:trPr>
          <w:jc w:val="center"/>
        </w:trPr>
        <w:tc>
          <w:tcPr>
            <w:tcW w:w="1648" w:type="pct"/>
            <w:vAlign w:val="center"/>
          </w:tcPr>
          <w:p w:rsidR="0011015D" w:rsidRPr="002F703E" w:rsidRDefault="0011015D" w:rsidP="00051615">
            <w:pPr>
              <w:pStyle w:val="Tabletext1"/>
              <w:keepNext/>
              <w:rPr>
                <w:szCs w:val="20"/>
              </w:rPr>
            </w:pPr>
            <w:r w:rsidRPr="002F703E">
              <w:rPr>
                <w:szCs w:val="20"/>
              </w:rPr>
              <w:t>QALYs</w:t>
            </w:r>
          </w:p>
        </w:tc>
        <w:tc>
          <w:tcPr>
            <w:tcW w:w="1258" w:type="pct"/>
            <w:vAlign w:val="bottom"/>
          </w:tcPr>
          <w:p w:rsidR="0011015D" w:rsidRPr="002F703E" w:rsidRDefault="0011015D" w:rsidP="00051615">
            <w:pPr>
              <w:pStyle w:val="Tabletext1"/>
              <w:keepNext/>
              <w:jc w:val="center"/>
              <w:rPr>
                <w:szCs w:val="20"/>
              </w:rPr>
            </w:pPr>
            <w:r w:rsidRPr="002F703E">
              <w:rPr>
                <w:rFonts w:cs="Calibri"/>
                <w:color w:val="000000"/>
                <w:szCs w:val="20"/>
              </w:rPr>
              <w:t>1.63</w:t>
            </w:r>
          </w:p>
        </w:tc>
        <w:tc>
          <w:tcPr>
            <w:tcW w:w="1213" w:type="pct"/>
            <w:gridSpan w:val="2"/>
            <w:vAlign w:val="bottom"/>
          </w:tcPr>
          <w:p w:rsidR="0011015D" w:rsidRPr="00DD0EBF" w:rsidRDefault="0011015D" w:rsidP="00051615">
            <w:pPr>
              <w:pStyle w:val="Tabletext1"/>
              <w:keepNext/>
              <w:jc w:val="center"/>
              <w:rPr>
                <w:szCs w:val="20"/>
              </w:rPr>
            </w:pPr>
            <w:r w:rsidRPr="00DD0EBF">
              <w:rPr>
                <w:rFonts w:cs="Calibri"/>
                <w:color w:val="000000"/>
                <w:szCs w:val="20"/>
              </w:rPr>
              <w:t>1.22</w:t>
            </w:r>
          </w:p>
        </w:tc>
        <w:tc>
          <w:tcPr>
            <w:tcW w:w="881" w:type="pct"/>
            <w:vAlign w:val="bottom"/>
          </w:tcPr>
          <w:p w:rsidR="0011015D" w:rsidRPr="002F703E" w:rsidRDefault="0011015D" w:rsidP="00051615">
            <w:pPr>
              <w:pStyle w:val="Tabletext1"/>
              <w:keepNext/>
              <w:jc w:val="center"/>
              <w:rPr>
                <w:szCs w:val="20"/>
              </w:rPr>
            </w:pPr>
            <w:r w:rsidRPr="002F703E">
              <w:rPr>
                <w:rFonts w:cs="Calibri"/>
                <w:color w:val="000000"/>
                <w:szCs w:val="20"/>
              </w:rPr>
              <w:t>0.406</w:t>
            </w:r>
          </w:p>
        </w:tc>
      </w:tr>
      <w:tr w:rsidR="0011015D" w:rsidRPr="002F703E" w:rsidTr="00051615">
        <w:trPr>
          <w:jc w:val="center"/>
        </w:trPr>
        <w:tc>
          <w:tcPr>
            <w:tcW w:w="4119" w:type="pct"/>
            <w:gridSpan w:val="4"/>
            <w:vAlign w:val="center"/>
          </w:tcPr>
          <w:p w:rsidR="0011015D" w:rsidRPr="00DD0EBF" w:rsidRDefault="0011015D" w:rsidP="00051615">
            <w:pPr>
              <w:pStyle w:val="Tabletext1"/>
              <w:keepNext/>
              <w:rPr>
                <w:szCs w:val="20"/>
              </w:rPr>
            </w:pPr>
            <w:r w:rsidRPr="00DD0EBF">
              <w:rPr>
                <w:szCs w:val="20"/>
              </w:rPr>
              <w:t>Incremental cost/extra QALY gained</w:t>
            </w:r>
          </w:p>
        </w:tc>
        <w:tc>
          <w:tcPr>
            <w:tcW w:w="881" w:type="pct"/>
            <w:vAlign w:val="center"/>
          </w:tcPr>
          <w:p w:rsidR="0011015D" w:rsidRPr="002F703E" w:rsidRDefault="0011015D" w:rsidP="00051615">
            <w:pPr>
              <w:pStyle w:val="Tabletext1"/>
              <w:keepNext/>
              <w:jc w:val="center"/>
              <w:rPr>
                <w:rFonts w:eastAsiaTheme="minorHAnsi" w:cs="Calibri"/>
                <w:bCs/>
                <w:color w:val="000000"/>
                <w:szCs w:val="20"/>
              </w:rPr>
            </w:pPr>
            <w:r w:rsidRPr="002F703E">
              <w:rPr>
                <w:rFonts w:cs="Calibri"/>
                <w:bCs/>
                <w:color w:val="000000"/>
                <w:szCs w:val="20"/>
              </w:rPr>
              <w:t>$</w:t>
            </w:r>
            <w:r w:rsidR="00EB2224">
              <w:rPr>
                <w:rFonts w:cs="Calibri"/>
                <w:bCs/>
                <w:noProof/>
                <w:color w:val="000000"/>
                <w:szCs w:val="20"/>
                <w:highlight w:val="black"/>
              </w:rPr>
              <w:t>''''''''''''''''</w:t>
            </w:r>
          </w:p>
        </w:tc>
      </w:tr>
      <w:tr w:rsidR="0011015D" w:rsidRPr="002F703E" w:rsidTr="00051615">
        <w:trPr>
          <w:jc w:val="center"/>
        </w:trPr>
        <w:tc>
          <w:tcPr>
            <w:tcW w:w="5000" w:type="pct"/>
            <w:gridSpan w:val="5"/>
            <w:vAlign w:val="center"/>
          </w:tcPr>
          <w:p w:rsidR="0011015D" w:rsidRPr="00DD0EBF" w:rsidRDefault="0011015D" w:rsidP="00051615">
            <w:pPr>
              <w:pStyle w:val="Tabletext1"/>
              <w:keepNext/>
              <w:rPr>
                <w:b/>
                <w:szCs w:val="20"/>
              </w:rPr>
            </w:pPr>
            <w:r w:rsidRPr="00DD0EBF">
              <w:rPr>
                <w:b/>
                <w:snapToGrid w:val="0"/>
                <w:szCs w:val="20"/>
              </w:rPr>
              <w:t>Step 6: inclusion of post progression treatment costs</w:t>
            </w:r>
          </w:p>
        </w:tc>
      </w:tr>
      <w:tr w:rsidR="0011015D" w:rsidRPr="002F703E" w:rsidTr="005B0CCD">
        <w:trPr>
          <w:jc w:val="center"/>
        </w:trPr>
        <w:tc>
          <w:tcPr>
            <w:tcW w:w="1648" w:type="pct"/>
            <w:vAlign w:val="center"/>
          </w:tcPr>
          <w:p w:rsidR="0011015D" w:rsidRPr="002F703E" w:rsidRDefault="0011015D" w:rsidP="00051615">
            <w:pPr>
              <w:pStyle w:val="Tabletext1"/>
              <w:keepNext/>
              <w:rPr>
                <w:szCs w:val="20"/>
              </w:rPr>
            </w:pPr>
            <w:r w:rsidRPr="002F703E">
              <w:rPr>
                <w:szCs w:val="20"/>
              </w:rPr>
              <w:t>Costs</w:t>
            </w:r>
          </w:p>
        </w:tc>
        <w:tc>
          <w:tcPr>
            <w:tcW w:w="1258" w:type="pct"/>
            <w:vAlign w:val="bottom"/>
          </w:tcPr>
          <w:p w:rsidR="0011015D" w:rsidRPr="002F703E" w:rsidRDefault="0011015D" w:rsidP="00051615">
            <w:pPr>
              <w:pStyle w:val="Tabletext1"/>
              <w:keepNext/>
              <w:jc w:val="center"/>
              <w:rPr>
                <w:szCs w:val="20"/>
              </w:rPr>
            </w:pPr>
            <w:r w:rsidRPr="002F703E">
              <w:rPr>
                <w:rFonts w:cs="Calibri"/>
                <w:color w:val="000000"/>
                <w:szCs w:val="20"/>
              </w:rPr>
              <w:t>$</w:t>
            </w:r>
            <w:r w:rsidR="00EB2224">
              <w:rPr>
                <w:rFonts w:cs="Calibri"/>
                <w:noProof/>
                <w:color w:val="000000"/>
                <w:szCs w:val="20"/>
                <w:highlight w:val="black"/>
              </w:rPr>
              <w:t>'''''''''''''''</w:t>
            </w:r>
          </w:p>
        </w:tc>
        <w:tc>
          <w:tcPr>
            <w:tcW w:w="1213" w:type="pct"/>
            <w:gridSpan w:val="2"/>
            <w:vAlign w:val="bottom"/>
          </w:tcPr>
          <w:p w:rsidR="0011015D" w:rsidRPr="00DD0EBF" w:rsidRDefault="0011015D" w:rsidP="00051615">
            <w:pPr>
              <w:pStyle w:val="Tabletext1"/>
              <w:keepNext/>
              <w:jc w:val="center"/>
              <w:rPr>
                <w:szCs w:val="20"/>
              </w:rPr>
            </w:pPr>
            <w:r w:rsidRPr="00DD0EBF">
              <w:rPr>
                <w:rFonts w:cs="Calibri"/>
                <w:color w:val="000000"/>
                <w:szCs w:val="20"/>
              </w:rPr>
              <w:t>$</w:t>
            </w:r>
            <w:r w:rsidR="00EB2224">
              <w:rPr>
                <w:rFonts w:cs="Calibri"/>
                <w:noProof/>
                <w:color w:val="000000"/>
                <w:szCs w:val="20"/>
                <w:highlight w:val="black"/>
              </w:rPr>
              <w:t>''''''''''''''''</w:t>
            </w:r>
          </w:p>
        </w:tc>
        <w:tc>
          <w:tcPr>
            <w:tcW w:w="881" w:type="pct"/>
            <w:vAlign w:val="bottom"/>
          </w:tcPr>
          <w:p w:rsidR="0011015D" w:rsidRPr="002F703E" w:rsidRDefault="0011015D" w:rsidP="00051615">
            <w:pPr>
              <w:pStyle w:val="Tabletext1"/>
              <w:keepNext/>
              <w:jc w:val="center"/>
              <w:rPr>
                <w:szCs w:val="20"/>
              </w:rPr>
            </w:pPr>
            <w:r w:rsidRPr="002F703E">
              <w:rPr>
                <w:rFonts w:cs="Calibri"/>
                <w:color w:val="000000"/>
                <w:szCs w:val="20"/>
              </w:rPr>
              <w:t>$</w:t>
            </w:r>
            <w:r w:rsidR="00EB2224">
              <w:rPr>
                <w:rFonts w:cs="Calibri"/>
                <w:noProof/>
                <w:color w:val="000000"/>
                <w:szCs w:val="20"/>
                <w:highlight w:val="black"/>
              </w:rPr>
              <w:t>'''''''''''''''</w:t>
            </w:r>
          </w:p>
        </w:tc>
      </w:tr>
      <w:tr w:rsidR="0011015D" w:rsidRPr="002F703E" w:rsidTr="005B0CCD">
        <w:trPr>
          <w:jc w:val="center"/>
        </w:trPr>
        <w:tc>
          <w:tcPr>
            <w:tcW w:w="1648" w:type="pct"/>
            <w:vAlign w:val="center"/>
          </w:tcPr>
          <w:p w:rsidR="0011015D" w:rsidRPr="002F703E" w:rsidRDefault="0011015D" w:rsidP="00051615">
            <w:pPr>
              <w:pStyle w:val="Tabletext1"/>
              <w:keepNext/>
              <w:rPr>
                <w:szCs w:val="20"/>
              </w:rPr>
            </w:pPr>
            <w:r w:rsidRPr="002F703E">
              <w:rPr>
                <w:szCs w:val="20"/>
              </w:rPr>
              <w:t>QALYs</w:t>
            </w:r>
          </w:p>
        </w:tc>
        <w:tc>
          <w:tcPr>
            <w:tcW w:w="1258" w:type="pct"/>
            <w:vAlign w:val="bottom"/>
          </w:tcPr>
          <w:p w:rsidR="0011015D" w:rsidRPr="002F703E" w:rsidRDefault="0011015D" w:rsidP="00051615">
            <w:pPr>
              <w:pStyle w:val="Tabletext1"/>
              <w:keepNext/>
              <w:jc w:val="center"/>
              <w:rPr>
                <w:szCs w:val="20"/>
              </w:rPr>
            </w:pPr>
            <w:r w:rsidRPr="002F703E">
              <w:rPr>
                <w:rFonts w:cs="Calibri"/>
                <w:color w:val="000000"/>
                <w:szCs w:val="20"/>
              </w:rPr>
              <w:t>1.63</w:t>
            </w:r>
          </w:p>
        </w:tc>
        <w:tc>
          <w:tcPr>
            <w:tcW w:w="1213" w:type="pct"/>
            <w:gridSpan w:val="2"/>
            <w:vAlign w:val="bottom"/>
          </w:tcPr>
          <w:p w:rsidR="0011015D" w:rsidRPr="00DD0EBF" w:rsidRDefault="0011015D" w:rsidP="00051615">
            <w:pPr>
              <w:pStyle w:val="Tabletext1"/>
              <w:keepNext/>
              <w:jc w:val="center"/>
              <w:rPr>
                <w:szCs w:val="20"/>
              </w:rPr>
            </w:pPr>
            <w:r w:rsidRPr="00DD0EBF">
              <w:rPr>
                <w:rFonts w:cs="Calibri"/>
                <w:color w:val="000000"/>
                <w:szCs w:val="20"/>
              </w:rPr>
              <w:t>1.22</w:t>
            </w:r>
          </w:p>
        </w:tc>
        <w:tc>
          <w:tcPr>
            <w:tcW w:w="881" w:type="pct"/>
            <w:vAlign w:val="bottom"/>
          </w:tcPr>
          <w:p w:rsidR="0011015D" w:rsidRPr="002F703E" w:rsidRDefault="0011015D" w:rsidP="00051615">
            <w:pPr>
              <w:pStyle w:val="Tabletext1"/>
              <w:keepNext/>
              <w:jc w:val="center"/>
              <w:rPr>
                <w:szCs w:val="20"/>
              </w:rPr>
            </w:pPr>
            <w:r w:rsidRPr="002F703E">
              <w:rPr>
                <w:rFonts w:cs="Calibri"/>
                <w:color w:val="000000"/>
                <w:szCs w:val="20"/>
              </w:rPr>
              <w:t>0.406</w:t>
            </w:r>
          </w:p>
        </w:tc>
      </w:tr>
      <w:tr w:rsidR="0011015D" w:rsidRPr="002F703E" w:rsidTr="00051615">
        <w:trPr>
          <w:jc w:val="center"/>
        </w:trPr>
        <w:tc>
          <w:tcPr>
            <w:tcW w:w="4119" w:type="pct"/>
            <w:gridSpan w:val="4"/>
            <w:vAlign w:val="center"/>
          </w:tcPr>
          <w:p w:rsidR="0011015D" w:rsidRPr="00DD0EBF" w:rsidRDefault="0011015D" w:rsidP="00051615">
            <w:pPr>
              <w:pStyle w:val="Tabletext1"/>
              <w:keepNext/>
              <w:rPr>
                <w:szCs w:val="20"/>
              </w:rPr>
            </w:pPr>
            <w:r w:rsidRPr="00DD0EBF">
              <w:rPr>
                <w:szCs w:val="20"/>
              </w:rPr>
              <w:t>Incremental cost/extra QALY gained</w:t>
            </w:r>
          </w:p>
        </w:tc>
        <w:tc>
          <w:tcPr>
            <w:tcW w:w="881" w:type="pct"/>
            <w:vAlign w:val="center"/>
          </w:tcPr>
          <w:p w:rsidR="0011015D" w:rsidRPr="002F703E" w:rsidRDefault="0011015D" w:rsidP="00051615">
            <w:pPr>
              <w:pStyle w:val="Tabletext1"/>
              <w:keepNext/>
              <w:jc w:val="center"/>
              <w:rPr>
                <w:rFonts w:cs="Calibri"/>
                <w:bCs/>
                <w:color w:val="000000"/>
                <w:szCs w:val="20"/>
              </w:rPr>
            </w:pPr>
            <w:r w:rsidRPr="002F703E">
              <w:rPr>
                <w:rFonts w:cs="Calibri"/>
                <w:bCs/>
                <w:color w:val="000000"/>
                <w:szCs w:val="20"/>
              </w:rPr>
              <w:t>$</w:t>
            </w:r>
            <w:r w:rsidR="00EB2224">
              <w:rPr>
                <w:rFonts w:cs="Calibri"/>
                <w:bCs/>
                <w:noProof/>
                <w:color w:val="000000"/>
                <w:szCs w:val="20"/>
                <w:highlight w:val="black"/>
              </w:rPr>
              <w:t>''''''''''''''''''</w:t>
            </w:r>
          </w:p>
        </w:tc>
      </w:tr>
      <w:tr w:rsidR="0011015D" w:rsidRPr="002F703E" w:rsidTr="00051615">
        <w:trPr>
          <w:jc w:val="center"/>
        </w:trPr>
        <w:tc>
          <w:tcPr>
            <w:tcW w:w="5000" w:type="pct"/>
            <w:gridSpan w:val="5"/>
            <w:vAlign w:val="center"/>
          </w:tcPr>
          <w:p w:rsidR="0011015D" w:rsidRPr="00DD0EBF" w:rsidRDefault="0011015D" w:rsidP="00051615">
            <w:pPr>
              <w:pStyle w:val="Tabletext1"/>
              <w:keepNext/>
              <w:rPr>
                <w:b/>
                <w:snapToGrid w:val="0"/>
                <w:szCs w:val="20"/>
              </w:rPr>
            </w:pPr>
            <w:r w:rsidRPr="00DD0EBF">
              <w:rPr>
                <w:b/>
                <w:snapToGrid w:val="0"/>
                <w:szCs w:val="20"/>
              </w:rPr>
              <w:t>Step 7: inclusion of end of life costs</w:t>
            </w:r>
          </w:p>
        </w:tc>
      </w:tr>
      <w:tr w:rsidR="0011015D" w:rsidRPr="002F703E" w:rsidTr="005B0CCD">
        <w:trPr>
          <w:jc w:val="center"/>
        </w:trPr>
        <w:tc>
          <w:tcPr>
            <w:tcW w:w="1648" w:type="pct"/>
            <w:vAlign w:val="center"/>
          </w:tcPr>
          <w:p w:rsidR="0011015D" w:rsidRPr="002F703E" w:rsidRDefault="0011015D" w:rsidP="00051615">
            <w:pPr>
              <w:pStyle w:val="Tabletext1"/>
              <w:keepNext/>
              <w:rPr>
                <w:szCs w:val="20"/>
              </w:rPr>
            </w:pPr>
            <w:r w:rsidRPr="002F703E">
              <w:rPr>
                <w:szCs w:val="20"/>
              </w:rPr>
              <w:t>Costs</w:t>
            </w:r>
          </w:p>
        </w:tc>
        <w:tc>
          <w:tcPr>
            <w:tcW w:w="1258" w:type="pct"/>
            <w:vAlign w:val="bottom"/>
          </w:tcPr>
          <w:p w:rsidR="0011015D" w:rsidRPr="002F703E" w:rsidRDefault="0011015D" w:rsidP="00051615">
            <w:pPr>
              <w:pStyle w:val="Tabletext1"/>
              <w:keepNext/>
              <w:jc w:val="center"/>
              <w:rPr>
                <w:szCs w:val="20"/>
              </w:rPr>
            </w:pPr>
            <w:r w:rsidRPr="002F703E">
              <w:rPr>
                <w:rFonts w:cs="Calibri"/>
                <w:color w:val="000000"/>
                <w:szCs w:val="20"/>
              </w:rPr>
              <w:t>$</w:t>
            </w:r>
            <w:r w:rsidR="00EB2224">
              <w:rPr>
                <w:rFonts w:cs="Calibri"/>
                <w:noProof/>
                <w:color w:val="000000"/>
                <w:szCs w:val="20"/>
                <w:highlight w:val="black"/>
              </w:rPr>
              <w:t>''''''''''''''''</w:t>
            </w:r>
          </w:p>
        </w:tc>
        <w:tc>
          <w:tcPr>
            <w:tcW w:w="1199" w:type="pct"/>
            <w:vAlign w:val="bottom"/>
          </w:tcPr>
          <w:p w:rsidR="0011015D" w:rsidRPr="00DD0EBF" w:rsidRDefault="0011015D" w:rsidP="00051615">
            <w:pPr>
              <w:pStyle w:val="Tabletext1"/>
              <w:keepNext/>
              <w:jc w:val="center"/>
              <w:rPr>
                <w:szCs w:val="20"/>
              </w:rPr>
            </w:pPr>
            <w:r w:rsidRPr="00DD0EBF">
              <w:rPr>
                <w:rFonts w:cs="Calibri"/>
                <w:color w:val="000000"/>
                <w:szCs w:val="20"/>
              </w:rPr>
              <w:t>$</w:t>
            </w:r>
            <w:r w:rsidR="00EB2224">
              <w:rPr>
                <w:rFonts w:cs="Calibri"/>
                <w:noProof/>
                <w:color w:val="000000"/>
                <w:szCs w:val="20"/>
                <w:highlight w:val="black"/>
              </w:rPr>
              <w:t>''''''''''''''''</w:t>
            </w:r>
          </w:p>
        </w:tc>
        <w:tc>
          <w:tcPr>
            <w:tcW w:w="895" w:type="pct"/>
            <w:gridSpan w:val="2"/>
            <w:vAlign w:val="bottom"/>
          </w:tcPr>
          <w:p w:rsidR="0011015D" w:rsidRPr="002F703E" w:rsidRDefault="0011015D" w:rsidP="00051615">
            <w:pPr>
              <w:pStyle w:val="Tabletext1"/>
              <w:keepNext/>
              <w:jc w:val="center"/>
              <w:rPr>
                <w:szCs w:val="20"/>
              </w:rPr>
            </w:pPr>
            <w:r w:rsidRPr="002F703E">
              <w:rPr>
                <w:rFonts w:cs="Calibri"/>
                <w:color w:val="000000"/>
                <w:szCs w:val="20"/>
              </w:rPr>
              <w:t>$</w:t>
            </w:r>
            <w:r w:rsidR="00EB2224">
              <w:rPr>
                <w:rFonts w:cs="Calibri"/>
                <w:noProof/>
                <w:color w:val="000000"/>
                <w:szCs w:val="20"/>
                <w:highlight w:val="black"/>
              </w:rPr>
              <w:t>''''''''''''''''</w:t>
            </w:r>
          </w:p>
        </w:tc>
      </w:tr>
      <w:tr w:rsidR="0011015D" w:rsidRPr="002F703E" w:rsidTr="005B0CCD">
        <w:trPr>
          <w:jc w:val="center"/>
        </w:trPr>
        <w:tc>
          <w:tcPr>
            <w:tcW w:w="1648" w:type="pct"/>
            <w:vAlign w:val="center"/>
          </w:tcPr>
          <w:p w:rsidR="0011015D" w:rsidRPr="002F703E" w:rsidRDefault="0011015D" w:rsidP="00051615">
            <w:pPr>
              <w:pStyle w:val="Tabletext1"/>
              <w:keepNext/>
              <w:rPr>
                <w:szCs w:val="20"/>
              </w:rPr>
            </w:pPr>
            <w:r w:rsidRPr="002F703E">
              <w:rPr>
                <w:szCs w:val="20"/>
              </w:rPr>
              <w:t>QALYs</w:t>
            </w:r>
          </w:p>
        </w:tc>
        <w:tc>
          <w:tcPr>
            <w:tcW w:w="1258" w:type="pct"/>
            <w:vAlign w:val="bottom"/>
          </w:tcPr>
          <w:p w:rsidR="0011015D" w:rsidRPr="002F703E" w:rsidRDefault="0011015D" w:rsidP="00051615">
            <w:pPr>
              <w:pStyle w:val="Tabletext1"/>
              <w:keepNext/>
              <w:jc w:val="center"/>
              <w:rPr>
                <w:szCs w:val="20"/>
              </w:rPr>
            </w:pPr>
            <w:r w:rsidRPr="002F703E">
              <w:rPr>
                <w:rFonts w:cs="Calibri"/>
                <w:color w:val="000000"/>
                <w:szCs w:val="20"/>
              </w:rPr>
              <w:t>1.63</w:t>
            </w:r>
          </w:p>
        </w:tc>
        <w:tc>
          <w:tcPr>
            <w:tcW w:w="1199" w:type="pct"/>
            <w:vAlign w:val="bottom"/>
          </w:tcPr>
          <w:p w:rsidR="0011015D" w:rsidRPr="002F703E" w:rsidRDefault="0011015D" w:rsidP="00051615">
            <w:pPr>
              <w:pStyle w:val="Tabletext1"/>
              <w:keepNext/>
              <w:jc w:val="center"/>
              <w:rPr>
                <w:szCs w:val="20"/>
              </w:rPr>
            </w:pPr>
            <w:r w:rsidRPr="002F703E">
              <w:rPr>
                <w:rFonts w:cs="Calibri"/>
                <w:color w:val="000000"/>
                <w:szCs w:val="20"/>
              </w:rPr>
              <w:t>1.22</w:t>
            </w:r>
          </w:p>
        </w:tc>
        <w:tc>
          <w:tcPr>
            <w:tcW w:w="895" w:type="pct"/>
            <w:gridSpan w:val="2"/>
            <w:vAlign w:val="bottom"/>
          </w:tcPr>
          <w:p w:rsidR="0011015D" w:rsidRPr="002F703E" w:rsidRDefault="0011015D" w:rsidP="00051615">
            <w:pPr>
              <w:pStyle w:val="Tabletext1"/>
              <w:keepNext/>
              <w:jc w:val="center"/>
              <w:rPr>
                <w:szCs w:val="20"/>
              </w:rPr>
            </w:pPr>
            <w:r w:rsidRPr="002F703E">
              <w:rPr>
                <w:rFonts w:cs="Calibri"/>
                <w:color w:val="000000"/>
                <w:szCs w:val="20"/>
              </w:rPr>
              <w:t>0.406</w:t>
            </w:r>
          </w:p>
        </w:tc>
      </w:tr>
      <w:tr w:rsidR="0011015D" w:rsidRPr="002F703E" w:rsidTr="00051615">
        <w:trPr>
          <w:jc w:val="center"/>
        </w:trPr>
        <w:tc>
          <w:tcPr>
            <w:tcW w:w="4105" w:type="pct"/>
            <w:gridSpan w:val="3"/>
            <w:vAlign w:val="center"/>
          </w:tcPr>
          <w:p w:rsidR="0011015D" w:rsidRPr="002F703E" w:rsidRDefault="0011015D" w:rsidP="00051615">
            <w:pPr>
              <w:pStyle w:val="Tabletext1"/>
              <w:keepNext/>
              <w:rPr>
                <w:szCs w:val="20"/>
              </w:rPr>
            </w:pPr>
            <w:r w:rsidRPr="002F703E">
              <w:rPr>
                <w:szCs w:val="20"/>
              </w:rPr>
              <w:t>Incremental cost/extra QALY gained</w:t>
            </w:r>
          </w:p>
        </w:tc>
        <w:tc>
          <w:tcPr>
            <w:tcW w:w="895" w:type="pct"/>
            <w:gridSpan w:val="2"/>
            <w:vAlign w:val="center"/>
          </w:tcPr>
          <w:p w:rsidR="0011015D" w:rsidRPr="002F703E" w:rsidRDefault="0011015D" w:rsidP="00051615">
            <w:pPr>
              <w:pStyle w:val="Tabletext1"/>
              <w:keepNext/>
              <w:jc w:val="center"/>
              <w:rPr>
                <w:rFonts w:eastAsiaTheme="minorHAnsi" w:cs="Calibri"/>
                <w:bCs/>
                <w:color w:val="000000"/>
                <w:szCs w:val="20"/>
              </w:rPr>
            </w:pPr>
            <w:r w:rsidRPr="002F703E">
              <w:rPr>
                <w:rFonts w:cs="Calibri"/>
                <w:bCs/>
                <w:color w:val="000000"/>
                <w:szCs w:val="20"/>
              </w:rPr>
              <w:t>$</w:t>
            </w:r>
            <w:r w:rsidR="00EB2224">
              <w:rPr>
                <w:rFonts w:cs="Calibri"/>
                <w:bCs/>
                <w:noProof/>
                <w:color w:val="000000"/>
                <w:szCs w:val="20"/>
                <w:highlight w:val="black"/>
              </w:rPr>
              <w:t>'''''''''''''''''</w:t>
            </w:r>
          </w:p>
        </w:tc>
      </w:tr>
    </w:tbl>
    <w:p w:rsidR="006F58DC" w:rsidRPr="00962538" w:rsidRDefault="006F58DC" w:rsidP="006F58DC">
      <w:pPr>
        <w:pStyle w:val="TableFooter"/>
      </w:pPr>
      <w:r w:rsidRPr="0032227F">
        <w:rPr>
          <w:lang w:val="en-US"/>
        </w:rPr>
        <w:t>Source: Compiled during the evaluation based on information presented in</w:t>
      </w:r>
      <w:r>
        <w:rPr>
          <w:lang w:val="en-US"/>
        </w:rPr>
        <w:t xml:space="preserve"> </w:t>
      </w:r>
      <w:r w:rsidRPr="000842D0">
        <w:rPr>
          <w:rStyle w:val="InstructionalTextChar"/>
          <w:color w:val="auto"/>
          <w:sz w:val="18"/>
        </w:rPr>
        <w:t>Table 3.8.1, Sec</w:t>
      </w:r>
      <w:r>
        <w:rPr>
          <w:rStyle w:val="InstructionalTextChar"/>
          <w:color w:val="auto"/>
          <w:sz w:val="18"/>
        </w:rPr>
        <w:t xml:space="preserve">tion 3 of the main body and </w:t>
      </w:r>
      <w:r>
        <w:rPr>
          <w:lang w:val="en-US"/>
        </w:rPr>
        <w:t>‘Economic Evaluation.xlsx’ included in the submission</w:t>
      </w:r>
      <w:r w:rsidR="005B0CCD">
        <w:rPr>
          <w:lang w:val="en-US"/>
        </w:rPr>
        <w:t>.</w:t>
      </w:r>
    </w:p>
    <w:p w:rsidR="00340547" w:rsidRDefault="00340547" w:rsidP="0011015D">
      <w:pPr>
        <w:pStyle w:val="TableFooter"/>
      </w:pPr>
      <w:r>
        <w:t xml:space="preserve">AE = adverse event; </w:t>
      </w:r>
      <w:r w:rsidRPr="0032227F">
        <w:t>ATZ = atezolizumab</w:t>
      </w:r>
      <w:r w:rsidRPr="005916A0">
        <w:t xml:space="preserve">; MRU = </w:t>
      </w:r>
      <w:r w:rsidR="005916A0" w:rsidRPr="005916A0">
        <w:t>medical resource use</w:t>
      </w:r>
      <w:r w:rsidRPr="005916A0">
        <w:t>;</w:t>
      </w:r>
      <w:r>
        <w:t xml:space="preserve"> </w:t>
      </w:r>
      <w:r w:rsidRPr="0032227F">
        <w:t>nab-P = nanoparticle albumin–bound paclitaxel</w:t>
      </w:r>
      <w:r>
        <w:t>; QALY = quality-adjusted life year</w:t>
      </w:r>
      <w:r w:rsidR="002A541E">
        <w:t>.</w:t>
      </w:r>
    </w:p>
    <w:p w:rsidR="0011015D" w:rsidRDefault="0011015D" w:rsidP="0011015D">
      <w:pPr>
        <w:pStyle w:val="ListParagraph"/>
        <w:numPr>
          <w:ilvl w:val="4"/>
          <w:numId w:val="1"/>
        </w:numPr>
        <w:rPr>
          <w:color w:val="auto"/>
        </w:rPr>
      </w:pPr>
      <w:r w:rsidRPr="00A61D77">
        <w:rPr>
          <w:color w:val="auto"/>
        </w:rPr>
        <w:t xml:space="preserve">The model is most sensitive to the extrapolation of </w:t>
      </w:r>
      <w:r w:rsidR="00112739">
        <w:rPr>
          <w:color w:val="auto"/>
        </w:rPr>
        <w:t>OS</w:t>
      </w:r>
      <w:r w:rsidRPr="00A61D77">
        <w:rPr>
          <w:color w:val="auto"/>
        </w:rPr>
        <w:t xml:space="preserve"> of the two comparative scenarios from the median follow-up in IMpassion130 to the modelled time horizon. As noted above, the selection of parametric functions for the extrapolation of OS in the base case was not adequately justified and did not appear reasonable</w:t>
      </w:r>
      <w:r w:rsidRPr="005420F5">
        <w:rPr>
          <w:color w:val="auto"/>
        </w:rPr>
        <w:t>.</w:t>
      </w:r>
      <w:r w:rsidR="005420F5" w:rsidRPr="005420F5">
        <w:rPr>
          <w:color w:val="auto"/>
        </w:rPr>
        <w:t xml:space="preserve"> When Weibull distributions were used to extrapolate OS in both comparative scenarios, the incremental cost effectiveness ratio increased to $</w:t>
      </w:r>
      <w:r w:rsidR="00E931A9">
        <w:rPr>
          <w:color w:val="auto"/>
        </w:rPr>
        <w:t>155,000 to &lt;</w:t>
      </w:r>
      <w:r w:rsidR="001951F5">
        <w:rPr>
          <w:color w:val="auto"/>
        </w:rPr>
        <w:t> </w:t>
      </w:r>
      <w:r w:rsidR="00E931A9">
        <w:rPr>
          <w:color w:val="auto"/>
        </w:rPr>
        <w:t>$255,000</w:t>
      </w:r>
      <w:r w:rsidR="005420F5" w:rsidRPr="005420F5">
        <w:rPr>
          <w:color w:val="auto"/>
        </w:rPr>
        <w:t xml:space="preserve">/QALY from the </w:t>
      </w:r>
      <w:r w:rsidR="000E059D">
        <w:rPr>
          <w:color w:val="auto"/>
        </w:rPr>
        <w:t xml:space="preserve">submission </w:t>
      </w:r>
      <w:r w:rsidR="005420F5" w:rsidRPr="005420F5">
        <w:rPr>
          <w:color w:val="auto"/>
        </w:rPr>
        <w:t>base case of $</w:t>
      </w:r>
      <w:r w:rsidR="00E931A9">
        <w:rPr>
          <w:color w:val="auto"/>
        </w:rPr>
        <w:t>55,000 to &lt;</w:t>
      </w:r>
      <w:r w:rsidR="001951F5">
        <w:rPr>
          <w:color w:val="auto"/>
        </w:rPr>
        <w:t> </w:t>
      </w:r>
      <w:r w:rsidR="00E931A9">
        <w:rPr>
          <w:color w:val="auto"/>
        </w:rPr>
        <w:t>$75,000</w:t>
      </w:r>
      <w:r w:rsidR="005420F5" w:rsidRPr="005420F5">
        <w:rPr>
          <w:color w:val="auto"/>
        </w:rPr>
        <w:t>/QALY.</w:t>
      </w:r>
    </w:p>
    <w:p w:rsidR="00112739" w:rsidRPr="006910C2" w:rsidRDefault="00112739" w:rsidP="00807E7A">
      <w:pPr>
        <w:pStyle w:val="ListParagraph"/>
      </w:pPr>
      <w:r w:rsidRPr="006910C2">
        <w:t>The pre-PBAC response provided a revised base case that resulted in an ICER of</w:t>
      </w:r>
      <w:r w:rsidRPr="00AD37C7">
        <w:t xml:space="preserve"> $</w:t>
      </w:r>
      <w:r w:rsidR="00E931A9">
        <w:t>55,000 to &lt;</w:t>
      </w:r>
      <w:r w:rsidR="001951F5">
        <w:t> </w:t>
      </w:r>
      <w:r w:rsidR="00E931A9">
        <w:t>$75,000</w:t>
      </w:r>
      <w:r w:rsidRPr="00AD37C7">
        <w:t xml:space="preserve"> per QALY </w:t>
      </w:r>
      <w:r w:rsidR="006910C2" w:rsidRPr="00AD37C7">
        <w:t xml:space="preserve">which </w:t>
      </w:r>
      <w:r w:rsidR="006910C2" w:rsidRPr="00591635">
        <w:t xml:space="preserve">included changes to: the way the utilities were calculated; the duration of </w:t>
      </w:r>
      <w:r w:rsidR="000E059D" w:rsidRPr="00591635">
        <w:t xml:space="preserve">nab-P </w:t>
      </w:r>
      <w:r w:rsidR="006910C2" w:rsidRPr="00591635">
        <w:t xml:space="preserve">therapy; disease management costs post treatment discontinuation; extrapolation of OS; the price of atezolizumab; and the inclusion of a </w:t>
      </w:r>
      <w:r w:rsidR="00074BE0" w:rsidRPr="00A3490A">
        <w:t>risk</w:t>
      </w:r>
      <w:r w:rsidR="00074BE0">
        <w:t xml:space="preserve"> sharing arrangement</w:t>
      </w:r>
      <w:r w:rsidR="00074BE0" w:rsidRPr="00A3490A">
        <w:t xml:space="preserve"> </w:t>
      </w:r>
      <w:r w:rsidR="00074BE0">
        <w:t>(</w:t>
      </w:r>
      <w:r w:rsidR="006910C2" w:rsidRPr="00591635">
        <w:t>RSA</w:t>
      </w:r>
      <w:r w:rsidR="00074BE0">
        <w:t>)</w:t>
      </w:r>
      <w:r w:rsidR="006910C2" w:rsidRPr="00591635">
        <w:t xml:space="preserve"> with </w:t>
      </w:r>
      <w:r w:rsidR="00807E7A" w:rsidRPr="00807E7A">
        <w:rPr>
          <w:color w:val="auto"/>
        </w:rPr>
        <w:t xml:space="preserve">caps that are based on an average of </w:t>
      </w:r>
      <w:r w:rsidR="00EB2224">
        <w:rPr>
          <w:noProof/>
          <w:color w:val="000000"/>
          <w:highlight w:val="black"/>
        </w:rPr>
        <w:t xml:space="preserve">'''''' </w:t>
      </w:r>
      <w:r w:rsidR="00807E7A" w:rsidRPr="00807E7A">
        <w:rPr>
          <w:color w:val="auto"/>
        </w:rPr>
        <w:t>administrations of atezolizumab per patient</w:t>
      </w:r>
      <w:r w:rsidR="006910C2" w:rsidRPr="00591635">
        <w:t xml:space="preserve">. </w:t>
      </w:r>
      <w:r w:rsidRPr="00591635">
        <w:t>The PBAC noted th</w:t>
      </w:r>
      <w:r w:rsidR="006910C2">
        <w:t xml:space="preserve">is represented </w:t>
      </w:r>
      <w:r w:rsidR="00EE1D2E">
        <w:lastRenderedPageBreak/>
        <w:t>significant</w:t>
      </w:r>
      <w:r w:rsidRPr="006910C2">
        <w:t xml:space="preserve"> changes to the economic model, which could not be evaluated in the </w:t>
      </w:r>
      <w:r w:rsidR="005B0CCD">
        <w:t>context of a pre-PBAC response.</w:t>
      </w:r>
    </w:p>
    <w:p w:rsidR="0011015D" w:rsidRPr="00003E6F" w:rsidRDefault="0011015D" w:rsidP="0011015D">
      <w:pPr>
        <w:pStyle w:val="ListParagraph"/>
        <w:numPr>
          <w:ilvl w:val="4"/>
          <w:numId w:val="1"/>
        </w:numPr>
        <w:rPr>
          <w:color w:val="auto"/>
        </w:rPr>
      </w:pPr>
      <w:r>
        <w:rPr>
          <w:color w:val="auto"/>
        </w:rPr>
        <w:t>The results of key sensitivity analyses</w:t>
      </w:r>
      <w:r w:rsidR="006910C2">
        <w:rPr>
          <w:color w:val="auto"/>
        </w:rPr>
        <w:t xml:space="preserve"> (using the submission base case)</w:t>
      </w:r>
      <w:r>
        <w:rPr>
          <w:color w:val="auto"/>
        </w:rPr>
        <w:t xml:space="preserve"> are summarised below.</w:t>
      </w:r>
    </w:p>
    <w:p w:rsidR="0011015D" w:rsidRDefault="0011015D" w:rsidP="00EF5451">
      <w:pPr>
        <w:pStyle w:val="Caption"/>
      </w:pPr>
      <w:r>
        <w:t xml:space="preserve">Table </w:t>
      </w:r>
      <w:r w:rsidR="00074BE0">
        <w:rPr>
          <w:noProof/>
        </w:rPr>
        <w:t>15</w:t>
      </w:r>
      <w:r w:rsidR="00EF5451">
        <w:rPr>
          <w:noProof/>
        </w:rPr>
        <w:t xml:space="preserve">: </w:t>
      </w:r>
      <w:r>
        <w:t>Results of key sensitivity analyses conducted during the evaluation</w:t>
      </w:r>
      <w:r w:rsidR="006910C2">
        <w:t xml:space="preserve"> (using the submission base case)</w:t>
      </w:r>
    </w:p>
    <w:tbl>
      <w:tblPr>
        <w:tblStyle w:val="PBACTableStyle"/>
        <w:tblW w:w="0" w:type="auto"/>
        <w:tblLook w:val="04A0" w:firstRow="1" w:lastRow="0" w:firstColumn="1" w:lastColumn="0" w:noHBand="0" w:noVBand="1"/>
        <w:tblCaption w:val="Results of key sensitivity analyses conducted during the evaluation (using the submission base case)"/>
      </w:tblPr>
      <w:tblGrid>
        <w:gridCol w:w="421"/>
        <w:gridCol w:w="2266"/>
        <w:gridCol w:w="3679"/>
        <w:gridCol w:w="842"/>
        <w:gridCol w:w="820"/>
        <w:gridCol w:w="988"/>
      </w:tblGrid>
      <w:tr w:rsidR="0011015D" w:rsidRPr="00A61D77" w:rsidTr="00E965A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1" w:type="dxa"/>
          </w:tcPr>
          <w:p w:rsidR="0011015D" w:rsidRPr="00A61D77" w:rsidRDefault="0011015D" w:rsidP="00EF5451">
            <w:pPr>
              <w:pStyle w:val="TableText"/>
              <w:keepNext/>
              <w:spacing w:line="257" w:lineRule="auto"/>
              <w:rPr>
                <w:b w:val="0"/>
              </w:rPr>
            </w:pPr>
            <w:r w:rsidRPr="00661EFB">
              <w:t>#</w:t>
            </w:r>
          </w:p>
        </w:tc>
        <w:tc>
          <w:tcPr>
            <w:tcW w:w="2268" w:type="dxa"/>
          </w:tcPr>
          <w:p w:rsidR="0011015D" w:rsidRPr="00A61D77" w:rsidRDefault="0011015D" w:rsidP="00EF5451">
            <w:pPr>
              <w:pStyle w:val="TableText"/>
              <w:keepNext/>
              <w:spacing w:line="257" w:lineRule="auto"/>
              <w:jc w:val="center"/>
              <w:cnfStyle w:val="100000000000" w:firstRow="1" w:lastRow="0" w:firstColumn="0" w:lastColumn="0" w:oddVBand="0" w:evenVBand="0" w:oddHBand="0" w:evenHBand="0" w:firstRowFirstColumn="0" w:firstRowLastColumn="0" w:lastRowFirstColumn="0" w:lastRowLastColumn="0"/>
            </w:pPr>
            <w:r w:rsidRPr="00A61D77">
              <w:t>Parameter</w:t>
            </w:r>
          </w:p>
          <w:p w:rsidR="0011015D" w:rsidRPr="00A61D77" w:rsidRDefault="0011015D" w:rsidP="00EF5451">
            <w:pPr>
              <w:pStyle w:val="TableText"/>
              <w:keepNext/>
              <w:spacing w:line="257" w:lineRule="auto"/>
              <w:jc w:val="center"/>
              <w:cnfStyle w:val="100000000000" w:firstRow="1" w:lastRow="0" w:firstColumn="0" w:lastColumn="0" w:oddVBand="0" w:evenVBand="0" w:oddHBand="0" w:evenHBand="0" w:firstRowFirstColumn="0" w:firstRowLastColumn="0" w:lastRowFirstColumn="0" w:lastRowLastColumn="0"/>
            </w:pPr>
            <w:r w:rsidRPr="00A61D77">
              <w:t>(base case)</w:t>
            </w:r>
          </w:p>
        </w:tc>
        <w:tc>
          <w:tcPr>
            <w:tcW w:w="3685" w:type="dxa"/>
          </w:tcPr>
          <w:p w:rsidR="0011015D" w:rsidRPr="00A61D77" w:rsidRDefault="0011015D" w:rsidP="00EF5451">
            <w:pPr>
              <w:pStyle w:val="TableText"/>
              <w:keepNext/>
              <w:spacing w:line="257" w:lineRule="auto"/>
              <w:jc w:val="center"/>
              <w:cnfStyle w:val="100000000000" w:firstRow="1" w:lastRow="0" w:firstColumn="0" w:lastColumn="0" w:oddVBand="0" w:evenVBand="0" w:oddHBand="0" w:evenHBand="0" w:firstRowFirstColumn="0" w:firstRowLastColumn="0" w:lastRowFirstColumn="0" w:lastRowLastColumn="0"/>
            </w:pPr>
            <w:r w:rsidRPr="00A61D77">
              <w:t xml:space="preserve">Value </w:t>
            </w:r>
            <w:r w:rsidR="00F71008" w:rsidRPr="00A61D77">
              <w:t>t</w:t>
            </w:r>
            <w:r w:rsidRPr="00A61D77">
              <w:t>ested</w:t>
            </w:r>
          </w:p>
        </w:tc>
        <w:tc>
          <w:tcPr>
            <w:tcW w:w="834" w:type="dxa"/>
          </w:tcPr>
          <w:p w:rsidR="0011015D" w:rsidRPr="00A61D77" w:rsidRDefault="00FC3CE7" w:rsidP="00EF5451">
            <w:pPr>
              <w:pStyle w:val="TableText"/>
              <w:keepNext/>
              <w:spacing w:line="257" w:lineRule="auto"/>
              <w:jc w:val="center"/>
              <w:cnfStyle w:val="100000000000" w:firstRow="1" w:lastRow="0" w:firstColumn="0" w:lastColumn="0" w:oddVBand="0" w:evenVBand="0" w:oddHBand="0" w:evenHBand="0" w:firstRowFirstColumn="0" w:firstRowLastColumn="0" w:lastRowFirstColumn="0" w:lastRowLastColumn="0"/>
            </w:pPr>
            <w:r w:rsidRPr="00A61D77">
              <w:t xml:space="preserve">Inc. </w:t>
            </w:r>
            <w:r w:rsidR="00F71008" w:rsidRPr="00A61D77">
              <w:t>c</w:t>
            </w:r>
            <w:r w:rsidR="0011015D" w:rsidRPr="00A61D77">
              <w:t>osts</w:t>
            </w:r>
          </w:p>
        </w:tc>
        <w:tc>
          <w:tcPr>
            <w:tcW w:w="820" w:type="dxa"/>
          </w:tcPr>
          <w:p w:rsidR="0011015D" w:rsidRPr="00A61D77" w:rsidRDefault="00FC3CE7" w:rsidP="00EF5451">
            <w:pPr>
              <w:pStyle w:val="TableText"/>
              <w:keepNext/>
              <w:spacing w:line="257" w:lineRule="auto"/>
              <w:jc w:val="center"/>
              <w:cnfStyle w:val="100000000000" w:firstRow="1" w:lastRow="0" w:firstColumn="0" w:lastColumn="0" w:oddVBand="0" w:evenVBand="0" w:oddHBand="0" w:evenHBand="0" w:firstRowFirstColumn="0" w:firstRowLastColumn="0" w:lastRowFirstColumn="0" w:lastRowLastColumn="0"/>
            </w:pPr>
            <w:r w:rsidRPr="00A61D77">
              <w:t xml:space="preserve">Inc. </w:t>
            </w:r>
            <w:r w:rsidR="0011015D" w:rsidRPr="00A61D77">
              <w:t>QALYs</w:t>
            </w:r>
          </w:p>
        </w:tc>
        <w:tc>
          <w:tcPr>
            <w:tcW w:w="988" w:type="dxa"/>
          </w:tcPr>
          <w:p w:rsidR="0011015D" w:rsidRPr="00A61D77" w:rsidRDefault="0011015D" w:rsidP="00EF5451">
            <w:pPr>
              <w:pStyle w:val="TableText"/>
              <w:keepNext/>
              <w:spacing w:line="257" w:lineRule="auto"/>
              <w:jc w:val="center"/>
              <w:cnfStyle w:val="100000000000" w:firstRow="1" w:lastRow="0" w:firstColumn="0" w:lastColumn="0" w:oddVBand="0" w:evenVBand="0" w:oddHBand="0" w:evenHBand="0" w:firstRowFirstColumn="0" w:firstRowLastColumn="0" w:lastRowFirstColumn="0" w:lastRowLastColumn="0"/>
            </w:pPr>
            <w:r w:rsidRPr="00A61D77">
              <w:t>ICER ($/QALY)</w:t>
            </w:r>
          </w:p>
        </w:tc>
      </w:tr>
      <w:tr w:rsidR="0011015D" w:rsidRPr="00A61D77" w:rsidTr="005B0CCD">
        <w:tc>
          <w:tcPr>
            <w:cnfStyle w:val="001000000000" w:firstRow="0" w:lastRow="0" w:firstColumn="1" w:lastColumn="0" w:oddVBand="0" w:evenVBand="0" w:oddHBand="0" w:evenHBand="0" w:firstRowFirstColumn="0" w:firstRowLastColumn="0" w:lastRowFirstColumn="0" w:lastRowLastColumn="0"/>
            <w:tcW w:w="421" w:type="dxa"/>
          </w:tcPr>
          <w:p w:rsidR="0011015D" w:rsidRPr="00A61D77" w:rsidRDefault="0011015D" w:rsidP="00EF5451">
            <w:pPr>
              <w:pStyle w:val="TableText"/>
              <w:keepNext/>
            </w:pPr>
          </w:p>
        </w:tc>
        <w:tc>
          <w:tcPr>
            <w:tcW w:w="2268" w:type="dxa"/>
          </w:tcPr>
          <w:p w:rsidR="0011015D" w:rsidRPr="00A61D77" w:rsidRDefault="0011015D" w:rsidP="00EF5451">
            <w:pPr>
              <w:pStyle w:val="TableText"/>
              <w:keepNext/>
              <w:cnfStyle w:val="000000000000" w:firstRow="0" w:lastRow="0" w:firstColumn="0" w:lastColumn="0" w:oddVBand="0" w:evenVBand="0" w:oddHBand="0" w:evenHBand="0" w:firstRowFirstColumn="0" w:firstRowLastColumn="0" w:lastRowFirstColumn="0" w:lastRowLastColumn="0"/>
            </w:pPr>
            <w:r w:rsidRPr="00A61D77">
              <w:t>Base case</w:t>
            </w:r>
          </w:p>
        </w:tc>
        <w:tc>
          <w:tcPr>
            <w:tcW w:w="3685" w:type="dxa"/>
          </w:tcPr>
          <w:p w:rsidR="0011015D" w:rsidRPr="00A61D77" w:rsidRDefault="0011015D" w:rsidP="00EF5451">
            <w:pPr>
              <w:pStyle w:val="TableText"/>
              <w:keepNext/>
              <w:cnfStyle w:val="000000000000" w:firstRow="0" w:lastRow="0" w:firstColumn="0" w:lastColumn="0" w:oddVBand="0" w:evenVBand="0" w:oddHBand="0" w:evenHBand="0" w:firstRowFirstColumn="0" w:firstRowLastColumn="0" w:lastRowFirstColumn="0" w:lastRowLastColumn="0"/>
            </w:pPr>
          </w:p>
        </w:tc>
        <w:tc>
          <w:tcPr>
            <w:tcW w:w="834" w:type="dxa"/>
          </w:tcPr>
          <w:p w:rsidR="0011015D" w:rsidRPr="00A61D77" w:rsidRDefault="0011015D" w:rsidP="00EF5451">
            <w:pPr>
              <w:pStyle w:val="TableText"/>
              <w:keepNext/>
              <w:jc w:val="right"/>
              <w:cnfStyle w:val="000000000000" w:firstRow="0" w:lastRow="0" w:firstColumn="0" w:lastColumn="0" w:oddVBand="0" w:evenVBand="0" w:oddHBand="0" w:evenHBand="0" w:firstRowFirstColumn="0" w:firstRowLastColumn="0" w:lastRowFirstColumn="0" w:lastRowLastColumn="0"/>
            </w:pPr>
            <w:r w:rsidRPr="00A61D77">
              <w:t>$</w:t>
            </w:r>
            <w:r w:rsidR="00EB2224">
              <w:rPr>
                <w:noProof/>
                <w:color w:val="000000"/>
                <w:highlight w:val="black"/>
              </w:rPr>
              <w:t>'''''''''''''''</w:t>
            </w:r>
          </w:p>
        </w:tc>
        <w:tc>
          <w:tcPr>
            <w:tcW w:w="820" w:type="dxa"/>
          </w:tcPr>
          <w:p w:rsidR="0011015D" w:rsidRPr="00A61D77" w:rsidRDefault="0011015D" w:rsidP="00EF5451">
            <w:pPr>
              <w:pStyle w:val="TableText"/>
              <w:keepNext/>
              <w:jc w:val="center"/>
              <w:cnfStyle w:val="000000000000" w:firstRow="0" w:lastRow="0" w:firstColumn="0" w:lastColumn="0" w:oddVBand="0" w:evenVBand="0" w:oddHBand="0" w:evenHBand="0" w:firstRowFirstColumn="0" w:firstRowLastColumn="0" w:lastRowFirstColumn="0" w:lastRowLastColumn="0"/>
            </w:pPr>
            <w:r w:rsidRPr="00A61D77">
              <w:t>0.406</w:t>
            </w:r>
          </w:p>
        </w:tc>
        <w:tc>
          <w:tcPr>
            <w:tcW w:w="988" w:type="dxa"/>
          </w:tcPr>
          <w:p w:rsidR="0011015D" w:rsidRPr="00A61D77" w:rsidRDefault="0011015D" w:rsidP="00EF5451">
            <w:pPr>
              <w:pStyle w:val="TableText"/>
              <w:keepNext/>
              <w:jc w:val="right"/>
              <w:cnfStyle w:val="000000000000" w:firstRow="0" w:lastRow="0" w:firstColumn="0" w:lastColumn="0" w:oddVBand="0" w:evenVBand="0" w:oddHBand="0" w:evenHBand="0" w:firstRowFirstColumn="0" w:firstRowLastColumn="0" w:lastRowFirstColumn="0" w:lastRowLastColumn="0"/>
            </w:pPr>
            <w:r w:rsidRPr="00A61D77">
              <w:t>$</w:t>
            </w:r>
            <w:r w:rsidR="00EB2224">
              <w:rPr>
                <w:noProof/>
                <w:color w:val="000000"/>
                <w:highlight w:val="black"/>
              </w:rPr>
              <w:t>'''''''''''''''''</w:t>
            </w:r>
          </w:p>
        </w:tc>
      </w:tr>
      <w:tr w:rsidR="0011015D" w:rsidRPr="00A61D77" w:rsidTr="005B0CCD">
        <w:tc>
          <w:tcPr>
            <w:cnfStyle w:val="001000000000" w:firstRow="0" w:lastRow="0" w:firstColumn="1" w:lastColumn="0" w:oddVBand="0" w:evenVBand="0" w:oddHBand="0" w:evenHBand="0" w:firstRowFirstColumn="0" w:firstRowLastColumn="0" w:lastRowFirstColumn="0" w:lastRowLastColumn="0"/>
            <w:tcW w:w="421" w:type="dxa"/>
          </w:tcPr>
          <w:p w:rsidR="0011015D" w:rsidRPr="00A61D77" w:rsidRDefault="0011015D" w:rsidP="00EF5451">
            <w:pPr>
              <w:pStyle w:val="TableText"/>
              <w:keepNext/>
            </w:pPr>
          </w:p>
        </w:tc>
        <w:tc>
          <w:tcPr>
            <w:tcW w:w="8595" w:type="dxa"/>
            <w:gridSpan w:val="5"/>
          </w:tcPr>
          <w:p w:rsidR="0011015D" w:rsidRPr="00A61D77" w:rsidRDefault="0011015D" w:rsidP="00EF5451">
            <w:pPr>
              <w:pStyle w:val="TableText"/>
              <w:keepNext/>
              <w:cnfStyle w:val="000000000000" w:firstRow="0" w:lastRow="0" w:firstColumn="0" w:lastColumn="0" w:oddVBand="0" w:evenVBand="0" w:oddHBand="0" w:evenHBand="0" w:firstRowFirstColumn="0" w:firstRowLastColumn="0" w:lastRowFirstColumn="0" w:lastRowLastColumn="0"/>
            </w:pPr>
            <w:r w:rsidRPr="00A61D77">
              <w:rPr>
                <w:b/>
              </w:rPr>
              <w:t xml:space="preserve">Extrapolation: </w:t>
            </w:r>
            <w:r w:rsidR="00F71008" w:rsidRPr="00A61D77">
              <w:rPr>
                <w:b/>
              </w:rPr>
              <w:t>o</w:t>
            </w:r>
            <w:r w:rsidRPr="00A61D77">
              <w:rPr>
                <w:b/>
              </w:rPr>
              <w:t>verall survival</w:t>
            </w:r>
          </w:p>
        </w:tc>
      </w:tr>
      <w:tr w:rsidR="0011015D" w:rsidRPr="00A61D77" w:rsidTr="005B0CCD">
        <w:tc>
          <w:tcPr>
            <w:cnfStyle w:val="001000000000" w:firstRow="0" w:lastRow="0" w:firstColumn="1" w:lastColumn="0" w:oddVBand="0" w:evenVBand="0" w:oddHBand="0" w:evenHBand="0" w:firstRowFirstColumn="0" w:firstRowLastColumn="0" w:lastRowFirstColumn="0" w:lastRowLastColumn="0"/>
            <w:tcW w:w="421" w:type="dxa"/>
          </w:tcPr>
          <w:p w:rsidR="0011015D" w:rsidRPr="00A61D77" w:rsidRDefault="0011015D" w:rsidP="00EF5451">
            <w:pPr>
              <w:pStyle w:val="TableText"/>
              <w:keepNext/>
            </w:pPr>
            <w:r w:rsidRPr="00A61D77">
              <w:t>1</w:t>
            </w:r>
          </w:p>
        </w:tc>
        <w:tc>
          <w:tcPr>
            <w:tcW w:w="2268" w:type="dxa"/>
            <w:vMerge w:val="restart"/>
          </w:tcPr>
          <w:p w:rsidR="0011015D" w:rsidRPr="00A61D77" w:rsidRDefault="0011015D" w:rsidP="00EF5451">
            <w:pPr>
              <w:pStyle w:val="TableText"/>
              <w:keepNext/>
              <w:cnfStyle w:val="000000000000" w:firstRow="0" w:lastRow="0" w:firstColumn="0" w:lastColumn="0" w:oddVBand="0" w:evenVBand="0" w:oddHBand="0" w:evenHBand="0" w:firstRowFirstColumn="0" w:firstRowLastColumn="0" w:lastRowFirstColumn="0" w:lastRowLastColumn="0"/>
            </w:pPr>
            <w:r w:rsidRPr="00A61D77">
              <w:t>PD-L1 test/ ATZ+nab-P:</w:t>
            </w:r>
          </w:p>
          <w:p w:rsidR="0011015D" w:rsidRPr="00A61D77" w:rsidRDefault="0011015D" w:rsidP="00EF5451">
            <w:pPr>
              <w:pStyle w:val="TableText"/>
              <w:keepNext/>
              <w:cnfStyle w:val="000000000000" w:firstRow="0" w:lastRow="0" w:firstColumn="0" w:lastColumn="0" w:oddVBand="0" w:evenVBand="0" w:oddHBand="0" w:evenHBand="0" w:firstRowFirstColumn="0" w:firstRowLastColumn="0" w:lastRowFirstColumn="0" w:lastRowLastColumn="0"/>
            </w:pPr>
            <w:r w:rsidRPr="00A61D77">
              <w:t>KM with log-logistic tail, irrespective of treatment assignment</w:t>
            </w:r>
          </w:p>
          <w:p w:rsidR="0011015D" w:rsidRPr="00A61D77" w:rsidRDefault="0011015D" w:rsidP="00EF5451">
            <w:pPr>
              <w:pStyle w:val="TableText"/>
              <w:keepNext/>
              <w:cnfStyle w:val="000000000000" w:firstRow="0" w:lastRow="0" w:firstColumn="0" w:lastColumn="0" w:oddVBand="0" w:evenVBand="0" w:oddHBand="0" w:evenHBand="0" w:firstRowFirstColumn="0" w:firstRowLastColumn="0" w:lastRowFirstColumn="0" w:lastRowLastColumn="0"/>
            </w:pPr>
          </w:p>
          <w:p w:rsidR="0011015D" w:rsidRPr="00A61D77" w:rsidRDefault="0011015D" w:rsidP="00EF5451">
            <w:pPr>
              <w:pStyle w:val="TableText"/>
              <w:keepNext/>
              <w:cnfStyle w:val="000000000000" w:firstRow="0" w:lastRow="0" w:firstColumn="0" w:lastColumn="0" w:oddVBand="0" w:evenVBand="0" w:oddHBand="0" w:evenHBand="0" w:firstRowFirstColumn="0" w:firstRowLastColumn="0" w:lastRowFirstColumn="0" w:lastRowLastColumn="0"/>
            </w:pPr>
            <w:r w:rsidRPr="00A61D77">
              <w:t>No test/nab-P arm:</w:t>
            </w:r>
          </w:p>
          <w:p w:rsidR="0011015D" w:rsidRPr="00A61D77" w:rsidRDefault="0011015D" w:rsidP="00EF5451">
            <w:pPr>
              <w:pStyle w:val="TableText"/>
              <w:keepNext/>
              <w:cnfStyle w:val="000000000000" w:firstRow="0" w:lastRow="0" w:firstColumn="0" w:lastColumn="0" w:oddVBand="0" w:evenVBand="0" w:oddHBand="0" w:evenHBand="0" w:firstRowFirstColumn="0" w:firstRowLastColumn="0" w:lastRowFirstColumn="0" w:lastRowLastColumn="0"/>
            </w:pPr>
            <w:r w:rsidRPr="00A61D77">
              <w:t xml:space="preserve">KM with Weibull tail </w:t>
            </w:r>
          </w:p>
        </w:tc>
        <w:tc>
          <w:tcPr>
            <w:tcW w:w="3685" w:type="dxa"/>
          </w:tcPr>
          <w:p w:rsidR="0011015D" w:rsidRPr="00A61D77" w:rsidRDefault="005420F5" w:rsidP="00EF5451">
            <w:pPr>
              <w:pStyle w:val="TableText"/>
              <w:keepNext/>
              <w:cnfStyle w:val="000000000000" w:firstRow="0" w:lastRow="0" w:firstColumn="0" w:lastColumn="0" w:oddVBand="0" w:evenVBand="0" w:oddHBand="0" w:evenHBand="0" w:firstRowFirstColumn="0" w:firstRowLastColumn="0" w:lastRowFirstColumn="0" w:lastRowLastColumn="0"/>
              <w:rPr>
                <w:u w:val="single"/>
              </w:rPr>
            </w:pPr>
            <w:r>
              <w:rPr>
                <w:u w:val="single"/>
              </w:rPr>
              <w:t>P</w:t>
            </w:r>
            <w:r w:rsidR="005B0CCD">
              <w:rPr>
                <w:u w:val="single"/>
              </w:rPr>
              <w:t>roposed</w:t>
            </w:r>
            <w:r w:rsidR="005B0CCD" w:rsidRPr="005B0CCD">
              <w:t>:</w:t>
            </w:r>
          </w:p>
          <w:p w:rsidR="0011015D" w:rsidRPr="00A61D77" w:rsidRDefault="0011015D" w:rsidP="00EF5451">
            <w:pPr>
              <w:pStyle w:val="TableText"/>
              <w:keepNext/>
              <w:cnfStyle w:val="000000000000" w:firstRow="0" w:lastRow="0" w:firstColumn="0" w:lastColumn="0" w:oddVBand="0" w:evenVBand="0" w:oddHBand="0" w:evenHBand="0" w:firstRowFirstColumn="0" w:firstRowLastColumn="0" w:lastRowFirstColumn="0" w:lastRowLastColumn="0"/>
            </w:pPr>
            <w:r w:rsidRPr="00A61D77">
              <w:t>PD-L1 true positive: KM with log-logistic tail</w:t>
            </w:r>
          </w:p>
          <w:p w:rsidR="0011015D" w:rsidRPr="00A61D77" w:rsidRDefault="0011015D" w:rsidP="00EF5451">
            <w:pPr>
              <w:pStyle w:val="TableText"/>
              <w:keepNext/>
              <w:cnfStyle w:val="000000000000" w:firstRow="0" w:lastRow="0" w:firstColumn="0" w:lastColumn="0" w:oddVBand="0" w:evenVBand="0" w:oddHBand="0" w:evenHBand="0" w:firstRowFirstColumn="0" w:firstRowLastColumn="0" w:lastRowFirstColumn="0" w:lastRowLastColumn="0"/>
            </w:pPr>
            <w:r w:rsidRPr="00A61D77">
              <w:t xml:space="preserve">PD-L1 false positive and PD-L1 (true and false) </w:t>
            </w:r>
            <w:r w:rsidR="00666CF6">
              <w:t>negative: KM with Weibull tail</w:t>
            </w:r>
          </w:p>
          <w:p w:rsidR="0011015D" w:rsidRPr="00A61D77" w:rsidRDefault="0011015D" w:rsidP="00EF5451">
            <w:pPr>
              <w:pStyle w:val="TableText"/>
              <w:keepNext/>
              <w:cnfStyle w:val="000000000000" w:firstRow="0" w:lastRow="0" w:firstColumn="0" w:lastColumn="0" w:oddVBand="0" w:evenVBand="0" w:oddHBand="0" w:evenHBand="0" w:firstRowFirstColumn="0" w:firstRowLastColumn="0" w:lastRowFirstColumn="0" w:lastRowLastColumn="0"/>
            </w:pPr>
          </w:p>
          <w:p w:rsidR="0011015D" w:rsidRPr="00A61D77" w:rsidRDefault="0011015D" w:rsidP="00EF5451">
            <w:pPr>
              <w:pStyle w:val="TableText"/>
              <w:keepNext/>
              <w:cnfStyle w:val="000000000000" w:firstRow="0" w:lastRow="0" w:firstColumn="0" w:lastColumn="0" w:oddVBand="0" w:evenVBand="0" w:oddHBand="0" w:evenHBand="0" w:firstRowFirstColumn="0" w:firstRowLastColumn="0" w:lastRowFirstColumn="0" w:lastRowLastColumn="0"/>
            </w:pPr>
            <w:r w:rsidRPr="00A61D77">
              <w:rPr>
                <w:u w:val="single"/>
              </w:rPr>
              <w:t>No test/nab-P arm</w:t>
            </w:r>
            <w:r w:rsidRPr="00A61D77">
              <w:t>: KM with Weibull tail</w:t>
            </w:r>
          </w:p>
        </w:tc>
        <w:tc>
          <w:tcPr>
            <w:tcW w:w="834" w:type="dxa"/>
          </w:tcPr>
          <w:p w:rsidR="0011015D" w:rsidRPr="00A61D77" w:rsidRDefault="0011015D" w:rsidP="00EF5451">
            <w:pPr>
              <w:pStyle w:val="TableText"/>
              <w:keepNext/>
              <w:jc w:val="right"/>
              <w:cnfStyle w:val="000000000000" w:firstRow="0" w:lastRow="0" w:firstColumn="0" w:lastColumn="0" w:oddVBand="0" w:evenVBand="0" w:oddHBand="0" w:evenHBand="0" w:firstRowFirstColumn="0" w:firstRowLastColumn="0" w:lastRowFirstColumn="0" w:lastRowLastColumn="0"/>
            </w:pPr>
            <w:r w:rsidRPr="00A61D77">
              <w:t>$</w:t>
            </w:r>
            <w:r w:rsidR="00EB2224">
              <w:rPr>
                <w:noProof/>
                <w:color w:val="000000"/>
                <w:highlight w:val="black"/>
              </w:rPr>
              <w:t>'''''''''''''''</w:t>
            </w:r>
          </w:p>
        </w:tc>
        <w:tc>
          <w:tcPr>
            <w:tcW w:w="820" w:type="dxa"/>
          </w:tcPr>
          <w:p w:rsidR="0011015D" w:rsidRPr="00A61D77" w:rsidRDefault="0011015D" w:rsidP="00EF5451">
            <w:pPr>
              <w:pStyle w:val="TableText"/>
              <w:keepNext/>
              <w:jc w:val="center"/>
              <w:cnfStyle w:val="000000000000" w:firstRow="0" w:lastRow="0" w:firstColumn="0" w:lastColumn="0" w:oddVBand="0" w:evenVBand="0" w:oddHBand="0" w:evenHBand="0" w:firstRowFirstColumn="0" w:firstRowLastColumn="0" w:lastRowFirstColumn="0" w:lastRowLastColumn="0"/>
            </w:pPr>
            <w:r w:rsidRPr="00A61D77">
              <w:t>0.241</w:t>
            </w:r>
          </w:p>
        </w:tc>
        <w:tc>
          <w:tcPr>
            <w:tcW w:w="988" w:type="dxa"/>
          </w:tcPr>
          <w:p w:rsidR="0011015D" w:rsidRPr="00A61D77" w:rsidRDefault="0011015D" w:rsidP="00EF5451">
            <w:pPr>
              <w:pStyle w:val="TableText"/>
              <w:keepNext/>
              <w:jc w:val="right"/>
              <w:cnfStyle w:val="000000000000" w:firstRow="0" w:lastRow="0" w:firstColumn="0" w:lastColumn="0" w:oddVBand="0" w:evenVBand="0" w:oddHBand="0" w:evenHBand="0" w:firstRowFirstColumn="0" w:firstRowLastColumn="0" w:lastRowFirstColumn="0" w:lastRowLastColumn="0"/>
            </w:pPr>
            <w:r w:rsidRPr="00A61D77">
              <w:t>$</w:t>
            </w:r>
            <w:r w:rsidR="00EB2224">
              <w:rPr>
                <w:noProof/>
                <w:color w:val="000000"/>
                <w:highlight w:val="black"/>
              </w:rPr>
              <w:t>'''''''''''''''''</w:t>
            </w:r>
          </w:p>
        </w:tc>
      </w:tr>
      <w:tr w:rsidR="0011015D" w:rsidRPr="00A61D77" w:rsidTr="005B0CCD">
        <w:tc>
          <w:tcPr>
            <w:cnfStyle w:val="001000000000" w:firstRow="0" w:lastRow="0" w:firstColumn="1" w:lastColumn="0" w:oddVBand="0" w:evenVBand="0" w:oddHBand="0" w:evenHBand="0" w:firstRowFirstColumn="0" w:firstRowLastColumn="0" w:lastRowFirstColumn="0" w:lastRowLastColumn="0"/>
            <w:tcW w:w="421" w:type="dxa"/>
          </w:tcPr>
          <w:p w:rsidR="0011015D" w:rsidRPr="00A61D77" w:rsidRDefault="0011015D" w:rsidP="00EF5451">
            <w:pPr>
              <w:pStyle w:val="TableText"/>
              <w:keepNext/>
            </w:pPr>
            <w:r w:rsidRPr="00A61D77">
              <w:t>2</w:t>
            </w:r>
          </w:p>
        </w:tc>
        <w:tc>
          <w:tcPr>
            <w:tcW w:w="2268" w:type="dxa"/>
            <w:vMerge/>
          </w:tcPr>
          <w:p w:rsidR="0011015D" w:rsidRPr="00A61D77" w:rsidRDefault="0011015D" w:rsidP="00EF5451">
            <w:pPr>
              <w:pStyle w:val="TableText"/>
              <w:keepNext/>
              <w:cnfStyle w:val="000000000000" w:firstRow="0" w:lastRow="0" w:firstColumn="0" w:lastColumn="0" w:oddVBand="0" w:evenVBand="0" w:oddHBand="0" w:evenHBand="0" w:firstRowFirstColumn="0" w:firstRowLastColumn="0" w:lastRowFirstColumn="0" w:lastRowLastColumn="0"/>
            </w:pPr>
          </w:p>
        </w:tc>
        <w:tc>
          <w:tcPr>
            <w:tcW w:w="3685" w:type="dxa"/>
          </w:tcPr>
          <w:p w:rsidR="0011015D" w:rsidRPr="00A61D77" w:rsidRDefault="0011015D" w:rsidP="00EF5451">
            <w:pPr>
              <w:pStyle w:val="TableText"/>
              <w:keepNext/>
              <w:cnfStyle w:val="000000000000" w:firstRow="0" w:lastRow="0" w:firstColumn="0" w:lastColumn="0" w:oddVBand="0" w:evenVBand="0" w:oddHBand="0" w:evenHBand="0" w:firstRowFirstColumn="0" w:firstRowLastColumn="0" w:lastRowFirstColumn="0" w:lastRowLastColumn="0"/>
            </w:pPr>
            <w:r w:rsidRPr="00A61D77">
              <w:rPr>
                <w:u w:val="single"/>
              </w:rPr>
              <w:t>All arms</w:t>
            </w:r>
            <w:r w:rsidRPr="00666CF6">
              <w:t xml:space="preserve">: </w:t>
            </w:r>
            <w:r w:rsidRPr="00A61D77">
              <w:t>KM with Weibull tail</w:t>
            </w:r>
          </w:p>
        </w:tc>
        <w:tc>
          <w:tcPr>
            <w:tcW w:w="834" w:type="dxa"/>
          </w:tcPr>
          <w:p w:rsidR="0011015D" w:rsidRPr="00A61D77" w:rsidRDefault="0011015D" w:rsidP="00EF5451">
            <w:pPr>
              <w:pStyle w:val="TableText"/>
              <w:keepNext/>
              <w:jc w:val="right"/>
              <w:cnfStyle w:val="000000000000" w:firstRow="0" w:lastRow="0" w:firstColumn="0" w:lastColumn="0" w:oddVBand="0" w:evenVBand="0" w:oddHBand="0" w:evenHBand="0" w:firstRowFirstColumn="0" w:firstRowLastColumn="0" w:lastRowFirstColumn="0" w:lastRowLastColumn="0"/>
            </w:pPr>
            <w:r w:rsidRPr="00A61D77">
              <w:t>$</w:t>
            </w:r>
            <w:r w:rsidR="00EB2224">
              <w:rPr>
                <w:noProof/>
                <w:color w:val="000000"/>
                <w:highlight w:val="black"/>
              </w:rPr>
              <w:t>'''''''''''''''''</w:t>
            </w:r>
          </w:p>
        </w:tc>
        <w:tc>
          <w:tcPr>
            <w:tcW w:w="820" w:type="dxa"/>
          </w:tcPr>
          <w:p w:rsidR="0011015D" w:rsidRPr="00A61D77" w:rsidRDefault="0011015D" w:rsidP="00EF5451">
            <w:pPr>
              <w:pStyle w:val="TableText"/>
              <w:keepNext/>
              <w:jc w:val="center"/>
              <w:cnfStyle w:val="000000000000" w:firstRow="0" w:lastRow="0" w:firstColumn="0" w:lastColumn="0" w:oddVBand="0" w:evenVBand="0" w:oddHBand="0" w:evenHBand="0" w:firstRowFirstColumn="0" w:firstRowLastColumn="0" w:lastRowFirstColumn="0" w:lastRowLastColumn="0"/>
            </w:pPr>
            <w:r w:rsidRPr="00A61D77">
              <w:t>0.125</w:t>
            </w:r>
          </w:p>
        </w:tc>
        <w:tc>
          <w:tcPr>
            <w:tcW w:w="988" w:type="dxa"/>
          </w:tcPr>
          <w:p w:rsidR="0011015D" w:rsidRPr="00A61D77" w:rsidRDefault="0011015D" w:rsidP="00EF5451">
            <w:pPr>
              <w:pStyle w:val="TableText"/>
              <w:keepNext/>
              <w:jc w:val="right"/>
              <w:cnfStyle w:val="000000000000" w:firstRow="0" w:lastRow="0" w:firstColumn="0" w:lastColumn="0" w:oddVBand="0" w:evenVBand="0" w:oddHBand="0" w:evenHBand="0" w:firstRowFirstColumn="0" w:firstRowLastColumn="0" w:lastRowFirstColumn="0" w:lastRowLastColumn="0"/>
            </w:pPr>
            <w:r w:rsidRPr="00A61D77">
              <w:t>$</w:t>
            </w:r>
            <w:r w:rsidR="00EB2224">
              <w:rPr>
                <w:noProof/>
                <w:color w:val="000000"/>
                <w:highlight w:val="black"/>
              </w:rPr>
              <w:t>''''''''''''''''''</w:t>
            </w:r>
          </w:p>
        </w:tc>
      </w:tr>
      <w:tr w:rsidR="0011015D" w:rsidRPr="00A61D77" w:rsidTr="005B0CCD">
        <w:tc>
          <w:tcPr>
            <w:cnfStyle w:val="001000000000" w:firstRow="0" w:lastRow="0" w:firstColumn="1" w:lastColumn="0" w:oddVBand="0" w:evenVBand="0" w:oddHBand="0" w:evenHBand="0" w:firstRowFirstColumn="0" w:firstRowLastColumn="0" w:lastRowFirstColumn="0" w:lastRowLastColumn="0"/>
            <w:tcW w:w="421" w:type="dxa"/>
          </w:tcPr>
          <w:p w:rsidR="0011015D" w:rsidRPr="00A61D77" w:rsidRDefault="000E059D" w:rsidP="00EF5451">
            <w:pPr>
              <w:pStyle w:val="TableText"/>
              <w:keepNext/>
            </w:pPr>
            <w:r>
              <w:t>3</w:t>
            </w:r>
          </w:p>
        </w:tc>
        <w:tc>
          <w:tcPr>
            <w:tcW w:w="2268" w:type="dxa"/>
            <w:vMerge/>
          </w:tcPr>
          <w:p w:rsidR="0011015D" w:rsidRPr="00A61D77" w:rsidRDefault="0011015D" w:rsidP="00EF5451">
            <w:pPr>
              <w:pStyle w:val="TableText"/>
              <w:keepNext/>
              <w:cnfStyle w:val="000000000000" w:firstRow="0" w:lastRow="0" w:firstColumn="0" w:lastColumn="0" w:oddVBand="0" w:evenVBand="0" w:oddHBand="0" w:evenHBand="0" w:firstRowFirstColumn="0" w:firstRowLastColumn="0" w:lastRowFirstColumn="0" w:lastRowLastColumn="0"/>
            </w:pPr>
          </w:p>
        </w:tc>
        <w:tc>
          <w:tcPr>
            <w:tcW w:w="3685" w:type="dxa"/>
          </w:tcPr>
          <w:p w:rsidR="0011015D" w:rsidRPr="00A61D77" w:rsidRDefault="0011015D" w:rsidP="00EF5451">
            <w:pPr>
              <w:pStyle w:val="TableText"/>
              <w:keepNext/>
              <w:cnfStyle w:val="000000000000" w:firstRow="0" w:lastRow="0" w:firstColumn="0" w:lastColumn="0" w:oddVBand="0" w:evenVBand="0" w:oddHBand="0" w:evenHBand="0" w:firstRowFirstColumn="0" w:firstRowLastColumn="0" w:lastRowFirstColumn="0" w:lastRowLastColumn="0"/>
            </w:pPr>
            <w:r w:rsidRPr="00A61D77">
              <w:rPr>
                <w:u w:val="single"/>
              </w:rPr>
              <w:t>All arms</w:t>
            </w:r>
            <w:r w:rsidRPr="00666CF6">
              <w:t>:</w:t>
            </w:r>
            <w:r w:rsidR="00666CF6">
              <w:t xml:space="preserve"> KM with log-logistic tail</w:t>
            </w:r>
          </w:p>
        </w:tc>
        <w:tc>
          <w:tcPr>
            <w:tcW w:w="834" w:type="dxa"/>
          </w:tcPr>
          <w:p w:rsidR="0011015D" w:rsidRPr="00A61D77" w:rsidRDefault="0011015D" w:rsidP="00EF5451">
            <w:pPr>
              <w:pStyle w:val="TableText"/>
              <w:keepNext/>
              <w:jc w:val="right"/>
              <w:cnfStyle w:val="000000000000" w:firstRow="0" w:lastRow="0" w:firstColumn="0" w:lastColumn="0" w:oddVBand="0" w:evenVBand="0" w:oddHBand="0" w:evenHBand="0" w:firstRowFirstColumn="0" w:firstRowLastColumn="0" w:lastRowFirstColumn="0" w:lastRowLastColumn="0"/>
            </w:pPr>
            <w:r w:rsidRPr="00A61D77">
              <w:t>$</w:t>
            </w:r>
            <w:r w:rsidR="00EB2224">
              <w:rPr>
                <w:noProof/>
                <w:color w:val="000000"/>
                <w:highlight w:val="black"/>
              </w:rPr>
              <w:t>'''''''''''''''''</w:t>
            </w:r>
          </w:p>
        </w:tc>
        <w:tc>
          <w:tcPr>
            <w:tcW w:w="820" w:type="dxa"/>
          </w:tcPr>
          <w:p w:rsidR="0011015D" w:rsidRPr="00A61D77" w:rsidRDefault="0011015D" w:rsidP="00EF5451">
            <w:pPr>
              <w:pStyle w:val="TableText"/>
              <w:keepNext/>
              <w:jc w:val="center"/>
              <w:cnfStyle w:val="000000000000" w:firstRow="0" w:lastRow="0" w:firstColumn="0" w:lastColumn="0" w:oddVBand="0" w:evenVBand="0" w:oddHBand="0" w:evenHBand="0" w:firstRowFirstColumn="0" w:firstRowLastColumn="0" w:lastRowFirstColumn="0" w:lastRowLastColumn="0"/>
            </w:pPr>
            <w:r w:rsidRPr="00A61D77">
              <w:t>0.137</w:t>
            </w:r>
          </w:p>
        </w:tc>
        <w:tc>
          <w:tcPr>
            <w:tcW w:w="988" w:type="dxa"/>
          </w:tcPr>
          <w:p w:rsidR="0011015D" w:rsidRPr="00A61D77" w:rsidRDefault="0011015D" w:rsidP="00EF5451">
            <w:pPr>
              <w:pStyle w:val="TableText"/>
              <w:keepNext/>
              <w:jc w:val="right"/>
              <w:cnfStyle w:val="000000000000" w:firstRow="0" w:lastRow="0" w:firstColumn="0" w:lastColumn="0" w:oddVBand="0" w:evenVBand="0" w:oddHBand="0" w:evenHBand="0" w:firstRowFirstColumn="0" w:firstRowLastColumn="0" w:lastRowFirstColumn="0" w:lastRowLastColumn="0"/>
            </w:pPr>
            <w:r w:rsidRPr="00A61D77">
              <w:t>$</w:t>
            </w:r>
            <w:r w:rsidR="00EB2224">
              <w:rPr>
                <w:noProof/>
                <w:color w:val="000000"/>
                <w:highlight w:val="black"/>
              </w:rPr>
              <w:t>''''''''''''''''''''</w:t>
            </w:r>
          </w:p>
        </w:tc>
      </w:tr>
      <w:tr w:rsidR="0011015D" w:rsidRPr="00A61D77" w:rsidTr="005B0CCD">
        <w:tc>
          <w:tcPr>
            <w:cnfStyle w:val="001000000000" w:firstRow="0" w:lastRow="0" w:firstColumn="1" w:lastColumn="0" w:oddVBand="0" w:evenVBand="0" w:oddHBand="0" w:evenHBand="0" w:firstRowFirstColumn="0" w:firstRowLastColumn="0" w:lastRowFirstColumn="0" w:lastRowLastColumn="0"/>
            <w:tcW w:w="421" w:type="dxa"/>
          </w:tcPr>
          <w:p w:rsidR="0011015D" w:rsidRPr="00A61D77" w:rsidRDefault="0011015D" w:rsidP="00EF5451">
            <w:pPr>
              <w:pStyle w:val="TableText"/>
              <w:keepNext/>
            </w:pPr>
          </w:p>
        </w:tc>
        <w:tc>
          <w:tcPr>
            <w:tcW w:w="8595" w:type="dxa"/>
            <w:gridSpan w:val="5"/>
          </w:tcPr>
          <w:p w:rsidR="0011015D" w:rsidRPr="00A61D77" w:rsidRDefault="0011015D" w:rsidP="00EF5451">
            <w:pPr>
              <w:pStyle w:val="TableText"/>
              <w:keepNext/>
              <w:cnfStyle w:val="000000000000" w:firstRow="0" w:lastRow="0" w:firstColumn="0" w:lastColumn="0" w:oddVBand="0" w:evenVBand="0" w:oddHBand="0" w:evenHBand="0" w:firstRowFirstColumn="0" w:firstRowLastColumn="0" w:lastRowFirstColumn="0" w:lastRowLastColumn="0"/>
            </w:pPr>
            <w:r w:rsidRPr="00A61D77">
              <w:rPr>
                <w:b/>
              </w:rPr>
              <w:t>Utilities</w:t>
            </w:r>
          </w:p>
        </w:tc>
      </w:tr>
      <w:tr w:rsidR="000E059D" w:rsidRPr="00A61D77" w:rsidTr="005B0CCD">
        <w:trPr>
          <w:trHeight w:val="979"/>
        </w:trPr>
        <w:tc>
          <w:tcPr>
            <w:cnfStyle w:val="001000000000" w:firstRow="0" w:lastRow="0" w:firstColumn="1" w:lastColumn="0" w:oddVBand="0" w:evenVBand="0" w:oddHBand="0" w:evenHBand="0" w:firstRowFirstColumn="0" w:firstRowLastColumn="0" w:lastRowFirstColumn="0" w:lastRowLastColumn="0"/>
            <w:tcW w:w="421" w:type="dxa"/>
          </w:tcPr>
          <w:p w:rsidR="000E059D" w:rsidRPr="00A61D77" w:rsidRDefault="000E059D" w:rsidP="00EF5451">
            <w:pPr>
              <w:pStyle w:val="TableText"/>
              <w:keepNext/>
            </w:pPr>
          </w:p>
        </w:tc>
        <w:tc>
          <w:tcPr>
            <w:tcW w:w="2268" w:type="dxa"/>
            <w:vMerge w:val="restart"/>
          </w:tcPr>
          <w:p w:rsidR="000E059D" w:rsidRPr="00A61D77" w:rsidRDefault="000E059D" w:rsidP="00EF5451">
            <w:pPr>
              <w:pStyle w:val="TableText"/>
              <w:keepNext/>
              <w:cnfStyle w:val="000000000000" w:firstRow="0" w:lastRow="0" w:firstColumn="0" w:lastColumn="0" w:oddVBand="0" w:evenVBand="0" w:oddHBand="0" w:evenHBand="0" w:firstRowFirstColumn="0" w:firstRowLastColumn="0" w:lastRowFirstColumn="0" w:lastRowLastColumn="0"/>
            </w:pPr>
            <w:r w:rsidRPr="00A61D77">
              <w:t>Utilities from IMpassion1</w:t>
            </w:r>
            <w:r w:rsidR="00666CF6">
              <w:t>30, using UK scoring algorithm:</w:t>
            </w:r>
          </w:p>
          <w:p w:rsidR="000E059D" w:rsidRPr="00A61D77" w:rsidRDefault="000E059D" w:rsidP="00EF5451">
            <w:pPr>
              <w:pStyle w:val="TableText"/>
              <w:keepNext/>
              <w:cnfStyle w:val="000000000000" w:firstRow="0" w:lastRow="0" w:firstColumn="0" w:lastColumn="0" w:oddVBand="0" w:evenVBand="0" w:oddHBand="0" w:evenHBand="0" w:firstRowFirstColumn="0" w:firstRowLastColumn="0" w:lastRowFirstColumn="0" w:lastRowLastColumn="0"/>
            </w:pPr>
            <w:r w:rsidRPr="00A61D77">
              <w:t>PFS: 0.723</w:t>
            </w:r>
          </w:p>
          <w:p w:rsidR="000E059D" w:rsidRPr="00A61D77" w:rsidRDefault="000E059D" w:rsidP="00EF5451">
            <w:pPr>
              <w:pStyle w:val="TableText"/>
              <w:keepNext/>
              <w:cnfStyle w:val="000000000000" w:firstRow="0" w:lastRow="0" w:firstColumn="0" w:lastColumn="0" w:oddVBand="0" w:evenVBand="0" w:oddHBand="0" w:evenHBand="0" w:firstRowFirstColumn="0" w:firstRowLastColumn="0" w:lastRowFirstColumn="0" w:lastRowLastColumn="0"/>
            </w:pPr>
            <w:r w:rsidRPr="00A61D77">
              <w:t>PD: 0.649</w:t>
            </w:r>
          </w:p>
        </w:tc>
        <w:tc>
          <w:tcPr>
            <w:tcW w:w="3685" w:type="dxa"/>
          </w:tcPr>
          <w:p w:rsidR="000E059D" w:rsidRPr="00A61D77" w:rsidRDefault="000E059D" w:rsidP="00EF5451">
            <w:pPr>
              <w:pStyle w:val="TableText"/>
              <w:keepNext/>
              <w:cnfStyle w:val="000000000000" w:firstRow="0" w:lastRow="0" w:firstColumn="0" w:lastColumn="0" w:oddVBand="0" w:evenVBand="0" w:oddHBand="0" w:evenHBand="0" w:firstRowFirstColumn="0" w:firstRowLastColumn="0" w:lastRowFirstColumn="0" w:lastRowLastColumn="0"/>
            </w:pPr>
            <w:r w:rsidRPr="00A61D77">
              <w:t xml:space="preserve">Utilities from IMpassion130, using </w:t>
            </w:r>
            <w:r>
              <w:t xml:space="preserve">an </w:t>
            </w:r>
            <w:r w:rsidRPr="00A61D77">
              <w:t>Australian scoring algorithm</w:t>
            </w:r>
            <w:r>
              <w:t xml:space="preserve"> (Viney et al 2014)</w:t>
            </w:r>
            <w:r w:rsidR="00666CF6">
              <w:t>:</w:t>
            </w:r>
          </w:p>
          <w:p w:rsidR="000E059D" w:rsidRPr="00A61D77" w:rsidRDefault="000E059D" w:rsidP="00EF5451">
            <w:pPr>
              <w:pStyle w:val="TableText"/>
              <w:keepNext/>
              <w:cnfStyle w:val="000000000000" w:firstRow="0" w:lastRow="0" w:firstColumn="0" w:lastColumn="0" w:oddVBand="0" w:evenVBand="0" w:oddHBand="0" w:evenHBand="0" w:firstRowFirstColumn="0" w:firstRowLastColumn="0" w:lastRowFirstColumn="0" w:lastRowLastColumn="0"/>
            </w:pPr>
            <w:r w:rsidRPr="00A61D77">
              <w:t>PFS: 0.665</w:t>
            </w:r>
          </w:p>
          <w:p w:rsidR="000E059D" w:rsidRPr="00A61D77" w:rsidRDefault="000E059D" w:rsidP="00EF5451">
            <w:pPr>
              <w:pStyle w:val="TableText"/>
              <w:keepNext/>
              <w:cnfStyle w:val="000000000000" w:firstRow="0" w:lastRow="0" w:firstColumn="0" w:lastColumn="0" w:oddVBand="0" w:evenVBand="0" w:oddHBand="0" w:evenHBand="0" w:firstRowFirstColumn="0" w:firstRowLastColumn="0" w:lastRowFirstColumn="0" w:lastRowLastColumn="0"/>
            </w:pPr>
            <w:r w:rsidRPr="00A61D77">
              <w:t>PD: 0.554</w:t>
            </w:r>
          </w:p>
        </w:tc>
        <w:tc>
          <w:tcPr>
            <w:tcW w:w="834" w:type="dxa"/>
          </w:tcPr>
          <w:p w:rsidR="000E059D" w:rsidRPr="00A61D77" w:rsidRDefault="000E059D" w:rsidP="00EF5451">
            <w:pPr>
              <w:pStyle w:val="TableText"/>
              <w:keepNext/>
              <w:jc w:val="right"/>
              <w:cnfStyle w:val="000000000000" w:firstRow="0" w:lastRow="0" w:firstColumn="0" w:lastColumn="0" w:oddVBand="0" w:evenVBand="0" w:oddHBand="0" w:evenHBand="0" w:firstRowFirstColumn="0" w:firstRowLastColumn="0" w:lastRowFirstColumn="0" w:lastRowLastColumn="0"/>
            </w:pPr>
            <w:r w:rsidRPr="00A61D77">
              <w:t>$</w:t>
            </w:r>
            <w:r w:rsidR="00EB2224">
              <w:rPr>
                <w:noProof/>
                <w:color w:val="000000"/>
                <w:highlight w:val="black"/>
              </w:rPr>
              <w:t>'''''''''''''''''</w:t>
            </w:r>
          </w:p>
        </w:tc>
        <w:tc>
          <w:tcPr>
            <w:tcW w:w="820" w:type="dxa"/>
          </w:tcPr>
          <w:p w:rsidR="000E059D" w:rsidRPr="00A61D77" w:rsidRDefault="000E059D" w:rsidP="00EF5451">
            <w:pPr>
              <w:pStyle w:val="TableText"/>
              <w:keepNext/>
              <w:jc w:val="center"/>
              <w:cnfStyle w:val="000000000000" w:firstRow="0" w:lastRow="0" w:firstColumn="0" w:lastColumn="0" w:oddVBand="0" w:evenVBand="0" w:oddHBand="0" w:evenHBand="0" w:firstRowFirstColumn="0" w:firstRowLastColumn="0" w:lastRowFirstColumn="0" w:lastRowLastColumn="0"/>
            </w:pPr>
            <w:r w:rsidRPr="00A61D77">
              <w:t>0.355</w:t>
            </w:r>
          </w:p>
        </w:tc>
        <w:tc>
          <w:tcPr>
            <w:tcW w:w="988" w:type="dxa"/>
          </w:tcPr>
          <w:p w:rsidR="000E059D" w:rsidRPr="00A61D77" w:rsidRDefault="000E059D" w:rsidP="00EF5451">
            <w:pPr>
              <w:pStyle w:val="TableText"/>
              <w:keepNext/>
              <w:jc w:val="right"/>
              <w:cnfStyle w:val="000000000000" w:firstRow="0" w:lastRow="0" w:firstColumn="0" w:lastColumn="0" w:oddVBand="0" w:evenVBand="0" w:oddHBand="0" w:evenHBand="0" w:firstRowFirstColumn="0" w:firstRowLastColumn="0" w:lastRowFirstColumn="0" w:lastRowLastColumn="0"/>
            </w:pPr>
            <w:r w:rsidRPr="00A61D77">
              <w:t>$</w:t>
            </w:r>
            <w:r w:rsidR="00EB2224">
              <w:rPr>
                <w:noProof/>
                <w:color w:val="000000"/>
                <w:highlight w:val="black"/>
              </w:rPr>
              <w:t>'''''''''''''''''</w:t>
            </w:r>
          </w:p>
        </w:tc>
      </w:tr>
      <w:tr w:rsidR="00385BCF" w:rsidRPr="00A61D77" w:rsidTr="005B0CCD">
        <w:tc>
          <w:tcPr>
            <w:cnfStyle w:val="001000000000" w:firstRow="0" w:lastRow="0" w:firstColumn="1" w:lastColumn="0" w:oddVBand="0" w:evenVBand="0" w:oddHBand="0" w:evenHBand="0" w:firstRowFirstColumn="0" w:firstRowLastColumn="0" w:lastRowFirstColumn="0" w:lastRowLastColumn="0"/>
            <w:tcW w:w="421" w:type="dxa"/>
          </w:tcPr>
          <w:p w:rsidR="00385BCF" w:rsidRPr="00A61D77" w:rsidRDefault="00385BCF" w:rsidP="00EF5451">
            <w:pPr>
              <w:pStyle w:val="TableText"/>
              <w:keepNext/>
            </w:pPr>
          </w:p>
        </w:tc>
        <w:tc>
          <w:tcPr>
            <w:tcW w:w="2268" w:type="dxa"/>
            <w:vMerge/>
          </w:tcPr>
          <w:p w:rsidR="00385BCF" w:rsidRPr="00A61D77" w:rsidRDefault="00385BCF" w:rsidP="00EF5451">
            <w:pPr>
              <w:pStyle w:val="TableText"/>
              <w:keepNext/>
              <w:cnfStyle w:val="000000000000" w:firstRow="0" w:lastRow="0" w:firstColumn="0" w:lastColumn="0" w:oddVBand="0" w:evenVBand="0" w:oddHBand="0" w:evenHBand="0" w:firstRowFirstColumn="0" w:firstRowLastColumn="0" w:lastRowFirstColumn="0" w:lastRowLastColumn="0"/>
            </w:pPr>
          </w:p>
        </w:tc>
        <w:tc>
          <w:tcPr>
            <w:tcW w:w="3685" w:type="dxa"/>
          </w:tcPr>
          <w:p w:rsidR="00385BCF" w:rsidRPr="00A61D77" w:rsidRDefault="00385BCF" w:rsidP="00EF5451">
            <w:pPr>
              <w:pStyle w:val="TableText"/>
              <w:keepNext/>
              <w:cnfStyle w:val="000000000000" w:firstRow="0" w:lastRow="0" w:firstColumn="0" w:lastColumn="0" w:oddVBand="0" w:evenVBand="0" w:oddHBand="0" w:evenHBand="0" w:firstRowFirstColumn="0" w:firstRowLastColumn="0" w:lastRowFirstColumn="0" w:lastRowLastColumn="0"/>
            </w:pPr>
            <w:r w:rsidRPr="00A61D77">
              <w:t>Utilities from IMpassion130, using Austr</w:t>
            </w:r>
            <w:r w:rsidR="004B7914">
              <w:t>alian scoring algorithm</w:t>
            </w:r>
          </w:p>
          <w:p w:rsidR="00385BCF" w:rsidRPr="00A61D77" w:rsidRDefault="00385BCF" w:rsidP="00EF5451">
            <w:pPr>
              <w:pStyle w:val="TableText"/>
              <w:keepNext/>
              <w:cnfStyle w:val="000000000000" w:firstRow="0" w:lastRow="0" w:firstColumn="0" w:lastColumn="0" w:oddVBand="0" w:evenVBand="0" w:oddHBand="0" w:evenHBand="0" w:firstRowFirstColumn="0" w:firstRowLastColumn="0" w:lastRowFirstColumn="0" w:lastRowLastColumn="0"/>
            </w:pPr>
            <w:r w:rsidRPr="00A61D77">
              <w:t xml:space="preserve">+ OS extrapolation as per </w:t>
            </w:r>
            <w:r w:rsidRPr="00A50B74">
              <w:t>#2</w:t>
            </w:r>
            <w:r w:rsidRPr="000E059D">
              <w:t xml:space="preserve"> above</w:t>
            </w:r>
          </w:p>
        </w:tc>
        <w:tc>
          <w:tcPr>
            <w:tcW w:w="834" w:type="dxa"/>
          </w:tcPr>
          <w:p w:rsidR="00385BCF" w:rsidRPr="00A61D77" w:rsidRDefault="00385BCF" w:rsidP="00EF5451">
            <w:pPr>
              <w:pStyle w:val="TableText"/>
              <w:keepNext/>
              <w:jc w:val="right"/>
              <w:cnfStyle w:val="000000000000" w:firstRow="0" w:lastRow="0" w:firstColumn="0" w:lastColumn="0" w:oddVBand="0" w:evenVBand="0" w:oddHBand="0" w:evenHBand="0" w:firstRowFirstColumn="0" w:firstRowLastColumn="0" w:lastRowFirstColumn="0" w:lastRowLastColumn="0"/>
            </w:pPr>
            <w:r w:rsidRPr="00A61D77">
              <w:t>$</w:t>
            </w:r>
            <w:r w:rsidR="00EB2224">
              <w:rPr>
                <w:noProof/>
                <w:color w:val="000000"/>
                <w:highlight w:val="black"/>
              </w:rPr>
              <w:t>''''''''''''''''</w:t>
            </w:r>
          </w:p>
        </w:tc>
        <w:tc>
          <w:tcPr>
            <w:tcW w:w="820" w:type="dxa"/>
          </w:tcPr>
          <w:p w:rsidR="00385BCF" w:rsidRPr="00A61D77" w:rsidRDefault="00385BCF" w:rsidP="00EF5451">
            <w:pPr>
              <w:pStyle w:val="TableText"/>
              <w:keepNext/>
              <w:jc w:val="center"/>
              <w:cnfStyle w:val="000000000000" w:firstRow="0" w:lastRow="0" w:firstColumn="0" w:lastColumn="0" w:oddVBand="0" w:evenVBand="0" w:oddHBand="0" w:evenHBand="0" w:firstRowFirstColumn="0" w:firstRowLastColumn="0" w:lastRowFirstColumn="0" w:lastRowLastColumn="0"/>
            </w:pPr>
            <w:r w:rsidRPr="00A61D77">
              <w:t>0.113</w:t>
            </w:r>
          </w:p>
        </w:tc>
        <w:tc>
          <w:tcPr>
            <w:tcW w:w="988" w:type="dxa"/>
          </w:tcPr>
          <w:p w:rsidR="00385BCF" w:rsidRPr="00A61D77" w:rsidRDefault="00385BCF" w:rsidP="00EF5451">
            <w:pPr>
              <w:pStyle w:val="TableText"/>
              <w:keepNext/>
              <w:jc w:val="right"/>
              <w:cnfStyle w:val="000000000000" w:firstRow="0" w:lastRow="0" w:firstColumn="0" w:lastColumn="0" w:oddVBand="0" w:evenVBand="0" w:oddHBand="0" w:evenHBand="0" w:firstRowFirstColumn="0" w:firstRowLastColumn="0" w:lastRowFirstColumn="0" w:lastRowLastColumn="0"/>
            </w:pPr>
            <w:r w:rsidRPr="00A61D77">
              <w:t>$</w:t>
            </w:r>
            <w:r w:rsidR="00EB2224">
              <w:rPr>
                <w:noProof/>
                <w:color w:val="000000"/>
                <w:highlight w:val="black"/>
              </w:rPr>
              <w:t>'''''''''''''''''''</w:t>
            </w:r>
          </w:p>
        </w:tc>
      </w:tr>
      <w:tr w:rsidR="00385BCF" w:rsidRPr="00A61D77" w:rsidTr="005B0CCD">
        <w:tc>
          <w:tcPr>
            <w:cnfStyle w:val="001000000000" w:firstRow="0" w:lastRow="0" w:firstColumn="1" w:lastColumn="0" w:oddVBand="0" w:evenVBand="0" w:oddHBand="0" w:evenHBand="0" w:firstRowFirstColumn="0" w:firstRowLastColumn="0" w:lastRowFirstColumn="0" w:lastRowLastColumn="0"/>
            <w:tcW w:w="421" w:type="dxa"/>
          </w:tcPr>
          <w:p w:rsidR="00385BCF" w:rsidRPr="00A61D77" w:rsidRDefault="00385BCF" w:rsidP="00EF5451">
            <w:pPr>
              <w:pStyle w:val="TableText"/>
              <w:keepNext/>
            </w:pPr>
          </w:p>
        </w:tc>
        <w:tc>
          <w:tcPr>
            <w:tcW w:w="2268" w:type="dxa"/>
            <w:vMerge/>
          </w:tcPr>
          <w:p w:rsidR="00385BCF" w:rsidRPr="00A61D77" w:rsidRDefault="00385BCF" w:rsidP="00EF5451">
            <w:pPr>
              <w:pStyle w:val="TableText"/>
              <w:keepNext/>
              <w:cnfStyle w:val="000000000000" w:firstRow="0" w:lastRow="0" w:firstColumn="0" w:lastColumn="0" w:oddVBand="0" w:evenVBand="0" w:oddHBand="0" w:evenHBand="0" w:firstRowFirstColumn="0" w:firstRowLastColumn="0" w:lastRowFirstColumn="0" w:lastRowLastColumn="0"/>
            </w:pPr>
          </w:p>
        </w:tc>
        <w:tc>
          <w:tcPr>
            <w:tcW w:w="3685" w:type="dxa"/>
          </w:tcPr>
          <w:p w:rsidR="00385BCF" w:rsidRPr="00A61D77" w:rsidRDefault="00385BCF" w:rsidP="00EF5451">
            <w:pPr>
              <w:pStyle w:val="TableText"/>
              <w:keepNext/>
              <w:cnfStyle w:val="000000000000" w:firstRow="0" w:lastRow="0" w:firstColumn="0" w:lastColumn="0" w:oddVBand="0" w:evenVBand="0" w:oddHBand="0" w:evenHBand="0" w:firstRowFirstColumn="0" w:firstRowLastColumn="0" w:lastRowFirstColumn="0" w:lastRowLastColumn="0"/>
            </w:pPr>
            <w:r>
              <w:t>Utilities from I</w:t>
            </w:r>
            <w:r w:rsidR="00591635">
              <w:t>M</w:t>
            </w:r>
            <w:r>
              <w:t>passion130, as presented in the pre-PBAC response. PFS: 0.734, progression: 0.684 (not verified)</w:t>
            </w:r>
          </w:p>
        </w:tc>
        <w:tc>
          <w:tcPr>
            <w:tcW w:w="834" w:type="dxa"/>
          </w:tcPr>
          <w:p w:rsidR="00385BCF" w:rsidRPr="00A61D77" w:rsidRDefault="00385BCF" w:rsidP="00EF5451">
            <w:pPr>
              <w:pStyle w:val="TableText"/>
              <w:keepNext/>
              <w:jc w:val="right"/>
              <w:cnfStyle w:val="000000000000" w:firstRow="0" w:lastRow="0" w:firstColumn="0" w:lastColumn="0" w:oddVBand="0" w:evenVBand="0" w:oddHBand="0" w:evenHBand="0" w:firstRowFirstColumn="0" w:firstRowLastColumn="0" w:lastRowFirstColumn="0" w:lastRowLastColumn="0"/>
            </w:pPr>
            <w:r>
              <w:t>$</w:t>
            </w:r>
            <w:r w:rsidR="00EB2224">
              <w:rPr>
                <w:noProof/>
                <w:color w:val="000000"/>
                <w:highlight w:val="black"/>
              </w:rPr>
              <w:t>''''''''''''''''</w:t>
            </w:r>
          </w:p>
        </w:tc>
        <w:tc>
          <w:tcPr>
            <w:tcW w:w="820" w:type="dxa"/>
          </w:tcPr>
          <w:p w:rsidR="00385BCF" w:rsidRPr="00A61D77" w:rsidRDefault="00385BCF" w:rsidP="00EF5451">
            <w:pPr>
              <w:pStyle w:val="TableText"/>
              <w:keepNext/>
              <w:jc w:val="center"/>
              <w:cnfStyle w:val="000000000000" w:firstRow="0" w:lastRow="0" w:firstColumn="0" w:lastColumn="0" w:oddVBand="0" w:evenVBand="0" w:oddHBand="0" w:evenHBand="0" w:firstRowFirstColumn="0" w:firstRowLastColumn="0" w:lastRowFirstColumn="0" w:lastRowLastColumn="0"/>
            </w:pPr>
            <w:r>
              <w:t>0.424</w:t>
            </w:r>
          </w:p>
        </w:tc>
        <w:tc>
          <w:tcPr>
            <w:tcW w:w="988" w:type="dxa"/>
          </w:tcPr>
          <w:p w:rsidR="00385BCF" w:rsidRPr="00A61D77" w:rsidRDefault="00385BCF" w:rsidP="00EF5451">
            <w:pPr>
              <w:pStyle w:val="TableText"/>
              <w:keepNext/>
              <w:jc w:val="right"/>
              <w:cnfStyle w:val="000000000000" w:firstRow="0" w:lastRow="0" w:firstColumn="0" w:lastColumn="0" w:oddVBand="0" w:evenVBand="0" w:oddHBand="0" w:evenHBand="0" w:firstRowFirstColumn="0" w:firstRowLastColumn="0" w:lastRowFirstColumn="0" w:lastRowLastColumn="0"/>
            </w:pPr>
            <w:r>
              <w:t>$</w:t>
            </w:r>
            <w:r w:rsidR="00EB2224">
              <w:rPr>
                <w:noProof/>
                <w:color w:val="000000"/>
                <w:highlight w:val="black"/>
              </w:rPr>
              <w:t>''''''''''''''''''</w:t>
            </w:r>
          </w:p>
        </w:tc>
      </w:tr>
      <w:tr w:rsidR="0011015D" w:rsidRPr="00A61D77" w:rsidTr="005B0CCD">
        <w:tc>
          <w:tcPr>
            <w:cnfStyle w:val="001000000000" w:firstRow="0" w:lastRow="0" w:firstColumn="1" w:lastColumn="0" w:oddVBand="0" w:evenVBand="0" w:oddHBand="0" w:evenHBand="0" w:firstRowFirstColumn="0" w:firstRowLastColumn="0" w:lastRowFirstColumn="0" w:lastRowLastColumn="0"/>
            <w:tcW w:w="421" w:type="dxa"/>
          </w:tcPr>
          <w:p w:rsidR="0011015D" w:rsidRPr="00A61D77" w:rsidRDefault="0011015D" w:rsidP="00EF5451">
            <w:pPr>
              <w:pStyle w:val="TableText"/>
              <w:keepNext/>
            </w:pPr>
          </w:p>
        </w:tc>
        <w:tc>
          <w:tcPr>
            <w:tcW w:w="8595" w:type="dxa"/>
            <w:gridSpan w:val="5"/>
          </w:tcPr>
          <w:p w:rsidR="0011015D" w:rsidRPr="00A61D77" w:rsidRDefault="0011015D" w:rsidP="00EF5451">
            <w:pPr>
              <w:pStyle w:val="TableText"/>
              <w:keepNext/>
              <w:cnfStyle w:val="000000000000" w:firstRow="0" w:lastRow="0" w:firstColumn="0" w:lastColumn="0" w:oddVBand="0" w:evenVBand="0" w:oddHBand="0" w:evenHBand="0" w:firstRowFirstColumn="0" w:firstRowLastColumn="0" w:lastRowFirstColumn="0" w:lastRowLastColumn="0"/>
              <w:rPr>
                <w:b/>
              </w:rPr>
            </w:pPr>
            <w:r w:rsidRPr="00A61D77">
              <w:rPr>
                <w:b/>
              </w:rPr>
              <w:t>Testing parameters</w:t>
            </w:r>
            <w:r w:rsidRPr="00A61D77">
              <w:rPr>
                <w:b/>
                <w:vertAlign w:val="superscript"/>
              </w:rPr>
              <w:t>a</w:t>
            </w:r>
          </w:p>
        </w:tc>
      </w:tr>
      <w:tr w:rsidR="006A3A4F" w:rsidRPr="00A61D77" w:rsidTr="005B0CCD">
        <w:tc>
          <w:tcPr>
            <w:cnfStyle w:val="001000000000" w:firstRow="0" w:lastRow="0" w:firstColumn="1" w:lastColumn="0" w:oddVBand="0" w:evenVBand="0" w:oddHBand="0" w:evenHBand="0" w:firstRowFirstColumn="0" w:firstRowLastColumn="0" w:lastRowFirstColumn="0" w:lastRowLastColumn="0"/>
            <w:tcW w:w="421" w:type="dxa"/>
          </w:tcPr>
          <w:p w:rsidR="006A3A4F" w:rsidRPr="00A61D77" w:rsidRDefault="006A3A4F" w:rsidP="00EF5451">
            <w:pPr>
              <w:pStyle w:val="TableText"/>
              <w:keepNext/>
            </w:pPr>
          </w:p>
        </w:tc>
        <w:tc>
          <w:tcPr>
            <w:tcW w:w="2268" w:type="dxa"/>
            <w:vMerge w:val="restart"/>
          </w:tcPr>
          <w:p w:rsidR="006A3A4F" w:rsidRPr="00A61D77" w:rsidRDefault="006A3A4F" w:rsidP="00EF5451">
            <w:pPr>
              <w:pStyle w:val="TableText"/>
              <w:keepNext/>
              <w:cnfStyle w:val="000000000000" w:firstRow="0" w:lastRow="0" w:firstColumn="0" w:lastColumn="0" w:oddVBand="0" w:evenVBand="0" w:oddHBand="0" w:evenHBand="0" w:firstRowFirstColumn="0" w:firstRowLastColumn="0" w:lastRowFirstColumn="0" w:lastRowLastColumn="0"/>
            </w:pPr>
            <w:r w:rsidRPr="00A61D77">
              <w:t>Include estimates of inter-laboratory reproducibility to estimate the false-positive and false-negative rate of the evidentiary standard</w:t>
            </w:r>
          </w:p>
        </w:tc>
        <w:tc>
          <w:tcPr>
            <w:tcW w:w="3685" w:type="dxa"/>
          </w:tcPr>
          <w:p w:rsidR="006A3A4F" w:rsidRPr="00A61D77" w:rsidRDefault="006A3A4F" w:rsidP="00EF5451">
            <w:pPr>
              <w:pStyle w:val="TableText"/>
              <w:keepNext/>
              <w:cnfStyle w:val="000000000000" w:firstRow="0" w:lastRow="0" w:firstColumn="0" w:lastColumn="0" w:oddVBand="0" w:evenVBand="0" w:oddHBand="0" w:evenHBand="0" w:firstRowFirstColumn="0" w:firstRowLastColumn="0" w:lastRowFirstColumn="0" w:lastRowLastColumn="0"/>
            </w:pPr>
            <w:r w:rsidRPr="00A61D77">
              <w:t>Assume 0% false</w:t>
            </w:r>
            <w:r w:rsidR="004B7914">
              <w:t xml:space="preserve"> positive and false </w:t>
            </w:r>
            <w:r w:rsidRPr="00A61D77">
              <w:t>negative</w:t>
            </w:r>
            <w:r w:rsidRPr="00A61D77">
              <w:rPr>
                <w:vertAlign w:val="superscript"/>
              </w:rPr>
              <w:t>b</w:t>
            </w:r>
          </w:p>
        </w:tc>
        <w:tc>
          <w:tcPr>
            <w:tcW w:w="834" w:type="dxa"/>
          </w:tcPr>
          <w:p w:rsidR="006A3A4F" w:rsidRPr="00A61D77" w:rsidRDefault="006A3A4F" w:rsidP="00EF5451">
            <w:pPr>
              <w:pStyle w:val="TableText"/>
              <w:keepNext/>
              <w:jc w:val="right"/>
              <w:cnfStyle w:val="000000000000" w:firstRow="0" w:lastRow="0" w:firstColumn="0" w:lastColumn="0" w:oddVBand="0" w:evenVBand="0" w:oddHBand="0" w:evenHBand="0" w:firstRowFirstColumn="0" w:firstRowLastColumn="0" w:lastRowFirstColumn="0" w:lastRowLastColumn="0"/>
            </w:pPr>
            <w:r w:rsidRPr="00A61D77">
              <w:t>$</w:t>
            </w:r>
            <w:r w:rsidR="00EB2224">
              <w:rPr>
                <w:noProof/>
                <w:color w:val="000000"/>
                <w:highlight w:val="black"/>
              </w:rPr>
              <w:t>'''''''''''''''</w:t>
            </w:r>
          </w:p>
        </w:tc>
        <w:tc>
          <w:tcPr>
            <w:tcW w:w="820" w:type="dxa"/>
          </w:tcPr>
          <w:p w:rsidR="006A3A4F" w:rsidRPr="00A61D77" w:rsidRDefault="006A3A4F" w:rsidP="00EF5451">
            <w:pPr>
              <w:pStyle w:val="TableText"/>
              <w:keepNext/>
              <w:jc w:val="right"/>
              <w:cnfStyle w:val="000000000000" w:firstRow="0" w:lastRow="0" w:firstColumn="0" w:lastColumn="0" w:oddVBand="0" w:evenVBand="0" w:oddHBand="0" w:evenHBand="0" w:firstRowFirstColumn="0" w:firstRowLastColumn="0" w:lastRowFirstColumn="0" w:lastRowLastColumn="0"/>
            </w:pPr>
            <w:r w:rsidRPr="00A61D77">
              <w:t>0.417</w:t>
            </w:r>
          </w:p>
        </w:tc>
        <w:tc>
          <w:tcPr>
            <w:tcW w:w="988" w:type="dxa"/>
          </w:tcPr>
          <w:p w:rsidR="006A3A4F" w:rsidRPr="00A61D77" w:rsidRDefault="006A3A4F" w:rsidP="00EF5451">
            <w:pPr>
              <w:pStyle w:val="TableText"/>
              <w:keepNext/>
              <w:jc w:val="right"/>
              <w:cnfStyle w:val="000000000000" w:firstRow="0" w:lastRow="0" w:firstColumn="0" w:lastColumn="0" w:oddVBand="0" w:evenVBand="0" w:oddHBand="0" w:evenHBand="0" w:firstRowFirstColumn="0" w:firstRowLastColumn="0" w:lastRowFirstColumn="0" w:lastRowLastColumn="0"/>
            </w:pPr>
            <w:r w:rsidRPr="00A61D77">
              <w:t>$</w:t>
            </w:r>
            <w:r w:rsidR="00EB2224">
              <w:rPr>
                <w:noProof/>
                <w:color w:val="000000"/>
                <w:highlight w:val="black"/>
              </w:rPr>
              <w:t>'''''''''''''''</w:t>
            </w:r>
          </w:p>
        </w:tc>
      </w:tr>
      <w:tr w:rsidR="006A3A4F" w:rsidRPr="00A61D77" w:rsidTr="005B0CCD">
        <w:tc>
          <w:tcPr>
            <w:cnfStyle w:val="001000000000" w:firstRow="0" w:lastRow="0" w:firstColumn="1" w:lastColumn="0" w:oddVBand="0" w:evenVBand="0" w:oddHBand="0" w:evenHBand="0" w:firstRowFirstColumn="0" w:firstRowLastColumn="0" w:lastRowFirstColumn="0" w:lastRowLastColumn="0"/>
            <w:tcW w:w="421" w:type="dxa"/>
          </w:tcPr>
          <w:p w:rsidR="006A3A4F" w:rsidRPr="00A61D77" w:rsidRDefault="006A3A4F" w:rsidP="00EF5451">
            <w:pPr>
              <w:pStyle w:val="TableText"/>
              <w:keepNext/>
            </w:pPr>
          </w:p>
        </w:tc>
        <w:tc>
          <w:tcPr>
            <w:tcW w:w="2268" w:type="dxa"/>
            <w:vMerge/>
          </w:tcPr>
          <w:p w:rsidR="006A3A4F" w:rsidRPr="00A61D77" w:rsidRDefault="006A3A4F" w:rsidP="00EF5451">
            <w:pPr>
              <w:pStyle w:val="TableText"/>
              <w:keepNext/>
              <w:cnfStyle w:val="000000000000" w:firstRow="0" w:lastRow="0" w:firstColumn="0" w:lastColumn="0" w:oddVBand="0" w:evenVBand="0" w:oddHBand="0" w:evenHBand="0" w:firstRowFirstColumn="0" w:firstRowLastColumn="0" w:lastRowFirstColumn="0" w:lastRowLastColumn="0"/>
            </w:pPr>
          </w:p>
        </w:tc>
        <w:tc>
          <w:tcPr>
            <w:tcW w:w="3685" w:type="dxa"/>
          </w:tcPr>
          <w:p w:rsidR="006A3A4F" w:rsidRPr="00A61D77" w:rsidRDefault="004B7914" w:rsidP="00EF5451">
            <w:pPr>
              <w:pStyle w:val="TableText"/>
              <w:keepNext/>
              <w:cnfStyle w:val="000000000000" w:firstRow="0" w:lastRow="0" w:firstColumn="0" w:lastColumn="0" w:oddVBand="0" w:evenVBand="0" w:oddHBand="0" w:evenHBand="0" w:firstRowFirstColumn="0" w:firstRowLastColumn="0" w:lastRowFirstColumn="0" w:lastRowLastColumn="0"/>
            </w:pPr>
            <w:r>
              <w:t xml:space="preserve">Assume 0% false </w:t>
            </w:r>
            <w:r w:rsidR="006A3A4F" w:rsidRPr="00A61D77">
              <w:t>positive and false</w:t>
            </w:r>
            <w:r>
              <w:t xml:space="preserve"> </w:t>
            </w:r>
            <w:r w:rsidR="006A3A4F" w:rsidRPr="00A61D77">
              <w:t>negative</w:t>
            </w:r>
            <w:r w:rsidR="006A3A4F" w:rsidRPr="00A61D77">
              <w:rPr>
                <w:vertAlign w:val="superscript"/>
              </w:rPr>
              <w:t>b</w:t>
            </w:r>
            <w:r w:rsidR="006A3A4F" w:rsidRPr="00A61D77">
              <w:t xml:space="preserve"> + #1 above</w:t>
            </w:r>
          </w:p>
        </w:tc>
        <w:tc>
          <w:tcPr>
            <w:tcW w:w="834" w:type="dxa"/>
          </w:tcPr>
          <w:p w:rsidR="006A3A4F" w:rsidRPr="00A61D77" w:rsidRDefault="006A3A4F" w:rsidP="00EF5451">
            <w:pPr>
              <w:pStyle w:val="TableText"/>
              <w:keepNext/>
              <w:jc w:val="right"/>
              <w:cnfStyle w:val="000000000000" w:firstRow="0" w:lastRow="0" w:firstColumn="0" w:lastColumn="0" w:oddVBand="0" w:evenVBand="0" w:oddHBand="0" w:evenHBand="0" w:firstRowFirstColumn="0" w:firstRowLastColumn="0" w:lastRowFirstColumn="0" w:lastRowLastColumn="0"/>
            </w:pPr>
            <w:r w:rsidRPr="00A61D77">
              <w:t>$</w:t>
            </w:r>
            <w:r w:rsidR="00EB2224">
              <w:rPr>
                <w:noProof/>
                <w:color w:val="000000"/>
                <w:highlight w:val="black"/>
              </w:rPr>
              <w:t>''''''''''''''''</w:t>
            </w:r>
          </w:p>
        </w:tc>
        <w:tc>
          <w:tcPr>
            <w:tcW w:w="820" w:type="dxa"/>
          </w:tcPr>
          <w:p w:rsidR="006A3A4F" w:rsidRPr="00A61D77" w:rsidRDefault="006A3A4F" w:rsidP="00EF5451">
            <w:pPr>
              <w:pStyle w:val="TableText"/>
              <w:keepNext/>
              <w:jc w:val="right"/>
              <w:cnfStyle w:val="000000000000" w:firstRow="0" w:lastRow="0" w:firstColumn="0" w:lastColumn="0" w:oddVBand="0" w:evenVBand="0" w:oddHBand="0" w:evenHBand="0" w:firstRowFirstColumn="0" w:firstRowLastColumn="0" w:lastRowFirstColumn="0" w:lastRowLastColumn="0"/>
            </w:pPr>
            <w:r w:rsidRPr="00A61D77">
              <w:t>0.259</w:t>
            </w:r>
          </w:p>
        </w:tc>
        <w:tc>
          <w:tcPr>
            <w:tcW w:w="988" w:type="dxa"/>
          </w:tcPr>
          <w:p w:rsidR="006A3A4F" w:rsidRPr="00A61D77" w:rsidRDefault="006A3A4F" w:rsidP="00EF5451">
            <w:pPr>
              <w:pStyle w:val="TableText"/>
              <w:keepNext/>
              <w:jc w:val="right"/>
              <w:cnfStyle w:val="000000000000" w:firstRow="0" w:lastRow="0" w:firstColumn="0" w:lastColumn="0" w:oddVBand="0" w:evenVBand="0" w:oddHBand="0" w:evenHBand="0" w:firstRowFirstColumn="0" w:firstRowLastColumn="0" w:lastRowFirstColumn="0" w:lastRowLastColumn="0"/>
            </w:pPr>
            <w:r w:rsidRPr="00A61D77">
              <w:t>$</w:t>
            </w:r>
            <w:r w:rsidR="00EB2224">
              <w:rPr>
                <w:noProof/>
                <w:color w:val="000000"/>
                <w:highlight w:val="black"/>
              </w:rPr>
              <w:t>''''''''''''''''</w:t>
            </w:r>
          </w:p>
        </w:tc>
      </w:tr>
      <w:tr w:rsidR="006A3A4F" w:rsidRPr="00A61D77" w:rsidTr="005B0CCD">
        <w:tc>
          <w:tcPr>
            <w:cnfStyle w:val="001000000000" w:firstRow="0" w:lastRow="0" w:firstColumn="1" w:lastColumn="0" w:oddVBand="0" w:evenVBand="0" w:oddHBand="0" w:evenHBand="0" w:firstRowFirstColumn="0" w:firstRowLastColumn="0" w:lastRowFirstColumn="0" w:lastRowLastColumn="0"/>
            <w:tcW w:w="421" w:type="dxa"/>
          </w:tcPr>
          <w:p w:rsidR="006A3A4F" w:rsidRPr="00A61D77" w:rsidRDefault="006A3A4F" w:rsidP="00EF5451">
            <w:pPr>
              <w:pStyle w:val="TableText"/>
              <w:keepNext/>
            </w:pPr>
          </w:p>
        </w:tc>
        <w:tc>
          <w:tcPr>
            <w:tcW w:w="2268" w:type="dxa"/>
            <w:vMerge/>
          </w:tcPr>
          <w:p w:rsidR="006A3A4F" w:rsidRPr="00A61D77" w:rsidRDefault="006A3A4F" w:rsidP="00EF5451">
            <w:pPr>
              <w:pStyle w:val="TableText"/>
              <w:keepNext/>
              <w:cnfStyle w:val="000000000000" w:firstRow="0" w:lastRow="0" w:firstColumn="0" w:lastColumn="0" w:oddVBand="0" w:evenVBand="0" w:oddHBand="0" w:evenHBand="0" w:firstRowFirstColumn="0" w:firstRowLastColumn="0" w:lastRowFirstColumn="0" w:lastRowLastColumn="0"/>
            </w:pPr>
          </w:p>
        </w:tc>
        <w:tc>
          <w:tcPr>
            <w:tcW w:w="3685" w:type="dxa"/>
          </w:tcPr>
          <w:p w:rsidR="006A3A4F" w:rsidRPr="00A61D77" w:rsidRDefault="006A3A4F" w:rsidP="00EF5451">
            <w:pPr>
              <w:pStyle w:val="TableText"/>
              <w:keepNext/>
              <w:cnfStyle w:val="000000000000" w:firstRow="0" w:lastRow="0" w:firstColumn="0" w:lastColumn="0" w:oddVBand="0" w:evenVBand="0" w:oddHBand="0" w:evenHBand="0" w:firstRowFirstColumn="0" w:firstRowLastColumn="0" w:lastRowFirstColumn="0" w:lastRowLastColumn="0"/>
            </w:pPr>
            <w:r w:rsidRPr="00A61D77">
              <w:t>Assume 0% false</w:t>
            </w:r>
            <w:r w:rsidR="004B7914">
              <w:t xml:space="preserve"> </w:t>
            </w:r>
            <w:r w:rsidRPr="00A61D77">
              <w:t>positive and false</w:t>
            </w:r>
            <w:r w:rsidR="004B7914">
              <w:t xml:space="preserve"> </w:t>
            </w:r>
            <w:r w:rsidRPr="00A61D77">
              <w:t>negative + #2 above</w:t>
            </w:r>
          </w:p>
        </w:tc>
        <w:tc>
          <w:tcPr>
            <w:tcW w:w="834" w:type="dxa"/>
          </w:tcPr>
          <w:p w:rsidR="006A3A4F" w:rsidRPr="00A61D77" w:rsidRDefault="006A3A4F" w:rsidP="00EF5451">
            <w:pPr>
              <w:pStyle w:val="TableText"/>
              <w:keepNext/>
              <w:jc w:val="right"/>
              <w:cnfStyle w:val="000000000000" w:firstRow="0" w:lastRow="0" w:firstColumn="0" w:lastColumn="0" w:oddVBand="0" w:evenVBand="0" w:oddHBand="0" w:evenHBand="0" w:firstRowFirstColumn="0" w:firstRowLastColumn="0" w:lastRowFirstColumn="0" w:lastRowLastColumn="0"/>
            </w:pPr>
            <w:r w:rsidRPr="00A61D77">
              <w:t>$</w:t>
            </w:r>
            <w:r w:rsidR="00EB2224">
              <w:rPr>
                <w:noProof/>
                <w:color w:val="000000"/>
                <w:highlight w:val="black"/>
              </w:rPr>
              <w:t>''''''''''''''''</w:t>
            </w:r>
          </w:p>
        </w:tc>
        <w:tc>
          <w:tcPr>
            <w:tcW w:w="820" w:type="dxa"/>
          </w:tcPr>
          <w:p w:rsidR="006A3A4F" w:rsidRPr="00A61D77" w:rsidRDefault="006A3A4F" w:rsidP="00EF5451">
            <w:pPr>
              <w:pStyle w:val="TableText"/>
              <w:keepNext/>
              <w:jc w:val="right"/>
              <w:cnfStyle w:val="000000000000" w:firstRow="0" w:lastRow="0" w:firstColumn="0" w:lastColumn="0" w:oddVBand="0" w:evenVBand="0" w:oddHBand="0" w:evenHBand="0" w:firstRowFirstColumn="0" w:firstRowLastColumn="0" w:lastRowFirstColumn="0" w:lastRowLastColumn="0"/>
            </w:pPr>
            <w:r w:rsidRPr="00A61D77">
              <w:t>0.134</w:t>
            </w:r>
          </w:p>
        </w:tc>
        <w:tc>
          <w:tcPr>
            <w:tcW w:w="988" w:type="dxa"/>
          </w:tcPr>
          <w:p w:rsidR="006A3A4F" w:rsidRPr="00A61D77" w:rsidRDefault="006A3A4F" w:rsidP="00EF5451">
            <w:pPr>
              <w:pStyle w:val="TableText"/>
              <w:keepNext/>
              <w:jc w:val="right"/>
              <w:cnfStyle w:val="000000000000" w:firstRow="0" w:lastRow="0" w:firstColumn="0" w:lastColumn="0" w:oddVBand="0" w:evenVBand="0" w:oddHBand="0" w:evenHBand="0" w:firstRowFirstColumn="0" w:firstRowLastColumn="0" w:lastRowFirstColumn="0" w:lastRowLastColumn="0"/>
            </w:pPr>
            <w:r w:rsidRPr="00A61D77">
              <w:t>$</w:t>
            </w:r>
            <w:r w:rsidR="00EB2224">
              <w:rPr>
                <w:noProof/>
                <w:color w:val="000000"/>
                <w:highlight w:val="black"/>
              </w:rPr>
              <w:t>''''''''''''''''''</w:t>
            </w:r>
          </w:p>
        </w:tc>
      </w:tr>
      <w:tr w:rsidR="0011015D" w:rsidRPr="00A61D77" w:rsidTr="005B0CCD">
        <w:tc>
          <w:tcPr>
            <w:cnfStyle w:val="001000000000" w:firstRow="0" w:lastRow="0" w:firstColumn="1" w:lastColumn="0" w:oddVBand="0" w:evenVBand="0" w:oddHBand="0" w:evenHBand="0" w:firstRowFirstColumn="0" w:firstRowLastColumn="0" w:lastRowFirstColumn="0" w:lastRowLastColumn="0"/>
            <w:tcW w:w="421" w:type="dxa"/>
          </w:tcPr>
          <w:p w:rsidR="0011015D" w:rsidRPr="00A61D77" w:rsidRDefault="0011015D" w:rsidP="00EF5451">
            <w:pPr>
              <w:pStyle w:val="TableText"/>
              <w:keepNext/>
            </w:pPr>
          </w:p>
        </w:tc>
        <w:tc>
          <w:tcPr>
            <w:tcW w:w="2268" w:type="dxa"/>
          </w:tcPr>
          <w:p w:rsidR="0011015D" w:rsidRPr="00A61D77" w:rsidRDefault="0011015D" w:rsidP="00EF5451">
            <w:pPr>
              <w:pStyle w:val="TableText"/>
              <w:keepNext/>
              <w:cnfStyle w:val="000000000000" w:firstRow="0" w:lastRow="0" w:firstColumn="0" w:lastColumn="0" w:oddVBand="0" w:evenVBand="0" w:oddHBand="0" w:evenHBand="0" w:firstRowFirstColumn="0" w:firstRowLastColumn="0" w:lastRowFirstColumn="0" w:lastRowLastColumn="0"/>
            </w:pPr>
            <w:r w:rsidRPr="00A61D77">
              <w:t xml:space="preserve">PD-L1 test and PD-L1 </w:t>
            </w:r>
            <w:r w:rsidR="004B7914">
              <w:t>IC ≥ 1% treated with ATZ+nab-P</w:t>
            </w:r>
          </w:p>
        </w:tc>
        <w:tc>
          <w:tcPr>
            <w:tcW w:w="3685" w:type="dxa"/>
          </w:tcPr>
          <w:p w:rsidR="0011015D" w:rsidRPr="00A61D77" w:rsidRDefault="0011015D" w:rsidP="00EF5451">
            <w:pPr>
              <w:pStyle w:val="TableText"/>
              <w:keepNext/>
              <w:cnfStyle w:val="000000000000" w:firstRow="0" w:lastRow="0" w:firstColumn="0" w:lastColumn="0" w:oddVBand="0" w:evenVBand="0" w:oddHBand="0" w:evenHBand="0" w:firstRowFirstColumn="0" w:firstRowLastColumn="0" w:lastRowFirstColumn="0" w:lastRowLastColumn="0"/>
            </w:pPr>
            <w:r w:rsidRPr="00A61D77">
              <w:t xml:space="preserve">Assume no testing </w:t>
            </w:r>
          </w:p>
          <w:p w:rsidR="0011015D" w:rsidRPr="00A61D77" w:rsidRDefault="0011015D" w:rsidP="00EF5451">
            <w:pPr>
              <w:pStyle w:val="TableText"/>
              <w:keepNext/>
              <w:cnfStyle w:val="000000000000" w:firstRow="0" w:lastRow="0" w:firstColumn="0" w:lastColumn="0" w:oddVBand="0" w:evenVBand="0" w:oddHBand="0" w:evenHBand="0" w:firstRowFirstColumn="0" w:firstRowLastColumn="0" w:lastRowFirstColumn="0" w:lastRowLastColumn="0"/>
            </w:pPr>
            <w:r w:rsidRPr="00A61D77">
              <w:t>(all patients treated with ATZ+nab-</w:t>
            </w:r>
            <w:r w:rsidR="004B7914">
              <w:t>P irrespective of PD-L1 status)</w:t>
            </w:r>
          </w:p>
        </w:tc>
        <w:tc>
          <w:tcPr>
            <w:tcW w:w="834" w:type="dxa"/>
          </w:tcPr>
          <w:p w:rsidR="0011015D" w:rsidRPr="00A61D77" w:rsidRDefault="0011015D" w:rsidP="00EF5451">
            <w:pPr>
              <w:pStyle w:val="TableText"/>
              <w:keepNext/>
              <w:jc w:val="right"/>
              <w:cnfStyle w:val="000000000000" w:firstRow="0" w:lastRow="0" w:firstColumn="0" w:lastColumn="0" w:oddVBand="0" w:evenVBand="0" w:oddHBand="0" w:evenHBand="0" w:firstRowFirstColumn="0" w:firstRowLastColumn="0" w:lastRowFirstColumn="0" w:lastRowLastColumn="0"/>
            </w:pPr>
            <w:r w:rsidRPr="00A61D77">
              <w:t>$</w:t>
            </w:r>
            <w:r w:rsidR="00EB2224">
              <w:rPr>
                <w:noProof/>
                <w:color w:val="000000"/>
                <w:highlight w:val="black"/>
              </w:rPr>
              <w:t>''''''''''''''''</w:t>
            </w:r>
          </w:p>
        </w:tc>
        <w:tc>
          <w:tcPr>
            <w:tcW w:w="820" w:type="dxa"/>
          </w:tcPr>
          <w:p w:rsidR="0011015D" w:rsidRPr="00A61D77" w:rsidRDefault="0011015D" w:rsidP="00EF5451">
            <w:pPr>
              <w:pStyle w:val="TableText"/>
              <w:keepNext/>
              <w:jc w:val="right"/>
              <w:cnfStyle w:val="000000000000" w:firstRow="0" w:lastRow="0" w:firstColumn="0" w:lastColumn="0" w:oddVBand="0" w:evenVBand="0" w:oddHBand="0" w:evenHBand="0" w:firstRowFirstColumn="0" w:firstRowLastColumn="0" w:lastRowFirstColumn="0" w:lastRowLastColumn="0"/>
            </w:pPr>
            <w:r w:rsidRPr="00A61D77">
              <w:t>0.39</w:t>
            </w:r>
          </w:p>
        </w:tc>
        <w:tc>
          <w:tcPr>
            <w:tcW w:w="988" w:type="dxa"/>
          </w:tcPr>
          <w:p w:rsidR="0011015D" w:rsidRPr="00A61D77" w:rsidRDefault="0011015D" w:rsidP="00EF5451">
            <w:pPr>
              <w:pStyle w:val="TableText"/>
              <w:keepNext/>
              <w:jc w:val="right"/>
              <w:cnfStyle w:val="000000000000" w:firstRow="0" w:lastRow="0" w:firstColumn="0" w:lastColumn="0" w:oddVBand="0" w:evenVBand="0" w:oddHBand="0" w:evenHBand="0" w:firstRowFirstColumn="0" w:firstRowLastColumn="0" w:lastRowFirstColumn="0" w:lastRowLastColumn="0"/>
            </w:pPr>
            <w:r w:rsidRPr="00A61D77">
              <w:t>$</w:t>
            </w:r>
            <w:r w:rsidR="00EB2224">
              <w:rPr>
                <w:noProof/>
                <w:color w:val="000000"/>
                <w:highlight w:val="black"/>
              </w:rPr>
              <w:t>'''''''''''''''''''''</w:t>
            </w:r>
          </w:p>
        </w:tc>
      </w:tr>
      <w:tr w:rsidR="0011015D" w:rsidRPr="00A61D77" w:rsidTr="005B0CCD">
        <w:tc>
          <w:tcPr>
            <w:cnfStyle w:val="001000000000" w:firstRow="0" w:lastRow="0" w:firstColumn="1" w:lastColumn="0" w:oddVBand="0" w:evenVBand="0" w:oddHBand="0" w:evenHBand="0" w:firstRowFirstColumn="0" w:firstRowLastColumn="0" w:lastRowFirstColumn="0" w:lastRowLastColumn="0"/>
            <w:tcW w:w="421" w:type="dxa"/>
          </w:tcPr>
          <w:p w:rsidR="0011015D" w:rsidRPr="00A61D77" w:rsidRDefault="0011015D" w:rsidP="00EF5451">
            <w:pPr>
              <w:pStyle w:val="TableText"/>
              <w:keepNext/>
            </w:pPr>
          </w:p>
        </w:tc>
        <w:tc>
          <w:tcPr>
            <w:tcW w:w="2268" w:type="dxa"/>
          </w:tcPr>
          <w:p w:rsidR="0011015D" w:rsidRPr="00A61D77" w:rsidRDefault="0011015D" w:rsidP="00EF5451">
            <w:pPr>
              <w:pStyle w:val="TableText"/>
              <w:keepNext/>
              <w:cnfStyle w:val="000000000000" w:firstRow="0" w:lastRow="0" w:firstColumn="0" w:lastColumn="0" w:oddVBand="0" w:evenVBand="0" w:oddHBand="0" w:evenHBand="0" w:firstRowFirstColumn="0" w:firstRowLastColumn="0" w:lastRowFirstColumn="0" w:lastRowLastColumn="0"/>
            </w:pPr>
            <w:r w:rsidRPr="00A61D77">
              <w:t>PD-L1 test and PD-L1</w:t>
            </w:r>
            <w:r w:rsidR="004B7914">
              <w:t xml:space="preserve"> IC ≥ 1% treated with ATZ+nab-P</w:t>
            </w:r>
          </w:p>
        </w:tc>
        <w:tc>
          <w:tcPr>
            <w:tcW w:w="3685" w:type="dxa"/>
          </w:tcPr>
          <w:p w:rsidR="0011015D" w:rsidRPr="00A61D77" w:rsidRDefault="0011015D" w:rsidP="00EF5451">
            <w:pPr>
              <w:pStyle w:val="TableText"/>
              <w:keepNext/>
              <w:cnfStyle w:val="000000000000" w:firstRow="0" w:lastRow="0" w:firstColumn="0" w:lastColumn="0" w:oddVBand="0" w:evenVBand="0" w:oddHBand="0" w:evenHBand="0" w:firstRowFirstColumn="0" w:firstRowLastColumn="0" w:lastRowFirstColumn="0" w:lastRowLastColumn="0"/>
            </w:pPr>
            <w:r w:rsidRPr="00A61D77">
              <w:t xml:space="preserve">Assume no testing </w:t>
            </w:r>
          </w:p>
          <w:p w:rsidR="0011015D" w:rsidRPr="00A61D77" w:rsidRDefault="0011015D" w:rsidP="00EF5451">
            <w:pPr>
              <w:pStyle w:val="TableText"/>
              <w:keepNext/>
              <w:cnfStyle w:val="000000000000" w:firstRow="0" w:lastRow="0" w:firstColumn="0" w:lastColumn="0" w:oddVBand="0" w:evenVBand="0" w:oddHBand="0" w:evenHBand="0" w:firstRowFirstColumn="0" w:firstRowLastColumn="0" w:lastRowFirstColumn="0" w:lastRowLastColumn="0"/>
            </w:pPr>
            <w:r w:rsidRPr="00A61D77">
              <w:t>(all patients treated with ATZ+nab-P irrespective of PD-L1 status)</w:t>
            </w:r>
          </w:p>
          <w:p w:rsidR="0011015D" w:rsidRPr="00A61D77" w:rsidRDefault="0011015D" w:rsidP="00EF5451">
            <w:pPr>
              <w:pStyle w:val="TableText"/>
              <w:keepNext/>
              <w:cnfStyle w:val="000000000000" w:firstRow="0" w:lastRow="0" w:firstColumn="0" w:lastColumn="0" w:oddVBand="0" w:evenVBand="0" w:oddHBand="0" w:evenHBand="0" w:firstRowFirstColumn="0" w:firstRowLastColumn="0" w:lastRowFirstColumn="0" w:lastRowLastColumn="0"/>
            </w:pPr>
            <w:r w:rsidRPr="00A61D77">
              <w:t>+ #2 above</w:t>
            </w:r>
          </w:p>
        </w:tc>
        <w:tc>
          <w:tcPr>
            <w:tcW w:w="834" w:type="dxa"/>
          </w:tcPr>
          <w:p w:rsidR="0011015D" w:rsidRPr="00A61D77" w:rsidRDefault="0011015D" w:rsidP="00EF5451">
            <w:pPr>
              <w:pStyle w:val="TableText"/>
              <w:keepNext/>
              <w:jc w:val="right"/>
              <w:cnfStyle w:val="000000000000" w:firstRow="0" w:lastRow="0" w:firstColumn="0" w:lastColumn="0" w:oddVBand="0" w:evenVBand="0" w:oddHBand="0" w:evenHBand="0" w:firstRowFirstColumn="0" w:firstRowLastColumn="0" w:lastRowFirstColumn="0" w:lastRowLastColumn="0"/>
            </w:pPr>
            <w:r w:rsidRPr="00A61D77">
              <w:t>$</w:t>
            </w:r>
            <w:r w:rsidR="00EB2224">
              <w:rPr>
                <w:noProof/>
                <w:color w:val="000000"/>
                <w:highlight w:val="black"/>
              </w:rPr>
              <w:t>'''''''''''''''</w:t>
            </w:r>
          </w:p>
        </w:tc>
        <w:tc>
          <w:tcPr>
            <w:tcW w:w="820" w:type="dxa"/>
          </w:tcPr>
          <w:p w:rsidR="0011015D" w:rsidRPr="00A61D77" w:rsidRDefault="0011015D" w:rsidP="00EF5451">
            <w:pPr>
              <w:pStyle w:val="TableText"/>
              <w:keepNext/>
              <w:jc w:val="right"/>
              <w:cnfStyle w:val="000000000000" w:firstRow="0" w:lastRow="0" w:firstColumn="0" w:lastColumn="0" w:oddVBand="0" w:evenVBand="0" w:oddHBand="0" w:evenHBand="0" w:firstRowFirstColumn="0" w:firstRowLastColumn="0" w:lastRowFirstColumn="0" w:lastRowLastColumn="0"/>
            </w:pPr>
            <w:r w:rsidRPr="00A61D77">
              <w:t>0.12</w:t>
            </w:r>
          </w:p>
        </w:tc>
        <w:tc>
          <w:tcPr>
            <w:tcW w:w="988" w:type="dxa"/>
          </w:tcPr>
          <w:p w:rsidR="0011015D" w:rsidRPr="00A61D77" w:rsidRDefault="0011015D" w:rsidP="00EF5451">
            <w:pPr>
              <w:pStyle w:val="TableText"/>
              <w:keepNext/>
              <w:jc w:val="right"/>
              <w:cnfStyle w:val="000000000000" w:firstRow="0" w:lastRow="0" w:firstColumn="0" w:lastColumn="0" w:oddVBand="0" w:evenVBand="0" w:oddHBand="0" w:evenHBand="0" w:firstRowFirstColumn="0" w:firstRowLastColumn="0" w:lastRowFirstColumn="0" w:lastRowLastColumn="0"/>
            </w:pPr>
            <w:r w:rsidRPr="00A61D77">
              <w:t>$</w:t>
            </w:r>
            <w:r w:rsidR="00EB2224">
              <w:rPr>
                <w:noProof/>
                <w:color w:val="000000"/>
                <w:highlight w:val="black"/>
              </w:rPr>
              <w:t>''''''''''''''''''''</w:t>
            </w:r>
          </w:p>
        </w:tc>
      </w:tr>
    </w:tbl>
    <w:p w:rsidR="006F58DC" w:rsidRPr="000842D0" w:rsidRDefault="006F58DC" w:rsidP="006F58DC">
      <w:pPr>
        <w:pStyle w:val="TableFigureFooter"/>
      </w:pPr>
      <w:r>
        <w:t xml:space="preserve">Source: Compiled during the evaluation based on information presented in Section 3.5 and </w:t>
      </w:r>
      <w:r>
        <w:rPr>
          <w:lang w:val="en-US"/>
        </w:rPr>
        <w:t>‘Economic Evaluation.xlsx’ of the submission</w:t>
      </w:r>
      <w:r w:rsidR="002A541E">
        <w:rPr>
          <w:lang w:val="en-US"/>
        </w:rPr>
        <w:t>.</w:t>
      </w:r>
    </w:p>
    <w:p w:rsidR="006F58DC" w:rsidRDefault="006F58DC" w:rsidP="006F58DC">
      <w:pPr>
        <w:pStyle w:val="TableFigureFooter"/>
      </w:pPr>
      <w:r w:rsidRPr="005916A0">
        <w:t>ATZ = atezolizumab</w:t>
      </w:r>
      <w:r>
        <w:t>;</w:t>
      </w:r>
      <w:r w:rsidRPr="005916A0">
        <w:t xml:space="preserve"> ICER = incremental cost-effectiveness ratio</w:t>
      </w:r>
      <w:r>
        <w:t xml:space="preserve">; </w:t>
      </w:r>
      <w:r w:rsidRPr="005916A0">
        <w:t>KM = Kaplan Meier</w:t>
      </w:r>
      <w:r>
        <w:t xml:space="preserve">; </w:t>
      </w:r>
      <w:r w:rsidRPr="005916A0">
        <w:t>nab-P = nab-paclitaxel; OS = overall survival; PD = progressive disease; PD-L1 = programmed death ligand-1; PFS = progression-free survival; QALY = quality adjusted life year</w:t>
      </w:r>
      <w:r w:rsidR="002A541E">
        <w:t>.</w:t>
      </w:r>
    </w:p>
    <w:p w:rsidR="0011015D" w:rsidRDefault="0011015D" w:rsidP="0011015D">
      <w:pPr>
        <w:pStyle w:val="TableFigureFooter"/>
      </w:pPr>
      <w:r w:rsidRPr="00F30C71">
        <w:rPr>
          <w:vertAlign w:val="superscript"/>
        </w:rPr>
        <w:t>a</w:t>
      </w:r>
      <w:r>
        <w:t xml:space="preserve"> Insufficient information was provided in the submission to determine that the impact of different assays would have on the cost-effectiveness of ATZ+nab-P for PD-L1</w:t>
      </w:r>
      <w:r w:rsidR="004B7914">
        <w:t>-</w:t>
      </w:r>
      <w:r>
        <w:t>positive patients. The effectiveness of ATZ+nab-P compared to nab-P alone appeared to differ between the evidentiary standard (VENTANA SP142) and the other comme</w:t>
      </w:r>
      <w:r w:rsidR="002A541E">
        <w:t>rcially available PD-L1 assays.</w:t>
      </w:r>
    </w:p>
    <w:p w:rsidR="006A3A4F" w:rsidRDefault="006A3A4F" w:rsidP="0011015D">
      <w:pPr>
        <w:pStyle w:val="TableFigureFooter"/>
      </w:pPr>
      <w:r w:rsidRPr="00570174">
        <w:rPr>
          <w:vertAlign w:val="superscript"/>
        </w:rPr>
        <w:t>b</w:t>
      </w:r>
      <w:r>
        <w:rPr>
          <w:vertAlign w:val="superscript"/>
        </w:rPr>
        <w:t xml:space="preserve"> </w:t>
      </w:r>
      <w:r>
        <w:t>The submission did not model the survival outcomes of patients identified as ‘false</w:t>
      </w:r>
      <w:r w:rsidR="004B7914">
        <w:t xml:space="preserve"> </w:t>
      </w:r>
      <w:r>
        <w:t>positive’ and ‘false</w:t>
      </w:r>
      <w:r w:rsidR="004B7914">
        <w:t xml:space="preserve"> </w:t>
      </w:r>
      <w:r>
        <w:t xml:space="preserve">negative’. Instead, the submission used the estimates of inter-laboratory reproducibility to estimate the proportion of patients who would be considered ‘false-positive’ and </w:t>
      </w:r>
      <w:r>
        <w:lastRenderedPageBreak/>
        <w:t>‘false-negative’, and used the survival outcomes of those who tested positive (as false negatives) and those who teste</w:t>
      </w:r>
      <w:r w:rsidR="00ED6B32">
        <w:t>d negative (as false positives).</w:t>
      </w:r>
    </w:p>
    <w:p w:rsidR="00766DDE" w:rsidRDefault="00766DDE" w:rsidP="0011015D">
      <w:pPr>
        <w:pStyle w:val="TableFigureFooter"/>
      </w:pPr>
    </w:p>
    <w:p w:rsidR="00766DDE" w:rsidRPr="00804D40" w:rsidRDefault="00766DDE" w:rsidP="00766DDE">
      <w:pPr>
        <w:keepNext/>
        <w:keepLines/>
        <w:widowControl w:val="0"/>
        <w:tabs>
          <w:tab w:val="left" w:pos="284"/>
        </w:tabs>
        <w:rPr>
          <w:rFonts w:cstheme="minorHAnsi"/>
          <w:i/>
        </w:rPr>
      </w:pPr>
      <w:r w:rsidRPr="00804D40">
        <w:rPr>
          <w:rFonts w:cstheme="minorHAnsi"/>
          <w:i/>
        </w:rPr>
        <w:t>The redacted table shows ICERs in the range of $55,000 to &lt;</w:t>
      </w:r>
      <w:r w:rsidR="00704F10">
        <w:rPr>
          <w:rFonts w:cstheme="minorHAnsi"/>
          <w:i/>
        </w:rPr>
        <w:t> </w:t>
      </w:r>
      <w:r w:rsidRPr="00804D40">
        <w:rPr>
          <w:rFonts w:cstheme="minorHAnsi"/>
          <w:i/>
        </w:rPr>
        <w:t>$455,000/QALY.</w:t>
      </w:r>
    </w:p>
    <w:p w:rsidR="0011015D" w:rsidRPr="00A54259" w:rsidRDefault="0011015D" w:rsidP="00434533">
      <w:pPr>
        <w:pStyle w:val="PBACESHeading2"/>
      </w:pPr>
      <w:bookmarkStart w:id="34" w:name="_Toc413139283"/>
      <w:bookmarkStart w:id="35" w:name="_Toc497226192"/>
      <w:bookmarkStart w:id="36" w:name="_Toc30411838"/>
      <w:r w:rsidRPr="00A54259">
        <w:t>Drug cost/patient/course: $</w:t>
      </w:r>
      <w:bookmarkEnd w:id="34"/>
      <w:bookmarkEnd w:id="35"/>
      <w:bookmarkEnd w:id="36"/>
      <w:r w:rsidR="00EB2224">
        <w:rPr>
          <w:noProof/>
          <w:color w:val="000000"/>
          <w:highlight w:val="black"/>
        </w:rPr>
        <w:t>'''''''''''''</w:t>
      </w:r>
      <w:r w:rsidR="006910C2">
        <w:t xml:space="preserve"> (based on the price proposed in the submission)</w:t>
      </w:r>
    </w:p>
    <w:p w:rsidR="0011015D" w:rsidRPr="00DD0EBF" w:rsidRDefault="0011015D" w:rsidP="00807E7A">
      <w:pPr>
        <w:pStyle w:val="ListParagraph"/>
      </w:pPr>
      <w:r w:rsidRPr="006F2BB0">
        <w:t xml:space="preserve">Taking into account the </w:t>
      </w:r>
      <w:r w:rsidR="00EB2224">
        <w:rPr>
          <w:noProof/>
          <w:color w:val="000000"/>
          <w:highlight w:val="black"/>
        </w:rPr>
        <w:t>''''''''</w:t>
      </w:r>
      <w:r w:rsidRPr="006F2BB0">
        <w:t>% discount on the ex-manufacturer price</w:t>
      </w:r>
      <w:r w:rsidR="00EE1D2E">
        <w:t xml:space="preserve"> proposed in the submission</w:t>
      </w:r>
      <w:r w:rsidRPr="006F2BB0">
        <w:t>, the dispensed drug cost per treatment course of atezolizumab for PD-L1-positive patients is $</w:t>
      </w:r>
      <w:r w:rsidR="00EB2224">
        <w:rPr>
          <w:noProof/>
          <w:color w:val="000000"/>
          <w:highlight w:val="black"/>
        </w:rPr>
        <w:t>''''''''''''</w:t>
      </w:r>
      <w:r w:rsidRPr="006F2BB0">
        <w:t xml:space="preserve"> based on an average treatment duration of 12.</w:t>
      </w:r>
      <w:r w:rsidR="00F6275F">
        <w:t>47</w:t>
      </w:r>
      <w:r w:rsidRPr="006F2BB0">
        <w:t xml:space="preserve"> months</w:t>
      </w:r>
      <w:r w:rsidR="00C31B50">
        <w:t>, and an average dose of 840</w:t>
      </w:r>
      <w:r w:rsidR="004D42E0">
        <w:t> </w:t>
      </w:r>
      <w:r w:rsidR="00C31B50">
        <w:t>mg every two weeks</w:t>
      </w:r>
      <w:r w:rsidRPr="006F2BB0">
        <w:t>.</w:t>
      </w:r>
      <w:r>
        <w:t xml:space="preserve"> The cost per treatment course for nab-paclitaxel, </w:t>
      </w:r>
      <w:r w:rsidRPr="00DD0EBF">
        <w:t>when in combination with atezolizumab is $</w:t>
      </w:r>
      <w:r w:rsidR="00EB2224">
        <w:rPr>
          <w:noProof/>
          <w:color w:val="000000"/>
          <w:highlight w:val="black"/>
        </w:rPr>
        <w:t>''''''''''''''</w:t>
      </w:r>
      <w:r w:rsidRPr="00DD0EBF">
        <w:t xml:space="preserve"> based on an average duration of </w:t>
      </w:r>
      <w:r w:rsidR="00EB2224">
        <w:rPr>
          <w:noProof/>
          <w:color w:val="000000"/>
          <w:highlight w:val="black"/>
        </w:rPr>
        <w:t>'''''''''</w:t>
      </w:r>
      <w:r w:rsidRPr="00DD0EBF">
        <w:t xml:space="preserve"> months and cost per dose of $</w:t>
      </w:r>
      <w:r w:rsidR="00EB0D0C" w:rsidRPr="00DD0EBF">
        <w:t>805</w:t>
      </w:r>
      <w:r w:rsidRPr="00DD0EBF">
        <w:t xml:space="preserve"> (</w:t>
      </w:r>
      <w:r w:rsidR="004131A0" w:rsidRPr="00DD0EBF">
        <w:t>dose of 100</w:t>
      </w:r>
      <w:r w:rsidR="002A541E" w:rsidRPr="00DD0EBF">
        <w:t> </w:t>
      </w:r>
      <w:r w:rsidR="004131A0" w:rsidRPr="00DD0EBF">
        <w:t>mg/m</w:t>
      </w:r>
      <w:r w:rsidR="004131A0" w:rsidRPr="00DD0EBF">
        <w:rPr>
          <w:vertAlign w:val="superscript"/>
        </w:rPr>
        <w:t>2</w:t>
      </w:r>
      <w:r w:rsidR="004131A0" w:rsidRPr="00DD0EBF">
        <w:t>; BSA = 1.78;</w:t>
      </w:r>
      <w:r w:rsidR="002A541E" w:rsidRPr="00DD0EBF">
        <w:t xml:space="preserve"> </w:t>
      </w:r>
      <w:r w:rsidR="004131A0" w:rsidRPr="00DD0EBF">
        <w:t>2x100</w:t>
      </w:r>
      <w:r w:rsidR="002A541E" w:rsidRPr="00DD0EBF">
        <w:t> </w:t>
      </w:r>
      <w:r w:rsidR="004131A0" w:rsidRPr="00DD0EBF">
        <w:t>mg vials; 33% public hospital use</w:t>
      </w:r>
      <w:r w:rsidRPr="00DD0EBF">
        <w:t>). This equalled a tot</w:t>
      </w:r>
      <w:r w:rsidR="00ED6B32" w:rsidRPr="00DD0EBF">
        <w:t>al cost of $</w:t>
      </w:r>
      <w:r w:rsidR="00EB2224">
        <w:rPr>
          <w:noProof/>
          <w:color w:val="000000"/>
          <w:highlight w:val="black"/>
        </w:rPr>
        <w:t>''''''''''''''</w:t>
      </w:r>
      <w:r w:rsidR="00ED6B32" w:rsidRPr="00DD0EBF">
        <w:t xml:space="preserve"> per patient.</w:t>
      </w:r>
      <w:r w:rsidR="00B47C9E" w:rsidRPr="00DD0EBF">
        <w:t xml:space="preserve"> The pre</w:t>
      </w:r>
      <w:r w:rsidR="00B47C9E" w:rsidRPr="00DD0EBF">
        <w:noBreakHyphen/>
        <w:t>PBAC response proposed a reduction in the effective ex-manufacturer price for atezolizumab from</w:t>
      </w:r>
      <w:r w:rsidR="002A541E" w:rsidRPr="00DD0EBF">
        <w:t xml:space="preserve"> $</w:t>
      </w:r>
      <w:r w:rsidR="00EB2224">
        <w:rPr>
          <w:noProof/>
          <w:color w:val="000000"/>
          <w:highlight w:val="black"/>
        </w:rPr>
        <w:t>'''''''''''''''''</w:t>
      </w:r>
      <w:r w:rsidR="002A541E" w:rsidRPr="00DD0EBF">
        <w:t xml:space="preserve"> to $</w:t>
      </w:r>
      <w:r w:rsidR="00EB2224">
        <w:rPr>
          <w:noProof/>
          <w:color w:val="000000"/>
          <w:highlight w:val="black"/>
        </w:rPr>
        <w:t>'''''''''''''''''</w:t>
      </w:r>
      <w:r w:rsidR="002A541E" w:rsidRPr="00DD0EBF">
        <w:t xml:space="preserve"> per 840 </w:t>
      </w:r>
      <w:r w:rsidR="00B47C9E" w:rsidRPr="00DD0EBF">
        <w:t xml:space="preserve">mg vial, in combination with an </w:t>
      </w:r>
      <w:r w:rsidR="00807E7A" w:rsidRPr="00DD0EBF">
        <w:rPr>
          <w:color w:val="auto"/>
        </w:rPr>
        <w:t>RSA with caps that are</w:t>
      </w:r>
      <w:r w:rsidR="00807E7A" w:rsidRPr="00DD0EBF" w:rsidDel="00807E7A">
        <w:rPr>
          <w:color w:val="auto"/>
        </w:rPr>
        <w:t xml:space="preserve"> </w:t>
      </w:r>
      <w:r w:rsidR="009868D4" w:rsidRPr="00DD0EBF">
        <w:t xml:space="preserve">based on an average </w:t>
      </w:r>
      <w:r w:rsidR="00B47C9E" w:rsidRPr="00DD0EBF">
        <w:t xml:space="preserve">of </w:t>
      </w:r>
      <w:r w:rsidR="00EB2224">
        <w:rPr>
          <w:noProof/>
          <w:color w:val="000000"/>
          <w:highlight w:val="black"/>
        </w:rPr>
        <w:t>'''''</w:t>
      </w:r>
      <w:r w:rsidR="00B47C9E" w:rsidRPr="00DD0EBF">
        <w:t xml:space="preserve"> administrations</w:t>
      </w:r>
      <w:r w:rsidR="009868D4" w:rsidRPr="00DD0EBF">
        <w:t xml:space="preserve"> </w:t>
      </w:r>
      <w:r w:rsidR="009C51E7" w:rsidRPr="00DD0EBF">
        <w:t xml:space="preserve">of atezolizumab </w:t>
      </w:r>
      <w:r w:rsidR="009868D4" w:rsidRPr="00DD0EBF">
        <w:t>per patient</w:t>
      </w:r>
      <w:r w:rsidR="00B47C9E" w:rsidRPr="00DD0EBF">
        <w:t>. The</w:t>
      </w:r>
      <w:r w:rsidR="00584EB7" w:rsidRPr="00DD0EBF">
        <w:t xml:space="preserve"> pre-PBAC response estimated that </w:t>
      </w:r>
      <w:r w:rsidR="00CF7966" w:rsidRPr="00DD0EBF">
        <w:t>this</w:t>
      </w:r>
      <w:r w:rsidR="00B47C9E" w:rsidRPr="00DD0EBF">
        <w:t xml:space="preserve"> </w:t>
      </w:r>
      <w:r w:rsidR="00EE1D2E" w:rsidRPr="00DD0EBF">
        <w:t xml:space="preserve">would </w:t>
      </w:r>
      <w:r w:rsidR="00B47C9E" w:rsidRPr="00DD0EBF">
        <w:t xml:space="preserve">equate to a reduction in the assumed treatment duration from </w:t>
      </w:r>
      <w:r w:rsidR="009748F0" w:rsidRPr="00DD0EBF">
        <w:t xml:space="preserve">12.47 months to </w:t>
      </w:r>
      <w:r w:rsidR="00EB2224">
        <w:rPr>
          <w:noProof/>
          <w:color w:val="000000"/>
          <w:highlight w:val="black"/>
        </w:rPr>
        <w:t>''''''</w:t>
      </w:r>
      <w:r w:rsidR="009748F0" w:rsidRPr="00DD0EBF">
        <w:t xml:space="preserve"> months</w:t>
      </w:r>
      <w:r w:rsidR="00CF7966" w:rsidRPr="00DD0EBF">
        <w:t xml:space="preserve">, and </w:t>
      </w:r>
      <w:r w:rsidR="009748F0" w:rsidRPr="00DD0EBF">
        <w:t>a reduction in the cost per treatment course of atezolizumab for PD-L1</w:t>
      </w:r>
      <w:r w:rsidR="004B7914" w:rsidRPr="00DD0EBF">
        <w:t>-</w:t>
      </w:r>
      <w:r w:rsidR="009748F0" w:rsidRPr="00DD0EBF">
        <w:t>positive patients from $</w:t>
      </w:r>
      <w:r w:rsidR="00EB2224">
        <w:rPr>
          <w:noProof/>
          <w:color w:val="000000"/>
          <w:highlight w:val="black"/>
        </w:rPr>
        <w:t>''''''''''''''</w:t>
      </w:r>
      <w:r w:rsidR="009748F0" w:rsidRPr="00DD0EBF">
        <w:t xml:space="preserve"> to $</w:t>
      </w:r>
      <w:r w:rsidR="00EB2224">
        <w:rPr>
          <w:noProof/>
          <w:color w:val="000000"/>
          <w:highlight w:val="black"/>
        </w:rPr>
        <w:t>''''''''''''''</w:t>
      </w:r>
      <w:r w:rsidR="00CF7966" w:rsidRPr="00DD0EBF">
        <w:t xml:space="preserve"> (atezolizumab drug cost only, as stated in the pre-PBAC response)</w:t>
      </w:r>
      <w:r w:rsidR="009748F0" w:rsidRPr="00DD0EBF">
        <w:t>.</w:t>
      </w:r>
    </w:p>
    <w:p w:rsidR="0011015D" w:rsidRPr="00DD0EBF" w:rsidRDefault="0011015D" w:rsidP="0011015D">
      <w:pPr>
        <w:pStyle w:val="ListParagraph"/>
        <w:numPr>
          <w:ilvl w:val="4"/>
          <w:numId w:val="1"/>
        </w:numPr>
        <w:rPr>
          <w:color w:val="auto"/>
        </w:rPr>
      </w:pPr>
      <w:r w:rsidRPr="00DD0EBF">
        <w:rPr>
          <w:color w:val="auto"/>
        </w:rPr>
        <w:t>In the current scenario</w:t>
      </w:r>
      <w:r w:rsidR="00233612" w:rsidRPr="00DD0EBF">
        <w:rPr>
          <w:color w:val="auto"/>
        </w:rPr>
        <w:t xml:space="preserve"> (as represented by false negative patients treated with nab</w:t>
      </w:r>
      <w:r w:rsidR="00233612" w:rsidRPr="00DD0EBF">
        <w:rPr>
          <w:color w:val="auto"/>
        </w:rPr>
        <w:noBreakHyphen/>
        <w:t>P </w:t>
      </w:r>
      <w:r w:rsidR="00233612" w:rsidRPr="00DD0EBF">
        <w:rPr>
          <w:rStyle w:val="FootnoteReference"/>
          <w:color w:val="auto"/>
        </w:rPr>
        <w:footnoteReference w:id="16"/>
      </w:r>
      <w:r w:rsidR="00233612" w:rsidRPr="00DD0EBF">
        <w:rPr>
          <w:color w:val="auto"/>
        </w:rPr>
        <w:t>)</w:t>
      </w:r>
      <w:r w:rsidRPr="00DD0EBF">
        <w:rPr>
          <w:color w:val="auto"/>
        </w:rPr>
        <w:t>, the expected cost of nab-</w:t>
      </w:r>
      <w:r w:rsidR="00EC50BD" w:rsidRPr="00DD0EBF">
        <w:rPr>
          <w:color w:val="auto"/>
        </w:rPr>
        <w:t>paclitaxel</w:t>
      </w:r>
      <w:r w:rsidRPr="00DD0EBF">
        <w:rPr>
          <w:color w:val="auto"/>
        </w:rPr>
        <w:t xml:space="preserve"> for PD-L1</w:t>
      </w:r>
      <w:r w:rsidR="00C31B50" w:rsidRPr="00DD0EBF">
        <w:rPr>
          <w:color w:val="auto"/>
        </w:rPr>
        <w:t>-positive</w:t>
      </w:r>
      <w:r w:rsidRPr="00DD0EBF">
        <w:rPr>
          <w:color w:val="auto"/>
        </w:rPr>
        <w:t xml:space="preserve"> patients is $</w:t>
      </w:r>
      <w:r w:rsidR="00EB2224">
        <w:rPr>
          <w:noProof/>
          <w:color w:val="000000"/>
          <w:highlight w:val="black"/>
        </w:rPr>
        <w:t>''''''''''''''</w:t>
      </w:r>
      <w:r w:rsidRPr="00DD0EBF">
        <w:rPr>
          <w:color w:val="auto"/>
        </w:rPr>
        <w:t xml:space="preserve"> based on an average duration of </w:t>
      </w:r>
      <w:r w:rsidR="00EB2224">
        <w:rPr>
          <w:noProof/>
          <w:color w:val="000000"/>
          <w:highlight w:val="black"/>
        </w:rPr>
        <w:t>''''''''</w:t>
      </w:r>
      <w:r w:rsidRPr="00DD0EBF">
        <w:rPr>
          <w:color w:val="auto"/>
        </w:rPr>
        <w:t xml:space="preserve"> months and a cost per dose of $805 (dose of 100</w:t>
      </w:r>
      <w:r w:rsidR="002A541E" w:rsidRPr="00DD0EBF">
        <w:rPr>
          <w:color w:val="auto"/>
        </w:rPr>
        <w:t> </w:t>
      </w:r>
      <w:r w:rsidRPr="00DD0EBF">
        <w:rPr>
          <w:color w:val="auto"/>
        </w:rPr>
        <w:t>mg/m</w:t>
      </w:r>
      <w:r w:rsidRPr="00DD0EBF">
        <w:rPr>
          <w:color w:val="auto"/>
          <w:vertAlign w:val="superscript"/>
        </w:rPr>
        <w:t>2</w:t>
      </w:r>
      <w:r w:rsidRPr="00DD0EBF">
        <w:rPr>
          <w:color w:val="auto"/>
        </w:rPr>
        <w:t>; BSA = 1.78;</w:t>
      </w:r>
      <w:r w:rsidR="002A541E" w:rsidRPr="00DD0EBF">
        <w:rPr>
          <w:color w:val="auto"/>
        </w:rPr>
        <w:t xml:space="preserve"> </w:t>
      </w:r>
      <w:r w:rsidRPr="00DD0EBF">
        <w:rPr>
          <w:color w:val="auto"/>
        </w:rPr>
        <w:t>2x100</w:t>
      </w:r>
      <w:r w:rsidR="002A541E" w:rsidRPr="00DD0EBF">
        <w:rPr>
          <w:color w:val="auto"/>
        </w:rPr>
        <w:t> </w:t>
      </w:r>
      <w:r w:rsidRPr="00DD0EBF">
        <w:rPr>
          <w:color w:val="auto"/>
        </w:rPr>
        <w:t>mg vials; 33% public hospital use)</w:t>
      </w:r>
      <w:r w:rsidR="003A3126" w:rsidRPr="00DD0EBF">
        <w:rPr>
          <w:color w:val="auto"/>
        </w:rPr>
        <w:t>, based on the estimates provided in the submission</w:t>
      </w:r>
      <w:r w:rsidR="001A29C7" w:rsidRPr="00DD0EBF">
        <w:rPr>
          <w:color w:val="auto"/>
        </w:rPr>
        <w:t>.</w:t>
      </w:r>
    </w:p>
    <w:p w:rsidR="0011015D" w:rsidRPr="006F2BB0" w:rsidRDefault="0011015D" w:rsidP="0011015D">
      <w:pPr>
        <w:pStyle w:val="ListParagraph"/>
        <w:numPr>
          <w:ilvl w:val="4"/>
          <w:numId w:val="1"/>
        </w:numPr>
        <w:rPr>
          <w:color w:val="auto"/>
        </w:rPr>
      </w:pPr>
      <w:r w:rsidRPr="006F2BB0">
        <w:rPr>
          <w:color w:val="auto"/>
        </w:rPr>
        <w:t>The average duration of therapy and average medicine costs per patients for each of the test/treatment pathways are provided in</w:t>
      </w:r>
      <w:r>
        <w:rPr>
          <w:color w:val="auto"/>
        </w:rPr>
        <w:t xml:space="preserve"> </w:t>
      </w:r>
      <w:r w:rsidR="00074BE0">
        <w:t xml:space="preserve">Table </w:t>
      </w:r>
      <w:r w:rsidR="00074BE0">
        <w:rPr>
          <w:noProof/>
        </w:rPr>
        <w:t>16</w:t>
      </w:r>
      <w:r w:rsidR="007B5085">
        <w:rPr>
          <w:color w:val="auto"/>
        </w:rPr>
        <w:t xml:space="preserve"> (based on the values provided in the submission)</w:t>
      </w:r>
      <w:r w:rsidR="00ED6B32">
        <w:rPr>
          <w:color w:val="auto"/>
        </w:rPr>
        <w:t>.</w:t>
      </w:r>
    </w:p>
    <w:p w:rsidR="0011015D" w:rsidRDefault="0011015D" w:rsidP="00EF5451">
      <w:pPr>
        <w:pStyle w:val="Caption"/>
        <w:keepLines/>
        <w:ind w:left="0" w:firstLine="0"/>
      </w:pPr>
      <w:bookmarkStart w:id="37" w:name="_Ref26547056"/>
      <w:r>
        <w:lastRenderedPageBreak/>
        <w:t>Table</w:t>
      </w:r>
      <w:r w:rsidR="00ED6B32">
        <w:t xml:space="preserve"> </w:t>
      </w:r>
      <w:r w:rsidR="00074BE0">
        <w:rPr>
          <w:noProof/>
        </w:rPr>
        <w:t>16</w:t>
      </w:r>
      <w:bookmarkEnd w:id="37"/>
      <w:r w:rsidR="00EF5451">
        <w:rPr>
          <w:noProof/>
        </w:rPr>
        <w:t xml:space="preserve">: </w:t>
      </w:r>
      <w:r>
        <w:t>Calculation of the cost per patient per course for each of the included medicines (undiscounted)</w:t>
      </w:r>
      <w:r w:rsidR="003A3126">
        <w:t>, based on the submission</w:t>
      </w:r>
    </w:p>
    <w:tbl>
      <w:tblPr>
        <w:tblStyle w:val="PBACTableStyle"/>
        <w:tblW w:w="0" w:type="auto"/>
        <w:tblLook w:val="04A0" w:firstRow="1" w:lastRow="0" w:firstColumn="1" w:lastColumn="0" w:noHBand="0" w:noVBand="1"/>
        <w:tblCaption w:val="Calculation of the cost per patient per course for each of the included medicines (undiscounted), based on the submission"/>
      </w:tblPr>
      <w:tblGrid>
        <w:gridCol w:w="2263"/>
        <w:gridCol w:w="1276"/>
        <w:gridCol w:w="1418"/>
        <w:gridCol w:w="1417"/>
        <w:gridCol w:w="1418"/>
        <w:gridCol w:w="1224"/>
      </w:tblGrid>
      <w:tr w:rsidR="0011015D" w:rsidRPr="00FF34D6" w:rsidTr="00ED6B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vMerge w:val="restart"/>
          </w:tcPr>
          <w:p w:rsidR="0011015D" w:rsidRDefault="0011015D" w:rsidP="00F6275F">
            <w:pPr>
              <w:pStyle w:val="Tabletext1"/>
              <w:keepNext/>
              <w:keepLines/>
            </w:pPr>
          </w:p>
        </w:tc>
        <w:tc>
          <w:tcPr>
            <w:tcW w:w="5529" w:type="dxa"/>
            <w:gridSpan w:val="4"/>
          </w:tcPr>
          <w:p w:rsidR="0011015D" w:rsidRPr="00FF34D6" w:rsidRDefault="0011015D" w:rsidP="00F6275F">
            <w:pPr>
              <w:pStyle w:val="Tabletext1"/>
              <w:keepNext/>
              <w:keepLines/>
              <w:jc w:val="center"/>
              <w:cnfStyle w:val="100000000000" w:firstRow="1" w:lastRow="0" w:firstColumn="0" w:lastColumn="0" w:oddVBand="0" w:evenVBand="0" w:oddHBand="0" w:evenHBand="0" w:firstRowFirstColumn="0" w:firstRowLastColumn="0" w:lastRowFirstColumn="0" w:lastRowLastColumn="0"/>
            </w:pPr>
            <w:r>
              <w:t>Proposed scenario</w:t>
            </w:r>
          </w:p>
        </w:tc>
        <w:tc>
          <w:tcPr>
            <w:tcW w:w="1224" w:type="dxa"/>
          </w:tcPr>
          <w:p w:rsidR="0011015D" w:rsidRPr="00FF34D6" w:rsidRDefault="0011015D" w:rsidP="00F6275F">
            <w:pPr>
              <w:pStyle w:val="Tabletext1"/>
              <w:keepNext/>
              <w:keepLines/>
              <w:jc w:val="center"/>
              <w:cnfStyle w:val="100000000000" w:firstRow="1" w:lastRow="0" w:firstColumn="0" w:lastColumn="0" w:oddVBand="0" w:evenVBand="0" w:oddHBand="0" w:evenHBand="0" w:firstRowFirstColumn="0" w:firstRowLastColumn="0" w:lastRowFirstColumn="0" w:lastRowLastColumn="0"/>
            </w:pPr>
            <w:r>
              <w:t>Current scenario</w:t>
            </w:r>
          </w:p>
        </w:tc>
      </w:tr>
      <w:tr w:rsidR="0011015D" w:rsidRPr="00FF34D6" w:rsidTr="002A541E">
        <w:tc>
          <w:tcPr>
            <w:cnfStyle w:val="001000000000" w:firstRow="0" w:lastRow="0" w:firstColumn="1" w:lastColumn="0" w:oddVBand="0" w:evenVBand="0" w:oddHBand="0" w:evenHBand="0" w:firstRowFirstColumn="0" w:firstRowLastColumn="0" w:lastRowFirstColumn="0" w:lastRowLastColumn="0"/>
            <w:tcW w:w="2263" w:type="dxa"/>
            <w:vMerge/>
          </w:tcPr>
          <w:p w:rsidR="0011015D" w:rsidRDefault="0011015D" w:rsidP="00F6275F">
            <w:pPr>
              <w:pStyle w:val="Tabletext1"/>
              <w:keepNext/>
              <w:keepLines/>
            </w:pPr>
          </w:p>
        </w:tc>
        <w:tc>
          <w:tcPr>
            <w:tcW w:w="2694" w:type="dxa"/>
            <w:gridSpan w:val="2"/>
          </w:tcPr>
          <w:p w:rsidR="0011015D" w:rsidRPr="001241BB" w:rsidRDefault="0011015D" w:rsidP="00F6275F">
            <w:pPr>
              <w:pStyle w:val="Tabletext1"/>
              <w:keepNext/>
              <w:keepLines/>
              <w:jc w:val="center"/>
              <w:cnfStyle w:val="000000000000" w:firstRow="0" w:lastRow="0" w:firstColumn="0" w:lastColumn="0" w:oddVBand="0" w:evenVBand="0" w:oddHBand="0" w:evenHBand="0" w:firstRowFirstColumn="0" w:firstRowLastColumn="0" w:lastRowFirstColumn="0" w:lastRowLastColumn="0"/>
              <w:rPr>
                <w:b/>
              </w:rPr>
            </w:pPr>
            <w:r w:rsidRPr="001241BB">
              <w:rPr>
                <w:b/>
              </w:rPr>
              <w:t>Test positive: ATZ+nab-P</w:t>
            </w:r>
          </w:p>
        </w:tc>
        <w:tc>
          <w:tcPr>
            <w:tcW w:w="2835" w:type="dxa"/>
            <w:gridSpan w:val="2"/>
          </w:tcPr>
          <w:p w:rsidR="0011015D" w:rsidRPr="001241BB" w:rsidRDefault="0011015D" w:rsidP="00F6275F">
            <w:pPr>
              <w:pStyle w:val="Tabletext1"/>
              <w:keepNext/>
              <w:keepLines/>
              <w:jc w:val="center"/>
              <w:cnfStyle w:val="000000000000" w:firstRow="0" w:lastRow="0" w:firstColumn="0" w:lastColumn="0" w:oddVBand="0" w:evenVBand="0" w:oddHBand="0" w:evenHBand="0" w:firstRowFirstColumn="0" w:firstRowLastColumn="0" w:lastRowFirstColumn="0" w:lastRowLastColumn="0"/>
              <w:rPr>
                <w:b/>
              </w:rPr>
            </w:pPr>
            <w:r w:rsidRPr="001241BB">
              <w:rPr>
                <w:b/>
              </w:rPr>
              <w:t>Test negative: nab-P</w:t>
            </w:r>
          </w:p>
        </w:tc>
        <w:tc>
          <w:tcPr>
            <w:tcW w:w="1224" w:type="dxa"/>
            <w:vMerge w:val="restart"/>
          </w:tcPr>
          <w:p w:rsidR="0011015D" w:rsidRPr="00FF34D6" w:rsidRDefault="0011015D" w:rsidP="00F6275F">
            <w:pPr>
              <w:pStyle w:val="Tabletext1"/>
              <w:keepNext/>
              <w:keepLines/>
              <w:jc w:val="center"/>
              <w:cnfStyle w:val="000000000000" w:firstRow="0" w:lastRow="0" w:firstColumn="0" w:lastColumn="0" w:oddVBand="0" w:evenVBand="0" w:oddHBand="0" w:evenHBand="0" w:firstRowFirstColumn="0" w:firstRowLastColumn="0" w:lastRowFirstColumn="0" w:lastRowLastColumn="0"/>
            </w:pPr>
            <w:r w:rsidRPr="00FF34D6">
              <w:t>ITT</w:t>
            </w:r>
          </w:p>
        </w:tc>
      </w:tr>
      <w:tr w:rsidR="0011015D" w:rsidTr="002A541E">
        <w:tc>
          <w:tcPr>
            <w:cnfStyle w:val="001000000000" w:firstRow="0" w:lastRow="0" w:firstColumn="1" w:lastColumn="0" w:oddVBand="0" w:evenVBand="0" w:oddHBand="0" w:evenHBand="0" w:firstRowFirstColumn="0" w:firstRowLastColumn="0" w:lastRowFirstColumn="0" w:lastRowLastColumn="0"/>
            <w:tcW w:w="2263" w:type="dxa"/>
            <w:vMerge/>
          </w:tcPr>
          <w:p w:rsidR="0011015D" w:rsidRDefault="0011015D" w:rsidP="00F6275F">
            <w:pPr>
              <w:pStyle w:val="Tabletext1"/>
              <w:keepNext/>
              <w:keepLines/>
            </w:pPr>
          </w:p>
        </w:tc>
        <w:tc>
          <w:tcPr>
            <w:tcW w:w="1276" w:type="dxa"/>
          </w:tcPr>
          <w:p w:rsidR="0011015D" w:rsidRPr="001241BB" w:rsidRDefault="0011015D" w:rsidP="004B7914">
            <w:pPr>
              <w:pStyle w:val="Tabletext1"/>
              <w:keepNext/>
              <w:keepLines/>
              <w:jc w:val="center"/>
              <w:cnfStyle w:val="000000000000" w:firstRow="0" w:lastRow="0" w:firstColumn="0" w:lastColumn="0" w:oddVBand="0" w:evenVBand="0" w:oddHBand="0" w:evenHBand="0" w:firstRowFirstColumn="0" w:firstRowLastColumn="0" w:lastRowFirstColumn="0" w:lastRowLastColumn="0"/>
              <w:rPr>
                <w:b/>
              </w:rPr>
            </w:pPr>
            <w:r w:rsidRPr="001241BB">
              <w:rPr>
                <w:b/>
              </w:rPr>
              <w:t>True</w:t>
            </w:r>
            <w:r w:rsidR="004B7914">
              <w:rPr>
                <w:b/>
              </w:rPr>
              <w:t xml:space="preserve"> </w:t>
            </w:r>
            <w:r w:rsidRPr="001241BB">
              <w:rPr>
                <w:b/>
              </w:rPr>
              <w:t>positive</w:t>
            </w:r>
          </w:p>
        </w:tc>
        <w:tc>
          <w:tcPr>
            <w:tcW w:w="1418" w:type="dxa"/>
          </w:tcPr>
          <w:p w:rsidR="0011015D" w:rsidRPr="001241BB" w:rsidRDefault="0011015D" w:rsidP="004B7914">
            <w:pPr>
              <w:pStyle w:val="Tabletext1"/>
              <w:keepNext/>
              <w:keepLines/>
              <w:jc w:val="center"/>
              <w:cnfStyle w:val="000000000000" w:firstRow="0" w:lastRow="0" w:firstColumn="0" w:lastColumn="0" w:oddVBand="0" w:evenVBand="0" w:oddHBand="0" w:evenHBand="0" w:firstRowFirstColumn="0" w:firstRowLastColumn="0" w:lastRowFirstColumn="0" w:lastRowLastColumn="0"/>
              <w:rPr>
                <w:b/>
              </w:rPr>
            </w:pPr>
            <w:r w:rsidRPr="001241BB">
              <w:rPr>
                <w:b/>
              </w:rPr>
              <w:t>False</w:t>
            </w:r>
            <w:r w:rsidR="004B7914">
              <w:rPr>
                <w:b/>
              </w:rPr>
              <w:t xml:space="preserve"> </w:t>
            </w:r>
            <w:r w:rsidRPr="001241BB">
              <w:rPr>
                <w:b/>
              </w:rPr>
              <w:t>positive</w:t>
            </w:r>
            <w:r w:rsidR="00002AC9" w:rsidRPr="00002AC9">
              <w:rPr>
                <w:b/>
                <w:vertAlign w:val="superscript"/>
              </w:rPr>
              <w:t>a</w:t>
            </w:r>
          </w:p>
        </w:tc>
        <w:tc>
          <w:tcPr>
            <w:tcW w:w="1417" w:type="dxa"/>
          </w:tcPr>
          <w:p w:rsidR="0011015D" w:rsidRPr="001241BB" w:rsidRDefault="0011015D" w:rsidP="004B7914">
            <w:pPr>
              <w:pStyle w:val="Tabletext1"/>
              <w:keepNext/>
              <w:keepLines/>
              <w:jc w:val="center"/>
              <w:cnfStyle w:val="000000000000" w:firstRow="0" w:lastRow="0" w:firstColumn="0" w:lastColumn="0" w:oddVBand="0" w:evenVBand="0" w:oddHBand="0" w:evenHBand="0" w:firstRowFirstColumn="0" w:firstRowLastColumn="0" w:lastRowFirstColumn="0" w:lastRowLastColumn="0"/>
              <w:rPr>
                <w:b/>
              </w:rPr>
            </w:pPr>
            <w:r w:rsidRPr="001241BB">
              <w:rPr>
                <w:b/>
              </w:rPr>
              <w:t>True</w:t>
            </w:r>
            <w:r w:rsidR="004B7914">
              <w:rPr>
                <w:b/>
              </w:rPr>
              <w:t xml:space="preserve"> </w:t>
            </w:r>
            <w:r w:rsidRPr="001241BB">
              <w:rPr>
                <w:b/>
              </w:rPr>
              <w:t>negative</w:t>
            </w:r>
          </w:p>
        </w:tc>
        <w:tc>
          <w:tcPr>
            <w:tcW w:w="1418" w:type="dxa"/>
          </w:tcPr>
          <w:p w:rsidR="0011015D" w:rsidRPr="001241BB" w:rsidRDefault="0011015D" w:rsidP="00F6275F">
            <w:pPr>
              <w:pStyle w:val="Tabletext1"/>
              <w:keepNext/>
              <w:keepLines/>
              <w:jc w:val="center"/>
              <w:cnfStyle w:val="000000000000" w:firstRow="0" w:lastRow="0" w:firstColumn="0" w:lastColumn="0" w:oddVBand="0" w:evenVBand="0" w:oddHBand="0" w:evenHBand="0" w:firstRowFirstColumn="0" w:firstRowLastColumn="0" w:lastRowFirstColumn="0" w:lastRowLastColumn="0"/>
              <w:rPr>
                <w:b/>
              </w:rPr>
            </w:pPr>
            <w:r w:rsidRPr="001241BB">
              <w:rPr>
                <w:b/>
              </w:rPr>
              <w:t>F</w:t>
            </w:r>
            <w:r w:rsidR="004B7914">
              <w:rPr>
                <w:b/>
              </w:rPr>
              <w:t xml:space="preserve">alse </w:t>
            </w:r>
            <w:r w:rsidRPr="001241BB">
              <w:rPr>
                <w:b/>
              </w:rPr>
              <w:t>negative</w:t>
            </w:r>
            <w:r w:rsidR="00002AC9" w:rsidRPr="00002AC9">
              <w:rPr>
                <w:b/>
                <w:vertAlign w:val="superscript"/>
              </w:rPr>
              <w:t>a</w:t>
            </w:r>
          </w:p>
        </w:tc>
        <w:tc>
          <w:tcPr>
            <w:tcW w:w="1224" w:type="dxa"/>
            <w:vMerge/>
          </w:tcPr>
          <w:p w:rsidR="0011015D" w:rsidRDefault="0011015D" w:rsidP="00F6275F">
            <w:pPr>
              <w:pStyle w:val="Tabletext1"/>
              <w:keepNext/>
              <w:keepLines/>
              <w:jc w:val="center"/>
              <w:cnfStyle w:val="000000000000" w:firstRow="0" w:lastRow="0" w:firstColumn="0" w:lastColumn="0" w:oddVBand="0" w:evenVBand="0" w:oddHBand="0" w:evenHBand="0" w:firstRowFirstColumn="0" w:firstRowLastColumn="0" w:lastRowFirstColumn="0" w:lastRowLastColumn="0"/>
            </w:pPr>
          </w:p>
        </w:tc>
      </w:tr>
      <w:tr w:rsidR="0011015D" w:rsidTr="002A541E">
        <w:tc>
          <w:tcPr>
            <w:cnfStyle w:val="001000000000" w:firstRow="0" w:lastRow="0" w:firstColumn="1" w:lastColumn="0" w:oddVBand="0" w:evenVBand="0" w:oddHBand="0" w:evenHBand="0" w:firstRowFirstColumn="0" w:firstRowLastColumn="0" w:lastRowFirstColumn="0" w:lastRowLastColumn="0"/>
            <w:tcW w:w="2263" w:type="dxa"/>
          </w:tcPr>
          <w:p w:rsidR="0011015D" w:rsidRDefault="0011015D" w:rsidP="00F6275F">
            <w:pPr>
              <w:pStyle w:val="Tabletext1"/>
              <w:keepNext/>
              <w:keepLines/>
            </w:pPr>
            <w:r>
              <w:t>% patients (weight)</w:t>
            </w:r>
          </w:p>
        </w:tc>
        <w:tc>
          <w:tcPr>
            <w:tcW w:w="1276" w:type="dxa"/>
          </w:tcPr>
          <w:p w:rsidR="0011015D" w:rsidRPr="00FF34D6" w:rsidRDefault="0011015D" w:rsidP="00F6275F">
            <w:pPr>
              <w:pStyle w:val="Tabletext1"/>
              <w:keepNext/>
              <w:keepLines/>
              <w:jc w:val="center"/>
              <w:cnfStyle w:val="000000000000" w:firstRow="0" w:lastRow="0" w:firstColumn="0" w:lastColumn="0" w:oddVBand="0" w:evenVBand="0" w:oddHBand="0" w:evenHBand="0" w:firstRowFirstColumn="0" w:firstRowLastColumn="0" w:lastRowFirstColumn="0" w:lastRowLastColumn="0"/>
            </w:pPr>
            <w:r w:rsidRPr="0066087D">
              <w:t>38.1%</w:t>
            </w:r>
          </w:p>
        </w:tc>
        <w:tc>
          <w:tcPr>
            <w:tcW w:w="1418" w:type="dxa"/>
          </w:tcPr>
          <w:p w:rsidR="0011015D" w:rsidRPr="00FF34D6" w:rsidRDefault="0011015D" w:rsidP="00F6275F">
            <w:pPr>
              <w:pStyle w:val="Tabletext1"/>
              <w:keepNext/>
              <w:keepLines/>
              <w:jc w:val="center"/>
              <w:cnfStyle w:val="000000000000" w:firstRow="0" w:lastRow="0" w:firstColumn="0" w:lastColumn="0" w:oddVBand="0" w:evenVBand="0" w:oddHBand="0" w:evenHBand="0" w:firstRowFirstColumn="0" w:firstRowLastColumn="0" w:lastRowFirstColumn="0" w:lastRowLastColumn="0"/>
            </w:pPr>
            <w:r w:rsidRPr="0066087D">
              <w:t>2.8%</w:t>
            </w:r>
          </w:p>
        </w:tc>
        <w:tc>
          <w:tcPr>
            <w:tcW w:w="1417" w:type="dxa"/>
          </w:tcPr>
          <w:p w:rsidR="0011015D" w:rsidRPr="00FF34D6" w:rsidRDefault="0011015D" w:rsidP="00F6275F">
            <w:pPr>
              <w:pStyle w:val="Tabletext1"/>
              <w:keepNext/>
              <w:keepLines/>
              <w:jc w:val="center"/>
              <w:cnfStyle w:val="000000000000" w:firstRow="0" w:lastRow="0" w:firstColumn="0" w:lastColumn="0" w:oddVBand="0" w:evenVBand="0" w:oddHBand="0" w:evenHBand="0" w:firstRowFirstColumn="0" w:firstRowLastColumn="0" w:lastRowFirstColumn="0" w:lastRowLastColumn="0"/>
            </w:pPr>
            <w:r w:rsidRPr="0066087D">
              <w:t>57.1%</w:t>
            </w:r>
          </w:p>
        </w:tc>
        <w:tc>
          <w:tcPr>
            <w:tcW w:w="1418" w:type="dxa"/>
          </w:tcPr>
          <w:p w:rsidR="0011015D" w:rsidRPr="00FF34D6" w:rsidRDefault="0011015D" w:rsidP="00F6275F">
            <w:pPr>
              <w:pStyle w:val="Tabletext1"/>
              <w:keepNext/>
              <w:keepLines/>
              <w:jc w:val="center"/>
              <w:cnfStyle w:val="000000000000" w:firstRow="0" w:lastRow="0" w:firstColumn="0" w:lastColumn="0" w:oddVBand="0" w:evenVBand="0" w:oddHBand="0" w:evenHBand="0" w:firstRowFirstColumn="0" w:firstRowLastColumn="0" w:lastRowFirstColumn="0" w:lastRowLastColumn="0"/>
            </w:pPr>
            <w:r w:rsidRPr="0066087D">
              <w:t>2.0%</w:t>
            </w:r>
          </w:p>
        </w:tc>
        <w:tc>
          <w:tcPr>
            <w:tcW w:w="1224" w:type="dxa"/>
          </w:tcPr>
          <w:p w:rsidR="0011015D" w:rsidRDefault="0011015D" w:rsidP="00F6275F">
            <w:pPr>
              <w:pStyle w:val="Tabletext1"/>
              <w:keepNext/>
              <w:keepLines/>
              <w:jc w:val="center"/>
              <w:cnfStyle w:val="000000000000" w:firstRow="0" w:lastRow="0" w:firstColumn="0" w:lastColumn="0" w:oddVBand="0" w:evenVBand="0" w:oddHBand="0" w:evenHBand="0" w:firstRowFirstColumn="0" w:firstRowLastColumn="0" w:lastRowFirstColumn="0" w:lastRowLastColumn="0"/>
            </w:pPr>
            <w:r w:rsidRPr="0066087D">
              <w:t>100%</w:t>
            </w:r>
          </w:p>
        </w:tc>
      </w:tr>
      <w:tr w:rsidR="0011015D" w:rsidRPr="0066087D" w:rsidTr="00656330">
        <w:tc>
          <w:tcPr>
            <w:cnfStyle w:val="001000000000" w:firstRow="0" w:lastRow="0" w:firstColumn="1" w:lastColumn="0" w:oddVBand="0" w:evenVBand="0" w:oddHBand="0" w:evenHBand="0" w:firstRowFirstColumn="0" w:firstRowLastColumn="0" w:lastRowFirstColumn="0" w:lastRowLastColumn="0"/>
            <w:tcW w:w="9016" w:type="dxa"/>
            <w:gridSpan w:val="6"/>
          </w:tcPr>
          <w:p w:rsidR="0011015D" w:rsidRPr="001241BB" w:rsidRDefault="0011015D" w:rsidP="00F6275F">
            <w:pPr>
              <w:pStyle w:val="Tabletext1"/>
              <w:keepNext/>
              <w:keepLines/>
              <w:rPr>
                <w:b/>
              </w:rPr>
            </w:pPr>
            <w:r w:rsidRPr="001241BB">
              <w:rPr>
                <w:b/>
              </w:rPr>
              <w:t>Average duration of therapy</w:t>
            </w:r>
            <w:r w:rsidR="002A541E">
              <w:rPr>
                <w:b/>
              </w:rPr>
              <w:t xml:space="preserve"> (months)</w:t>
            </w:r>
          </w:p>
        </w:tc>
      </w:tr>
      <w:tr w:rsidR="0011015D" w:rsidTr="002A541E">
        <w:tc>
          <w:tcPr>
            <w:cnfStyle w:val="001000000000" w:firstRow="0" w:lastRow="0" w:firstColumn="1" w:lastColumn="0" w:oddVBand="0" w:evenVBand="0" w:oddHBand="0" w:evenHBand="0" w:firstRowFirstColumn="0" w:firstRowLastColumn="0" w:lastRowFirstColumn="0" w:lastRowLastColumn="0"/>
            <w:tcW w:w="2263" w:type="dxa"/>
          </w:tcPr>
          <w:p w:rsidR="0011015D" w:rsidRPr="005F79FA" w:rsidRDefault="0011015D" w:rsidP="00F6275F">
            <w:pPr>
              <w:pStyle w:val="Tabletext1"/>
              <w:keepNext/>
              <w:keepLines/>
            </w:pPr>
            <w:r w:rsidRPr="005F79FA">
              <w:t>Atezolizumab</w:t>
            </w:r>
          </w:p>
        </w:tc>
        <w:tc>
          <w:tcPr>
            <w:tcW w:w="1276" w:type="dxa"/>
          </w:tcPr>
          <w:p w:rsidR="0011015D" w:rsidRPr="005F79FA" w:rsidRDefault="0011015D" w:rsidP="00F6275F">
            <w:pPr>
              <w:pStyle w:val="Tabletext1"/>
              <w:keepNext/>
              <w:keepLines/>
              <w:jc w:val="center"/>
              <w:cnfStyle w:val="000000000000" w:firstRow="0" w:lastRow="0" w:firstColumn="0" w:lastColumn="0" w:oddVBand="0" w:evenVBand="0" w:oddHBand="0" w:evenHBand="0" w:firstRowFirstColumn="0" w:firstRowLastColumn="0" w:lastRowFirstColumn="0" w:lastRowLastColumn="0"/>
            </w:pPr>
            <w:r w:rsidRPr="005F79FA">
              <w:t>12.47</w:t>
            </w:r>
          </w:p>
        </w:tc>
        <w:tc>
          <w:tcPr>
            <w:tcW w:w="1418" w:type="dxa"/>
          </w:tcPr>
          <w:p w:rsidR="0011015D" w:rsidRPr="005F79FA" w:rsidRDefault="0011015D" w:rsidP="002A541E">
            <w:pPr>
              <w:pStyle w:val="Tabletext1"/>
              <w:keepNext/>
              <w:keepLines/>
              <w:jc w:val="center"/>
              <w:cnfStyle w:val="000000000000" w:firstRow="0" w:lastRow="0" w:firstColumn="0" w:lastColumn="0" w:oddVBand="0" w:evenVBand="0" w:oddHBand="0" w:evenHBand="0" w:firstRowFirstColumn="0" w:firstRowLastColumn="0" w:lastRowFirstColumn="0" w:lastRowLastColumn="0"/>
            </w:pPr>
            <w:r w:rsidRPr="005F79FA">
              <w:t>8.91</w:t>
            </w:r>
          </w:p>
        </w:tc>
        <w:tc>
          <w:tcPr>
            <w:tcW w:w="1417" w:type="dxa"/>
          </w:tcPr>
          <w:p w:rsidR="0011015D" w:rsidRPr="005F79FA" w:rsidRDefault="0011015D" w:rsidP="00F6275F">
            <w:pPr>
              <w:pStyle w:val="Tabletext1"/>
              <w:keepNext/>
              <w:keepLines/>
              <w:jc w:val="center"/>
              <w:cnfStyle w:val="000000000000" w:firstRow="0" w:lastRow="0" w:firstColumn="0" w:lastColumn="0" w:oddVBand="0" w:evenVBand="0" w:oddHBand="0" w:evenHBand="0" w:firstRowFirstColumn="0" w:firstRowLastColumn="0" w:lastRowFirstColumn="0" w:lastRowLastColumn="0"/>
            </w:pPr>
          </w:p>
        </w:tc>
        <w:tc>
          <w:tcPr>
            <w:tcW w:w="1418" w:type="dxa"/>
          </w:tcPr>
          <w:p w:rsidR="0011015D" w:rsidRPr="005F79FA" w:rsidRDefault="0011015D" w:rsidP="00F6275F">
            <w:pPr>
              <w:pStyle w:val="Tabletext1"/>
              <w:keepNext/>
              <w:keepLines/>
              <w:jc w:val="center"/>
              <w:cnfStyle w:val="000000000000" w:firstRow="0" w:lastRow="0" w:firstColumn="0" w:lastColumn="0" w:oddVBand="0" w:evenVBand="0" w:oddHBand="0" w:evenHBand="0" w:firstRowFirstColumn="0" w:firstRowLastColumn="0" w:lastRowFirstColumn="0" w:lastRowLastColumn="0"/>
            </w:pPr>
          </w:p>
        </w:tc>
        <w:tc>
          <w:tcPr>
            <w:tcW w:w="1224" w:type="dxa"/>
          </w:tcPr>
          <w:p w:rsidR="0011015D" w:rsidRPr="005F79FA" w:rsidRDefault="0011015D" w:rsidP="00F6275F">
            <w:pPr>
              <w:pStyle w:val="Tabletext1"/>
              <w:keepNext/>
              <w:keepLines/>
              <w:jc w:val="center"/>
              <w:cnfStyle w:val="000000000000" w:firstRow="0" w:lastRow="0" w:firstColumn="0" w:lastColumn="0" w:oddVBand="0" w:evenVBand="0" w:oddHBand="0" w:evenHBand="0" w:firstRowFirstColumn="0" w:firstRowLastColumn="0" w:lastRowFirstColumn="0" w:lastRowLastColumn="0"/>
            </w:pPr>
          </w:p>
        </w:tc>
      </w:tr>
      <w:tr w:rsidR="0011015D" w:rsidTr="002A541E">
        <w:tc>
          <w:tcPr>
            <w:cnfStyle w:val="001000000000" w:firstRow="0" w:lastRow="0" w:firstColumn="1" w:lastColumn="0" w:oddVBand="0" w:evenVBand="0" w:oddHBand="0" w:evenHBand="0" w:firstRowFirstColumn="0" w:firstRowLastColumn="0" w:lastRowFirstColumn="0" w:lastRowLastColumn="0"/>
            <w:tcW w:w="2263" w:type="dxa"/>
          </w:tcPr>
          <w:p w:rsidR="0011015D" w:rsidRPr="005F79FA" w:rsidRDefault="0011015D" w:rsidP="00F6275F">
            <w:pPr>
              <w:pStyle w:val="Tabletext1"/>
              <w:keepNext/>
              <w:keepLines/>
            </w:pPr>
            <w:r w:rsidRPr="005F79FA">
              <w:t>Nab-P</w:t>
            </w:r>
          </w:p>
        </w:tc>
        <w:tc>
          <w:tcPr>
            <w:tcW w:w="1276" w:type="dxa"/>
          </w:tcPr>
          <w:p w:rsidR="0011015D" w:rsidRPr="00EB2224" w:rsidRDefault="00EB2224" w:rsidP="00F6275F">
            <w:pPr>
              <w:pStyle w:val="Tabletext1"/>
              <w:keepNext/>
              <w:keepLines/>
              <w:jc w:val="center"/>
              <w:cnfStyle w:val="000000000000" w:firstRow="0" w:lastRow="0" w:firstColumn="0" w:lastColumn="0" w:oddVBand="0" w:evenVBand="0" w:oddHBand="0" w:evenHBand="0" w:firstRowFirstColumn="0" w:firstRowLastColumn="0" w:lastRowFirstColumn="0" w:lastRowLastColumn="0"/>
              <w:rPr>
                <w:highlight w:val="black"/>
              </w:rPr>
            </w:pPr>
            <w:r>
              <w:rPr>
                <w:noProof/>
                <w:color w:val="000000"/>
                <w:highlight w:val="black"/>
              </w:rPr>
              <w:t>''''''''''''</w:t>
            </w:r>
          </w:p>
        </w:tc>
        <w:tc>
          <w:tcPr>
            <w:tcW w:w="1418" w:type="dxa"/>
          </w:tcPr>
          <w:p w:rsidR="0011015D" w:rsidRPr="00EB2224" w:rsidRDefault="00EB2224" w:rsidP="002A541E">
            <w:pPr>
              <w:pStyle w:val="Tabletext1"/>
              <w:keepNext/>
              <w:keepLines/>
              <w:jc w:val="center"/>
              <w:cnfStyle w:val="000000000000" w:firstRow="0" w:lastRow="0" w:firstColumn="0" w:lastColumn="0" w:oddVBand="0" w:evenVBand="0" w:oddHBand="0" w:evenHBand="0" w:firstRowFirstColumn="0" w:firstRowLastColumn="0" w:lastRowFirstColumn="0" w:lastRowLastColumn="0"/>
              <w:rPr>
                <w:highlight w:val="black"/>
              </w:rPr>
            </w:pPr>
            <w:r>
              <w:rPr>
                <w:noProof/>
                <w:color w:val="000000"/>
                <w:highlight w:val="black"/>
              </w:rPr>
              <w:t>''''''''''</w:t>
            </w:r>
          </w:p>
        </w:tc>
        <w:tc>
          <w:tcPr>
            <w:tcW w:w="1417" w:type="dxa"/>
          </w:tcPr>
          <w:p w:rsidR="0011015D" w:rsidRPr="00EB2224" w:rsidRDefault="00EB2224" w:rsidP="002A541E">
            <w:pPr>
              <w:pStyle w:val="Tabletext1"/>
              <w:keepNext/>
              <w:keepLines/>
              <w:jc w:val="center"/>
              <w:cnfStyle w:val="000000000000" w:firstRow="0" w:lastRow="0" w:firstColumn="0" w:lastColumn="0" w:oddVBand="0" w:evenVBand="0" w:oddHBand="0" w:evenHBand="0" w:firstRowFirstColumn="0" w:firstRowLastColumn="0" w:lastRowFirstColumn="0" w:lastRowLastColumn="0"/>
              <w:rPr>
                <w:highlight w:val="black"/>
              </w:rPr>
            </w:pPr>
            <w:r>
              <w:rPr>
                <w:noProof/>
                <w:color w:val="000000"/>
                <w:highlight w:val="black"/>
              </w:rPr>
              <w:t>''''''''''</w:t>
            </w:r>
          </w:p>
        </w:tc>
        <w:tc>
          <w:tcPr>
            <w:tcW w:w="1418" w:type="dxa"/>
          </w:tcPr>
          <w:p w:rsidR="0011015D" w:rsidRPr="00EB2224" w:rsidRDefault="00EB2224" w:rsidP="002A541E">
            <w:pPr>
              <w:pStyle w:val="Tabletext1"/>
              <w:keepNext/>
              <w:keepLines/>
              <w:jc w:val="center"/>
              <w:cnfStyle w:val="000000000000" w:firstRow="0" w:lastRow="0" w:firstColumn="0" w:lastColumn="0" w:oddVBand="0" w:evenVBand="0" w:oddHBand="0" w:evenHBand="0" w:firstRowFirstColumn="0" w:firstRowLastColumn="0" w:lastRowFirstColumn="0" w:lastRowLastColumn="0"/>
              <w:rPr>
                <w:highlight w:val="black"/>
              </w:rPr>
            </w:pPr>
            <w:r>
              <w:rPr>
                <w:noProof/>
                <w:color w:val="000000"/>
                <w:highlight w:val="black"/>
              </w:rPr>
              <w:t>''''''''''</w:t>
            </w:r>
          </w:p>
        </w:tc>
        <w:tc>
          <w:tcPr>
            <w:tcW w:w="1224" w:type="dxa"/>
          </w:tcPr>
          <w:p w:rsidR="0011015D" w:rsidRPr="00EB2224" w:rsidRDefault="00EB2224" w:rsidP="002A541E">
            <w:pPr>
              <w:pStyle w:val="Tabletext1"/>
              <w:keepNext/>
              <w:keepLines/>
              <w:jc w:val="center"/>
              <w:cnfStyle w:val="000000000000" w:firstRow="0" w:lastRow="0" w:firstColumn="0" w:lastColumn="0" w:oddVBand="0" w:evenVBand="0" w:oddHBand="0" w:evenHBand="0" w:firstRowFirstColumn="0" w:firstRowLastColumn="0" w:lastRowFirstColumn="0" w:lastRowLastColumn="0"/>
              <w:rPr>
                <w:highlight w:val="black"/>
              </w:rPr>
            </w:pPr>
            <w:r>
              <w:rPr>
                <w:noProof/>
                <w:color w:val="000000"/>
                <w:highlight w:val="black"/>
              </w:rPr>
              <w:t>'''''''''''</w:t>
            </w:r>
          </w:p>
        </w:tc>
      </w:tr>
      <w:tr w:rsidR="0011015D" w:rsidTr="002A541E">
        <w:tc>
          <w:tcPr>
            <w:cnfStyle w:val="001000000000" w:firstRow="0" w:lastRow="0" w:firstColumn="1" w:lastColumn="0" w:oddVBand="0" w:evenVBand="0" w:oddHBand="0" w:evenHBand="0" w:firstRowFirstColumn="0" w:firstRowLastColumn="0" w:lastRowFirstColumn="0" w:lastRowLastColumn="0"/>
            <w:tcW w:w="2263" w:type="dxa"/>
          </w:tcPr>
          <w:p w:rsidR="0011015D" w:rsidRPr="005F79FA" w:rsidRDefault="0011015D" w:rsidP="00F6275F">
            <w:pPr>
              <w:pStyle w:val="Tabletext1"/>
              <w:keepNext/>
              <w:keepLines/>
            </w:pPr>
            <w:r w:rsidRPr="005F79FA">
              <w:t>Weighted ATZ</w:t>
            </w:r>
          </w:p>
        </w:tc>
        <w:tc>
          <w:tcPr>
            <w:tcW w:w="2694" w:type="dxa"/>
            <w:gridSpan w:val="2"/>
          </w:tcPr>
          <w:p w:rsidR="0011015D" w:rsidRPr="005F79FA" w:rsidRDefault="0011015D" w:rsidP="002A541E">
            <w:pPr>
              <w:pStyle w:val="Tabletext1"/>
              <w:keepNext/>
              <w:keepLines/>
              <w:jc w:val="center"/>
              <w:cnfStyle w:val="000000000000" w:firstRow="0" w:lastRow="0" w:firstColumn="0" w:lastColumn="0" w:oddVBand="0" w:evenVBand="0" w:oddHBand="0" w:evenHBand="0" w:firstRowFirstColumn="0" w:firstRowLastColumn="0" w:lastRowFirstColumn="0" w:lastRowLastColumn="0"/>
            </w:pPr>
            <w:r w:rsidRPr="005F79FA">
              <w:t>12.23</w:t>
            </w:r>
          </w:p>
        </w:tc>
        <w:tc>
          <w:tcPr>
            <w:tcW w:w="2835" w:type="dxa"/>
            <w:gridSpan w:val="2"/>
          </w:tcPr>
          <w:p w:rsidR="0011015D" w:rsidRPr="005F79FA" w:rsidRDefault="0011015D" w:rsidP="00F6275F">
            <w:pPr>
              <w:pStyle w:val="Tabletext1"/>
              <w:keepNext/>
              <w:keepLines/>
              <w:jc w:val="center"/>
              <w:cnfStyle w:val="000000000000" w:firstRow="0" w:lastRow="0" w:firstColumn="0" w:lastColumn="0" w:oddVBand="0" w:evenVBand="0" w:oddHBand="0" w:evenHBand="0" w:firstRowFirstColumn="0" w:firstRowLastColumn="0" w:lastRowFirstColumn="0" w:lastRowLastColumn="0"/>
            </w:pPr>
            <w:r w:rsidRPr="005F79FA">
              <w:t>N/A</w:t>
            </w:r>
          </w:p>
        </w:tc>
        <w:tc>
          <w:tcPr>
            <w:tcW w:w="1224" w:type="dxa"/>
          </w:tcPr>
          <w:p w:rsidR="0011015D" w:rsidRPr="005F79FA" w:rsidRDefault="0011015D" w:rsidP="00F6275F">
            <w:pPr>
              <w:pStyle w:val="Tabletext1"/>
              <w:keepNext/>
              <w:keepLines/>
              <w:jc w:val="center"/>
              <w:cnfStyle w:val="000000000000" w:firstRow="0" w:lastRow="0" w:firstColumn="0" w:lastColumn="0" w:oddVBand="0" w:evenVBand="0" w:oddHBand="0" w:evenHBand="0" w:firstRowFirstColumn="0" w:firstRowLastColumn="0" w:lastRowFirstColumn="0" w:lastRowLastColumn="0"/>
            </w:pPr>
          </w:p>
        </w:tc>
      </w:tr>
      <w:tr w:rsidR="0011015D" w:rsidTr="00ED6B32">
        <w:tc>
          <w:tcPr>
            <w:cnfStyle w:val="001000000000" w:firstRow="0" w:lastRow="0" w:firstColumn="1" w:lastColumn="0" w:oddVBand="0" w:evenVBand="0" w:oddHBand="0" w:evenHBand="0" w:firstRowFirstColumn="0" w:firstRowLastColumn="0" w:lastRowFirstColumn="0" w:lastRowLastColumn="0"/>
            <w:tcW w:w="2263" w:type="dxa"/>
          </w:tcPr>
          <w:p w:rsidR="0011015D" w:rsidRPr="005F79FA" w:rsidRDefault="0011015D" w:rsidP="00F6275F">
            <w:pPr>
              <w:pStyle w:val="Tabletext1"/>
              <w:keepNext/>
              <w:keepLines/>
            </w:pPr>
            <w:r w:rsidRPr="005F79FA">
              <w:t>Total weighted ATZ per patient</w:t>
            </w:r>
          </w:p>
        </w:tc>
        <w:tc>
          <w:tcPr>
            <w:tcW w:w="5529" w:type="dxa"/>
            <w:gridSpan w:val="4"/>
          </w:tcPr>
          <w:p w:rsidR="0011015D" w:rsidRPr="005F79FA" w:rsidRDefault="002A541E" w:rsidP="002A541E">
            <w:pPr>
              <w:pStyle w:val="Tabletext1"/>
              <w:keepNext/>
              <w:keepLines/>
              <w:jc w:val="center"/>
              <w:cnfStyle w:val="000000000000" w:firstRow="0" w:lastRow="0" w:firstColumn="0" w:lastColumn="0" w:oddVBand="0" w:evenVBand="0" w:oddHBand="0" w:evenHBand="0" w:firstRowFirstColumn="0" w:firstRowLastColumn="0" w:lastRowFirstColumn="0" w:lastRowLastColumn="0"/>
            </w:pPr>
            <w:r w:rsidRPr="005F79FA">
              <w:t>5.0</w:t>
            </w:r>
          </w:p>
        </w:tc>
        <w:tc>
          <w:tcPr>
            <w:tcW w:w="1224" w:type="dxa"/>
          </w:tcPr>
          <w:p w:rsidR="0011015D" w:rsidRPr="005F79FA" w:rsidRDefault="0011015D" w:rsidP="00F6275F">
            <w:pPr>
              <w:pStyle w:val="Tabletext1"/>
              <w:keepNext/>
              <w:keepLines/>
              <w:jc w:val="center"/>
              <w:cnfStyle w:val="000000000000" w:firstRow="0" w:lastRow="0" w:firstColumn="0" w:lastColumn="0" w:oddVBand="0" w:evenVBand="0" w:oddHBand="0" w:evenHBand="0" w:firstRowFirstColumn="0" w:firstRowLastColumn="0" w:lastRowFirstColumn="0" w:lastRowLastColumn="0"/>
            </w:pPr>
            <w:r w:rsidRPr="005F79FA">
              <w:t>N/A</w:t>
            </w:r>
          </w:p>
        </w:tc>
      </w:tr>
      <w:tr w:rsidR="0011015D" w:rsidTr="00ED6B32">
        <w:tc>
          <w:tcPr>
            <w:cnfStyle w:val="001000000000" w:firstRow="0" w:lastRow="0" w:firstColumn="1" w:lastColumn="0" w:oddVBand="0" w:evenVBand="0" w:oddHBand="0" w:evenHBand="0" w:firstRowFirstColumn="0" w:firstRowLastColumn="0" w:lastRowFirstColumn="0" w:lastRowLastColumn="0"/>
            <w:tcW w:w="2263" w:type="dxa"/>
          </w:tcPr>
          <w:p w:rsidR="0011015D" w:rsidRPr="005F79FA" w:rsidRDefault="0011015D" w:rsidP="00F6275F">
            <w:pPr>
              <w:pStyle w:val="Tabletext1"/>
              <w:keepNext/>
              <w:keepLines/>
            </w:pPr>
            <w:r w:rsidRPr="005F79FA">
              <w:t>Total weighted nab-P per patient</w:t>
            </w:r>
          </w:p>
        </w:tc>
        <w:tc>
          <w:tcPr>
            <w:tcW w:w="5529" w:type="dxa"/>
            <w:gridSpan w:val="4"/>
          </w:tcPr>
          <w:p w:rsidR="0011015D" w:rsidRPr="00EB2224" w:rsidRDefault="00EB2224" w:rsidP="002A541E">
            <w:pPr>
              <w:pStyle w:val="Tabletext1"/>
              <w:keepNext/>
              <w:keepLines/>
              <w:jc w:val="center"/>
              <w:cnfStyle w:val="000000000000" w:firstRow="0" w:lastRow="0" w:firstColumn="0" w:lastColumn="0" w:oddVBand="0" w:evenVBand="0" w:oddHBand="0" w:evenHBand="0" w:firstRowFirstColumn="0" w:firstRowLastColumn="0" w:lastRowFirstColumn="0" w:lastRowLastColumn="0"/>
              <w:rPr>
                <w:highlight w:val="black"/>
              </w:rPr>
            </w:pPr>
            <w:r>
              <w:rPr>
                <w:noProof/>
                <w:color w:val="000000"/>
                <w:highlight w:val="black"/>
              </w:rPr>
              <w:t>'''''''''''</w:t>
            </w:r>
          </w:p>
        </w:tc>
        <w:tc>
          <w:tcPr>
            <w:tcW w:w="1224" w:type="dxa"/>
          </w:tcPr>
          <w:p w:rsidR="0011015D" w:rsidRPr="00EB2224" w:rsidRDefault="00EB2224" w:rsidP="002A541E">
            <w:pPr>
              <w:pStyle w:val="Tabletext1"/>
              <w:keepNext/>
              <w:keepLines/>
              <w:jc w:val="center"/>
              <w:cnfStyle w:val="000000000000" w:firstRow="0" w:lastRow="0" w:firstColumn="0" w:lastColumn="0" w:oddVBand="0" w:evenVBand="0" w:oddHBand="0" w:evenHBand="0" w:firstRowFirstColumn="0" w:firstRowLastColumn="0" w:lastRowFirstColumn="0" w:lastRowLastColumn="0"/>
              <w:rPr>
                <w:highlight w:val="black"/>
              </w:rPr>
            </w:pPr>
            <w:r>
              <w:rPr>
                <w:noProof/>
                <w:color w:val="000000"/>
                <w:highlight w:val="black"/>
              </w:rPr>
              <w:t>''''''''''''</w:t>
            </w:r>
          </w:p>
        </w:tc>
      </w:tr>
      <w:tr w:rsidR="0011015D" w:rsidRPr="0066087D" w:rsidTr="00656330">
        <w:tc>
          <w:tcPr>
            <w:cnfStyle w:val="001000000000" w:firstRow="0" w:lastRow="0" w:firstColumn="1" w:lastColumn="0" w:oddVBand="0" w:evenVBand="0" w:oddHBand="0" w:evenHBand="0" w:firstRowFirstColumn="0" w:firstRowLastColumn="0" w:lastRowFirstColumn="0" w:lastRowLastColumn="0"/>
            <w:tcW w:w="9016" w:type="dxa"/>
            <w:gridSpan w:val="6"/>
          </w:tcPr>
          <w:p w:rsidR="0011015D" w:rsidRPr="001241BB" w:rsidRDefault="0011015D" w:rsidP="00F6275F">
            <w:pPr>
              <w:pStyle w:val="Tabletext1"/>
              <w:keepNext/>
              <w:keepLines/>
              <w:rPr>
                <w:b/>
              </w:rPr>
            </w:pPr>
            <w:r w:rsidRPr="001241BB">
              <w:rPr>
                <w:b/>
              </w:rPr>
              <w:t>Average medicine costs per patient (undiscounted)</w:t>
            </w:r>
          </w:p>
        </w:tc>
      </w:tr>
      <w:tr w:rsidR="0011015D" w:rsidRPr="00D82BB2" w:rsidTr="002A541E">
        <w:tc>
          <w:tcPr>
            <w:cnfStyle w:val="001000000000" w:firstRow="0" w:lastRow="0" w:firstColumn="1" w:lastColumn="0" w:oddVBand="0" w:evenVBand="0" w:oddHBand="0" w:evenHBand="0" w:firstRowFirstColumn="0" w:firstRowLastColumn="0" w:lastRowFirstColumn="0" w:lastRowLastColumn="0"/>
            <w:tcW w:w="2263" w:type="dxa"/>
          </w:tcPr>
          <w:p w:rsidR="0011015D" w:rsidRDefault="0011015D" w:rsidP="00F6275F">
            <w:pPr>
              <w:pStyle w:val="Tabletext1"/>
              <w:keepNext/>
              <w:keepLines/>
            </w:pPr>
            <w:r>
              <w:t>Atezolizumab</w:t>
            </w:r>
          </w:p>
        </w:tc>
        <w:tc>
          <w:tcPr>
            <w:tcW w:w="1276" w:type="dxa"/>
          </w:tcPr>
          <w:p w:rsidR="0011015D" w:rsidRPr="001241BB" w:rsidRDefault="0011015D" w:rsidP="00F6275F">
            <w:pPr>
              <w:pStyle w:val="Tabletext1"/>
              <w:keepNext/>
              <w:keepLines/>
              <w:jc w:val="center"/>
              <w:cnfStyle w:val="000000000000" w:firstRow="0" w:lastRow="0" w:firstColumn="0" w:lastColumn="0" w:oddVBand="0" w:evenVBand="0" w:oddHBand="0" w:evenHBand="0" w:firstRowFirstColumn="0" w:firstRowLastColumn="0" w:lastRowFirstColumn="0" w:lastRowLastColumn="0"/>
            </w:pPr>
            <w:r w:rsidRPr="001241BB">
              <w:t>$</w:t>
            </w:r>
            <w:r w:rsidR="00EB2224">
              <w:rPr>
                <w:noProof/>
                <w:color w:val="000000"/>
                <w:highlight w:val="black"/>
              </w:rPr>
              <w:t>''''''''''''''''</w:t>
            </w:r>
          </w:p>
        </w:tc>
        <w:tc>
          <w:tcPr>
            <w:tcW w:w="1418" w:type="dxa"/>
          </w:tcPr>
          <w:p w:rsidR="0011015D" w:rsidRPr="001241BB" w:rsidRDefault="0011015D" w:rsidP="00F6275F">
            <w:pPr>
              <w:pStyle w:val="Tabletext1"/>
              <w:keepNext/>
              <w:keepLines/>
              <w:jc w:val="center"/>
              <w:cnfStyle w:val="000000000000" w:firstRow="0" w:lastRow="0" w:firstColumn="0" w:lastColumn="0" w:oddVBand="0" w:evenVBand="0" w:oddHBand="0" w:evenHBand="0" w:firstRowFirstColumn="0" w:firstRowLastColumn="0" w:lastRowFirstColumn="0" w:lastRowLastColumn="0"/>
            </w:pPr>
            <w:r w:rsidRPr="001241BB">
              <w:t>$</w:t>
            </w:r>
            <w:r w:rsidR="00EB2224">
              <w:rPr>
                <w:noProof/>
                <w:color w:val="000000"/>
                <w:highlight w:val="black"/>
              </w:rPr>
              <w:t>'''''''''''''''''</w:t>
            </w:r>
          </w:p>
        </w:tc>
        <w:tc>
          <w:tcPr>
            <w:tcW w:w="2835" w:type="dxa"/>
            <w:gridSpan w:val="2"/>
          </w:tcPr>
          <w:p w:rsidR="0011015D" w:rsidRPr="001241BB" w:rsidRDefault="0011015D" w:rsidP="00F6275F">
            <w:pPr>
              <w:pStyle w:val="Tabletext1"/>
              <w:keepNext/>
              <w:keepLines/>
              <w:jc w:val="center"/>
              <w:cnfStyle w:val="000000000000" w:firstRow="0" w:lastRow="0" w:firstColumn="0" w:lastColumn="0" w:oddVBand="0" w:evenVBand="0" w:oddHBand="0" w:evenHBand="0" w:firstRowFirstColumn="0" w:firstRowLastColumn="0" w:lastRowFirstColumn="0" w:lastRowLastColumn="0"/>
            </w:pPr>
            <w:r w:rsidRPr="001241BB">
              <w:t>N/A</w:t>
            </w:r>
          </w:p>
        </w:tc>
        <w:tc>
          <w:tcPr>
            <w:tcW w:w="1224" w:type="dxa"/>
          </w:tcPr>
          <w:p w:rsidR="0011015D" w:rsidRPr="001241BB" w:rsidRDefault="0011015D" w:rsidP="00F6275F">
            <w:pPr>
              <w:pStyle w:val="Tabletext1"/>
              <w:keepNext/>
              <w:keepLines/>
              <w:jc w:val="center"/>
              <w:cnfStyle w:val="000000000000" w:firstRow="0" w:lastRow="0" w:firstColumn="0" w:lastColumn="0" w:oddVBand="0" w:evenVBand="0" w:oddHBand="0" w:evenHBand="0" w:firstRowFirstColumn="0" w:firstRowLastColumn="0" w:lastRowFirstColumn="0" w:lastRowLastColumn="0"/>
            </w:pPr>
            <w:r w:rsidRPr="001241BB">
              <w:t>N/A</w:t>
            </w:r>
          </w:p>
        </w:tc>
      </w:tr>
      <w:tr w:rsidR="0011015D" w:rsidRPr="00D82BB2" w:rsidTr="002A541E">
        <w:tc>
          <w:tcPr>
            <w:cnfStyle w:val="001000000000" w:firstRow="0" w:lastRow="0" w:firstColumn="1" w:lastColumn="0" w:oddVBand="0" w:evenVBand="0" w:oddHBand="0" w:evenHBand="0" w:firstRowFirstColumn="0" w:firstRowLastColumn="0" w:lastRowFirstColumn="0" w:lastRowLastColumn="0"/>
            <w:tcW w:w="2263" w:type="dxa"/>
          </w:tcPr>
          <w:p w:rsidR="0011015D" w:rsidRDefault="0011015D" w:rsidP="00F6275F">
            <w:pPr>
              <w:pStyle w:val="Tabletext1"/>
              <w:keepNext/>
              <w:keepLines/>
            </w:pPr>
            <w:r>
              <w:t>Nab-P</w:t>
            </w:r>
          </w:p>
        </w:tc>
        <w:tc>
          <w:tcPr>
            <w:tcW w:w="1276" w:type="dxa"/>
          </w:tcPr>
          <w:p w:rsidR="0011015D" w:rsidRPr="00EB2224" w:rsidRDefault="0011015D" w:rsidP="00F6275F">
            <w:pPr>
              <w:pStyle w:val="Tabletext1"/>
              <w:keepNext/>
              <w:keepLines/>
              <w:jc w:val="center"/>
              <w:cnfStyle w:val="000000000000" w:firstRow="0" w:lastRow="0" w:firstColumn="0" w:lastColumn="0" w:oddVBand="0" w:evenVBand="0" w:oddHBand="0" w:evenHBand="0" w:firstRowFirstColumn="0" w:firstRowLastColumn="0" w:lastRowFirstColumn="0" w:lastRowLastColumn="0"/>
            </w:pPr>
            <w:r w:rsidRPr="005B4383">
              <w:t>$</w:t>
            </w:r>
            <w:r w:rsidR="00EB2224">
              <w:rPr>
                <w:noProof/>
                <w:color w:val="000000"/>
                <w:highlight w:val="black"/>
              </w:rPr>
              <w:t>'''''''''''''''</w:t>
            </w:r>
          </w:p>
        </w:tc>
        <w:tc>
          <w:tcPr>
            <w:tcW w:w="1418" w:type="dxa"/>
          </w:tcPr>
          <w:p w:rsidR="0011015D" w:rsidRPr="00EB2224" w:rsidRDefault="0011015D" w:rsidP="00F6275F">
            <w:pPr>
              <w:pStyle w:val="Tabletext1"/>
              <w:keepNext/>
              <w:keepLines/>
              <w:jc w:val="center"/>
              <w:cnfStyle w:val="000000000000" w:firstRow="0" w:lastRow="0" w:firstColumn="0" w:lastColumn="0" w:oddVBand="0" w:evenVBand="0" w:oddHBand="0" w:evenHBand="0" w:firstRowFirstColumn="0" w:firstRowLastColumn="0" w:lastRowFirstColumn="0" w:lastRowLastColumn="0"/>
            </w:pPr>
            <w:r w:rsidRPr="005B4383">
              <w:t>$</w:t>
            </w:r>
            <w:r w:rsidR="00EB2224">
              <w:rPr>
                <w:noProof/>
                <w:color w:val="000000"/>
                <w:highlight w:val="black"/>
              </w:rPr>
              <w:t>'''''''''''''''</w:t>
            </w:r>
          </w:p>
        </w:tc>
        <w:tc>
          <w:tcPr>
            <w:tcW w:w="1417" w:type="dxa"/>
          </w:tcPr>
          <w:p w:rsidR="0011015D" w:rsidRPr="00EB2224" w:rsidRDefault="0011015D" w:rsidP="00576234">
            <w:pPr>
              <w:pStyle w:val="Tabletext1"/>
              <w:keepNext/>
              <w:keepLines/>
              <w:jc w:val="center"/>
              <w:cnfStyle w:val="000000000000" w:firstRow="0" w:lastRow="0" w:firstColumn="0" w:lastColumn="0" w:oddVBand="0" w:evenVBand="0" w:oddHBand="0" w:evenHBand="0" w:firstRowFirstColumn="0" w:firstRowLastColumn="0" w:lastRowFirstColumn="0" w:lastRowLastColumn="0"/>
            </w:pPr>
            <w:r w:rsidRPr="005B4383">
              <w:t>$</w:t>
            </w:r>
            <w:r w:rsidR="00EB2224">
              <w:rPr>
                <w:noProof/>
                <w:color w:val="000000"/>
                <w:highlight w:val="black"/>
              </w:rPr>
              <w:t>'''''''''''''''''</w:t>
            </w:r>
          </w:p>
        </w:tc>
        <w:tc>
          <w:tcPr>
            <w:tcW w:w="1418" w:type="dxa"/>
          </w:tcPr>
          <w:p w:rsidR="0011015D" w:rsidRPr="00EB2224" w:rsidRDefault="0011015D" w:rsidP="00576234">
            <w:pPr>
              <w:pStyle w:val="Tabletext1"/>
              <w:keepNext/>
              <w:keepLines/>
              <w:jc w:val="center"/>
              <w:cnfStyle w:val="000000000000" w:firstRow="0" w:lastRow="0" w:firstColumn="0" w:lastColumn="0" w:oddVBand="0" w:evenVBand="0" w:oddHBand="0" w:evenHBand="0" w:firstRowFirstColumn="0" w:firstRowLastColumn="0" w:lastRowFirstColumn="0" w:lastRowLastColumn="0"/>
            </w:pPr>
            <w:r w:rsidRPr="005B4383">
              <w:t>$</w:t>
            </w:r>
            <w:r w:rsidR="00EB2224">
              <w:rPr>
                <w:noProof/>
                <w:color w:val="000000"/>
                <w:highlight w:val="black"/>
              </w:rPr>
              <w:t>''''''''''''''''</w:t>
            </w:r>
          </w:p>
        </w:tc>
        <w:tc>
          <w:tcPr>
            <w:tcW w:w="1224" w:type="dxa"/>
          </w:tcPr>
          <w:p w:rsidR="0011015D" w:rsidRPr="00EB2224" w:rsidRDefault="0011015D" w:rsidP="00F6275F">
            <w:pPr>
              <w:pStyle w:val="Tabletext1"/>
              <w:keepNext/>
              <w:keepLines/>
              <w:jc w:val="center"/>
              <w:cnfStyle w:val="000000000000" w:firstRow="0" w:lastRow="0" w:firstColumn="0" w:lastColumn="0" w:oddVBand="0" w:evenVBand="0" w:oddHBand="0" w:evenHBand="0" w:firstRowFirstColumn="0" w:firstRowLastColumn="0" w:lastRowFirstColumn="0" w:lastRowLastColumn="0"/>
            </w:pPr>
            <w:r w:rsidRPr="005B4383">
              <w:t>$</w:t>
            </w:r>
            <w:r w:rsidR="00EB2224">
              <w:rPr>
                <w:noProof/>
                <w:color w:val="000000"/>
                <w:highlight w:val="black"/>
              </w:rPr>
              <w:t>'''''''''''''''''</w:t>
            </w:r>
          </w:p>
        </w:tc>
      </w:tr>
      <w:tr w:rsidR="0011015D" w:rsidTr="002A541E">
        <w:tc>
          <w:tcPr>
            <w:cnfStyle w:val="001000000000" w:firstRow="0" w:lastRow="0" w:firstColumn="1" w:lastColumn="0" w:oddVBand="0" w:evenVBand="0" w:oddHBand="0" w:evenHBand="0" w:firstRowFirstColumn="0" w:firstRowLastColumn="0" w:lastRowFirstColumn="0" w:lastRowLastColumn="0"/>
            <w:tcW w:w="2263" w:type="dxa"/>
          </w:tcPr>
          <w:p w:rsidR="0011015D" w:rsidRDefault="0011015D" w:rsidP="00F6275F">
            <w:pPr>
              <w:pStyle w:val="Tabletext1"/>
              <w:keepNext/>
              <w:keepLines/>
            </w:pPr>
            <w:r>
              <w:t>Weighted ATZ</w:t>
            </w:r>
          </w:p>
        </w:tc>
        <w:tc>
          <w:tcPr>
            <w:tcW w:w="2694" w:type="dxa"/>
            <w:gridSpan w:val="2"/>
          </w:tcPr>
          <w:p w:rsidR="0011015D" w:rsidRPr="001241BB" w:rsidRDefault="0011015D" w:rsidP="00F6275F">
            <w:pPr>
              <w:pStyle w:val="Tabletext1"/>
              <w:keepNext/>
              <w:keepLines/>
              <w:jc w:val="center"/>
              <w:cnfStyle w:val="000000000000" w:firstRow="0" w:lastRow="0" w:firstColumn="0" w:lastColumn="0" w:oddVBand="0" w:evenVBand="0" w:oddHBand="0" w:evenHBand="0" w:firstRowFirstColumn="0" w:firstRowLastColumn="0" w:lastRowFirstColumn="0" w:lastRowLastColumn="0"/>
            </w:pPr>
            <w:r w:rsidRPr="001241BB">
              <w:t>$</w:t>
            </w:r>
            <w:r w:rsidR="00EB2224">
              <w:rPr>
                <w:noProof/>
                <w:color w:val="000000"/>
                <w:highlight w:val="black"/>
              </w:rPr>
              <w:t>'''''''''''''''''</w:t>
            </w:r>
          </w:p>
        </w:tc>
        <w:tc>
          <w:tcPr>
            <w:tcW w:w="2835" w:type="dxa"/>
            <w:gridSpan w:val="2"/>
          </w:tcPr>
          <w:p w:rsidR="0011015D" w:rsidRPr="001241BB" w:rsidRDefault="0011015D" w:rsidP="00F6275F">
            <w:pPr>
              <w:pStyle w:val="Tabletext1"/>
              <w:keepNext/>
              <w:keepLines/>
              <w:jc w:val="center"/>
              <w:cnfStyle w:val="000000000000" w:firstRow="0" w:lastRow="0" w:firstColumn="0" w:lastColumn="0" w:oddVBand="0" w:evenVBand="0" w:oddHBand="0" w:evenHBand="0" w:firstRowFirstColumn="0" w:firstRowLastColumn="0" w:lastRowFirstColumn="0" w:lastRowLastColumn="0"/>
            </w:pPr>
            <w:r w:rsidRPr="001241BB">
              <w:t>N/A</w:t>
            </w:r>
          </w:p>
        </w:tc>
        <w:tc>
          <w:tcPr>
            <w:tcW w:w="1224" w:type="dxa"/>
          </w:tcPr>
          <w:p w:rsidR="0011015D" w:rsidRPr="001241BB" w:rsidRDefault="0011015D" w:rsidP="00F6275F">
            <w:pPr>
              <w:pStyle w:val="Tabletext1"/>
              <w:keepNext/>
              <w:keepLines/>
              <w:jc w:val="center"/>
              <w:cnfStyle w:val="000000000000" w:firstRow="0" w:lastRow="0" w:firstColumn="0" w:lastColumn="0" w:oddVBand="0" w:evenVBand="0" w:oddHBand="0" w:evenHBand="0" w:firstRowFirstColumn="0" w:firstRowLastColumn="0" w:lastRowFirstColumn="0" w:lastRowLastColumn="0"/>
            </w:pPr>
            <w:r w:rsidRPr="001241BB">
              <w:t>N/A</w:t>
            </w:r>
          </w:p>
        </w:tc>
      </w:tr>
      <w:tr w:rsidR="0011015D" w:rsidTr="00ED6B32">
        <w:tc>
          <w:tcPr>
            <w:cnfStyle w:val="001000000000" w:firstRow="0" w:lastRow="0" w:firstColumn="1" w:lastColumn="0" w:oddVBand="0" w:evenVBand="0" w:oddHBand="0" w:evenHBand="0" w:firstRowFirstColumn="0" w:firstRowLastColumn="0" w:lastRowFirstColumn="0" w:lastRowLastColumn="0"/>
            <w:tcW w:w="2263" w:type="dxa"/>
          </w:tcPr>
          <w:p w:rsidR="0011015D" w:rsidRDefault="0011015D" w:rsidP="00F6275F">
            <w:pPr>
              <w:pStyle w:val="Tabletext1"/>
              <w:keepNext/>
              <w:keepLines/>
            </w:pPr>
            <w:r>
              <w:t>Total weighted ATZ per patient</w:t>
            </w:r>
          </w:p>
        </w:tc>
        <w:tc>
          <w:tcPr>
            <w:tcW w:w="5529" w:type="dxa"/>
            <w:gridSpan w:val="4"/>
          </w:tcPr>
          <w:p w:rsidR="0011015D" w:rsidRPr="001241BB" w:rsidRDefault="0011015D" w:rsidP="00F6275F">
            <w:pPr>
              <w:pStyle w:val="Tabletext1"/>
              <w:keepNext/>
              <w:keepLines/>
              <w:jc w:val="center"/>
              <w:cnfStyle w:val="000000000000" w:firstRow="0" w:lastRow="0" w:firstColumn="0" w:lastColumn="0" w:oddVBand="0" w:evenVBand="0" w:oddHBand="0" w:evenHBand="0" w:firstRowFirstColumn="0" w:firstRowLastColumn="0" w:lastRowFirstColumn="0" w:lastRowLastColumn="0"/>
            </w:pPr>
            <w:r w:rsidRPr="001241BB">
              <w:t>$</w:t>
            </w:r>
            <w:r w:rsidR="00EB2224">
              <w:rPr>
                <w:noProof/>
                <w:color w:val="000000"/>
                <w:highlight w:val="black"/>
              </w:rPr>
              <w:t>'''''''''''''''''</w:t>
            </w:r>
          </w:p>
        </w:tc>
        <w:tc>
          <w:tcPr>
            <w:tcW w:w="1224" w:type="dxa"/>
          </w:tcPr>
          <w:p w:rsidR="0011015D" w:rsidRPr="001241BB" w:rsidRDefault="0011015D" w:rsidP="00F6275F">
            <w:pPr>
              <w:pStyle w:val="Tabletext1"/>
              <w:keepNext/>
              <w:keepLines/>
              <w:jc w:val="center"/>
              <w:cnfStyle w:val="000000000000" w:firstRow="0" w:lastRow="0" w:firstColumn="0" w:lastColumn="0" w:oddVBand="0" w:evenVBand="0" w:oddHBand="0" w:evenHBand="0" w:firstRowFirstColumn="0" w:firstRowLastColumn="0" w:lastRowFirstColumn="0" w:lastRowLastColumn="0"/>
            </w:pPr>
            <w:r w:rsidRPr="001241BB">
              <w:t>N/A</w:t>
            </w:r>
          </w:p>
        </w:tc>
      </w:tr>
      <w:tr w:rsidR="0011015D" w:rsidRPr="00756F02" w:rsidTr="00ED6B32">
        <w:tc>
          <w:tcPr>
            <w:cnfStyle w:val="001000000000" w:firstRow="0" w:lastRow="0" w:firstColumn="1" w:lastColumn="0" w:oddVBand="0" w:evenVBand="0" w:oddHBand="0" w:evenHBand="0" w:firstRowFirstColumn="0" w:firstRowLastColumn="0" w:lastRowFirstColumn="0" w:lastRowLastColumn="0"/>
            <w:tcW w:w="2263" w:type="dxa"/>
          </w:tcPr>
          <w:p w:rsidR="0011015D" w:rsidRDefault="0011015D" w:rsidP="00F6275F">
            <w:pPr>
              <w:pStyle w:val="Tabletext1"/>
              <w:keepNext/>
              <w:keepLines/>
            </w:pPr>
            <w:r>
              <w:t>Total weighted nab-P per patient</w:t>
            </w:r>
          </w:p>
        </w:tc>
        <w:tc>
          <w:tcPr>
            <w:tcW w:w="5529" w:type="dxa"/>
            <w:gridSpan w:val="4"/>
          </w:tcPr>
          <w:p w:rsidR="0011015D" w:rsidRPr="001241BB" w:rsidRDefault="0011015D" w:rsidP="00F6275F">
            <w:pPr>
              <w:pStyle w:val="Tabletext1"/>
              <w:keepNext/>
              <w:keepLines/>
              <w:jc w:val="center"/>
              <w:cnfStyle w:val="000000000000" w:firstRow="0" w:lastRow="0" w:firstColumn="0" w:lastColumn="0" w:oddVBand="0" w:evenVBand="0" w:oddHBand="0" w:evenHBand="0" w:firstRowFirstColumn="0" w:firstRowLastColumn="0" w:lastRowFirstColumn="0" w:lastRowLastColumn="0"/>
            </w:pPr>
            <w:r w:rsidRPr="001241BB">
              <w:t>$</w:t>
            </w:r>
            <w:r w:rsidR="00EB2224">
              <w:rPr>
                <w:noProof/>
                <w:color w:val="000000"/>
                <w:highlight w:val="black"/>
              </w:rPr>
              <w:t>''''''''''''''''</w:t>
            </w:r>
          </w:p>
        </w:tc>
        <w:tc>
          <w:tcPr>
            <w:tcW w:w="1224" w:type="dxa"/>
          </w:tcPr>
          <w:p w:rsidR="0011015D" w:rsidRPr="001241BB" w:rsidRDefault="0011015D" w:rsidP="00F6275F">
            <w:pPr>
              <w:pStyle w:val="Tabletext1"/>
              <w:keepNext/>
              <w:keepLines/>
              <w:jc w:val="center"/>
              <w:cnfStyle w:val="000000000000" w:firstRow="0" w:lastRow="0" w:firstColumn="0" w:lastColumn="0" w:oddVBand="0" w:evenVBand="0" w:oddHBand="0" w:evenHBand="0" w:firstRowFirstColumn="0" w:firstRowLastColumn="0" w:lastRowFirstColumn="0" w:lastRowLastColumn="0"/>
            </w:pPr>
            <w:r w:rsidRPr="001241BB">
              <w:t>$</w:t>
            </w:r>
            <w:r w:rsidR="00EB2224">
              <w:rPr>
                <w:noProof/>
                <w:color w:val="000000"/>
                <w:highlight w:val="black"/>
              </w:rPr>
              <w:t>''''''''''''''''</w:t>
            </w:r>
          </w:p>
        </w:tc>
      </w:tr>
    </w:tbl>
    <w:p w:rsidR="00002AC9" w:rsidRDefault="00002AC9" w:rsidP="00002AC9">
      <w:pPr>
        <w:pStyle w:val="TableFigureFooter"/>
        <w:rPr>
          <w:lang w:val="en-US"/>
        </w:rPr>
      </w:pPr>
      <w:r w:rsidRPr="005916A0">
        <w:rPr>
          <w:lang w:val="en-US"/>
        </w:rPr>
        <w:t>Source: Complied during the evaluation based on information presented in ‘Economic Evaluation.xlsx’ of the submission</w:t>
      </w:r>
      <w:r w:rsidR="002A541E">
        <w:rPr>
          <w:lang w:val="en-US"/>
        </w:rPr>
        <w:t>.</w:t>
      </w:r>
    </w:p>
    <w:p w:rsidR="006D5EE6" w:rsidRDefault="006D5EE6" w:rsidP="006D5EE6">
      <w:pPr>
        <w:pStyle w:val="TableFigureFooter"/>
      </w:pPr>
      <w:r w:rsidRPr="005916A0">
        <w:t>ATZ =</w:t>
      </w:r>
      <w:r w:rsidR="005916A0" w:rsidRPr="005916A0">
        <w:t xml:space="preserve"> atezolizumab;</w:t>
      </w:r>
      <w:r w:rsidRPr="005916A0">
        <w:t xml:space="preserve"> ICER = </w:t>
      </w:r>
      <w:r w:rsidR="005916A0" w:rsidRPr="005916A0">
        <w:t>incremental cost-effectiveness ratio</w:t>
      </w:r>
      <w:r w:rsidRPr="005916A0">
        <w:t xml:space="preserve">; ITT = </w:t>
      </w:r>
      <w:r w:rsidR="005916A0" w:rsidRPr="005916A0">
        <w:t xml:space="preserve">intention to treat; </w:t>
      </w:r>
      <w:r w:rsidRPr="005916A0">
        <w:t>N/A =</w:t>
      </w:r>
      <w:r w:rsidR="005916A0" w:rsidRPr="005916A0">
        <w:t xml:space="preserve"> not applicable</w:t>
      </w:r>
      <w:r w:rsidRPr="005916A0">
        <w:t>; nab-P =</w:t>
      </w:r>
      <w:r w:rsidR="005916A0" w:rsidRPr="005916A0">
        <w:t xml:space="preserve"> nab-paclitaxel</w:t>
      </w:r>
      <w:r w:rsidR="002A541E">
        <w:t>.</w:t>
      </w:r>
    </w:p>
    <w:p w:rsidR="00002AC9" w:rsidRPr="002A541E" w:rsidRDefault="00002AC9" w:rsidP="00EA5C8F">
      <w:pPr>
        <w:pStyle w:val="TableFigureFooter"/>
        <w:spacing w:after="240"/>
      </w:pPr>
      <w:r w:rsidRPr="006F58DC">
        <w:rPr>
          <w:vertAlign w:val="superscript"/>
        </w:rPr>
        <w:t>a</w:t>
      </w:r>
      <w:r>
        <w:rPr>
          <w:vertAlign w:val="superscript"/>
        </w:rPr>
        <w:t xml:space="preserve"> </w:t>
      </w:r>
      <w:r>
        <w:t>The submission did not model the survival outc</w:t>
      </w:r>
      <w:r w:rsidR="006F58DC">
        <w:t xml:space="preserve">omes of </w:t>
      </w:r>
      <w:r>
        <w:t>‘false-positive’ and ‘false-negative’</w:t>
      </w:r>
      <w:r w:rsidR="006F58DC">
        <w:t xml:space="preserve"> patients</w:t>
      </w:r>
      <w:r>
        <w:t>. Instead, the submission used the estimates of inter-laboratory reproducibility to estimate the proportion of patients who would be considered ‘false-positive’ and ‘false-negative’, and used the survival outcomes of those who tested positive</w:t>
      </w:r>
      <w:r w:rsidR="006F58DC">
        <w:t xml:space="preserve"> and treated with nab-P</w:t>
      </w:r>
      <w:r>
        <w:t xml:space="preserve"> (as false negatives) and those who tested negative</w:t>
      </w:r>
      <w:r w:rsidR="006F58DC">
        <w:t xml:space="preserve"> and treated with ATZ+nab-P</w:t>
      </w:r>
      <w:r>
        <w:t xml:space="preserve"> (as false positives). Therefore, the duration of therapy for the false-positive </w:t>
      </w:r>
      <w:r w:rsidR="006F58DC">
        <w:t xml:space="preserve">population is the duration of therapy in </w:t>
      </w:r>
      <w:r>
        <w:t>PD-L1</w:t>
      </w:r>
      <w:r w:rsidR="004B7914">
        <w:t>-</w:t>
      </w:r>
      <w:r>
        <w:t>negative</w:t>
      </w:r>
      <w:r w:rsidR="006F58DC">
        <w:t xml:space="preserve"> patients</w:t>
      </w:r>
      <w:r>
        <w:t xml:space="preserve"> treated </w:t>
      </w:r>
      <w:r w:rsidR="006F58DC">
        <w:t>with ATZ+nab-P. Similarly, the duration of therapy for the false-negative population is actually the duration of therapy in PD-L1-positive patients treated with nab-P</w:t>
      </w:r>
      <w:r>
        <w:t>.</w:t>
      </w:r>
    </w:p>
    <w:p w:rsidR="0011015D" w:rsidRPr="00A61D77" w:rsidRDefault="0011015D" w:rsidP="0011015D">
      <w:pPr>
        <w:pStyle w:val="ListParagraph"/>
        <w:numPr>
          <w:ilvl w:val="4"/>
          <w:numId w:val="1"/>
        </w:numPr>
        <w:rPr>
          <w:color w:val="auto"/>
        </w:rPr>
      </w:pPr>
      <w:bookmarkStart w:id="38" w:name="_Toc413139284"/>
      <w:bookmarkStart w:id="39" w:name="_Toc497226193"/>
      <w:r w:rsidRPr="00A61D77">
        <w:rPr>
          <w:color w:val="auto"/>
        </w:rPr>
        <w:t xml:space="preserve">The per-administration cost of nab-P is significantly higher than the per-administration cost of other taxanes available on the PBS, such as paclitaxel. Nab-P (and by extension, other taxanes) will be used in both arms and the duration </w:t>
      </w:r>
      <w:r w:rsidR="001A29C7" w:rsidRPr="00A61D77">
        <w:rPr>
          <w:color w:val="auto"/>
        </w:rPr>
        <w:t xml:space="preserve">of </w:t>
      </w:r>
      <w:r w:rsidR="0047070F" w:rsidRPr="00A61D77">
        <w:rPr>
          <w:color w:val="auto"/>
        </w:rPr>
        <w:t>nab-P</w:t>
      </w:r>
      <w:r w:rsidR="006A3A4F" w:rsidRPr="00A61D77">
        <w:rPr>
          <w:color w:val="auto"/>
        </w:rPr>
        <w:t xml:space="preserve"> when in combination with ATZ </w:t>
      </w:r>
      <w:r w:rsidRPr="00A61D77">
        <w:rPr>
          <w:color w:val="auto"/>
        </w:rPr>
        <w:t xml:space="preserve">is longer than the duration of therapy </w:t>
      </w:r>
      <w:r w:rsidR="006A3A4F" w:rsidRPr="00A61D77">
        <w:rPr>
          <w:color w:val="auto"/>
        </w:rPr>
        <w:t xml:space="preserve">in patients treated with </w:t>
      </w:r>
      <w:r w:rsidRPr="00A61D77">
        <w:rPr>
          <w:color w:val="auto"/>
        </w:rPr>
        <w:t>nab-P</w:t>
      </w:r>
      <w:r w:rsidR="006A3A4F" w:rsidRPr="00A61D77">
        <w:rPr>
          <w:color w:val="auto"/>
        </w:rPr>
        <w:t xml:space="preserve"> alone</w:t>
      </w:r>
      <w:r w:rsidRPr="00A61D77">
        <w:rPr>
          <w:color w:val="auto"/>
        </w:rPr>
        <w:t>. If the listing of atezolizumab results in a change to the background therapy (</w:t>
      </w:r>
      <w:r w:rsidR="00F25229" w:rsidRPr="00A61D77">
        <w:rPr>
          <w:color w:val="auto"/>
        </w:rPr>
        <w:t>i.e.</w:t>
      </w:r>
      <w:r w:rsidRPr="00A61D77">
        <w:rPr>
          <w:color w:val="auto"/>
        </w:rPr>
        <w:t xml:space="preserve"> a substitution away from other, cheaper therapies to nab-P), this is likely to result in</w:t>
      </w:r>
      <w:r w:rsidR="00F71008" w:rsidRPr="00A61D77">
        <w:rPr>
          <w:color w:val="auto"/>
        </w:rPr>
        <w:t xml:space="preserve"> a higher </w:t>
      </w:r>
      <w:r w:rsidR="002A541E">
        <w:rPr>
          <w:color w:val="auto"/>
        </w:rPr>
        <w:t xml:space="preserve">incremental </w:t>
      </w:r>
      <w:r w:rsidR="00F71008" w:rsidRPr="00A61D77">
        <w:rPr>
          <w:color w:val="auto"/>
        </w:rPr>
        <w:t>cost per patient.</w:t>
      </w:r>
    </w:p>
    <w:p w:rsidR="001C6466" w:rsidRPr="00A61D77" w:rsidRDefault="001C6466" w:rsidP="0011015D">
      <w:pPr>
        <w:pStyle w:val="ListParagraph"/>
        <w:numPr>
          <w:ilvl w:val="4"/>
          <w:numId w:val="1"/>
        </w:numPr>
        <w:rPr>
          <w:color w:val="auto"/>
        </w:rPr>
      </w:pPr>
      <w:r w:rsidRPr="00A61D77">
        <w:rPr>
          <w:color w:val="auto"/>
        </w:rPr>
        <w:t>The average cost per patient per course for ATZ+nab-P and nab-P alone differed between the submission’s economic model and financial analysis</w:t>
      </w:r>
      <w:r w:rsidR="00640B24" w:rsidRPr="00A61D77">
        <w:rPr>
          <w:color w:val="auto"/>
        </w:rPr>
        <w:t xml:space="preserve"> due to differences in the duration of nab-P treatment</w:t>
      </w:r>
      <w:r w:rsidRPr="00A61D77">
        <w:rPr>
          <w:color w:val="auto"/>
        </w:rPr>
        <w:t>. A comparison of the estimated cost per pa</w:t>
      </w:r>
      <w:r w:rsidR="00051AE0" w:rsidRPr="00A61D77">
        <w:rPr>
          <w:color w:val="auto"/>
        </w:rPr>
        <w:t>tient in the financial implications (PD-L1 positive only, Section 4), compared to the implied</w:t>
      </w:r>
      <w:r w:rsidR="00233612">
        <w:rPr>
          <w:color w:val="auto"/>
          <w:vertAlign w:val="superscript"/>
        </w:rPr>
        <w:t>16</w:t>
      </w:r>
      <w:r w:rsidR="00051AE0" w:rsidRPr="00A61D77">
        <w:rPr>
          <w:color w:val="auto"/>
        </w:rPr>
        <w:t xml:space="preserve"> average cost of therapy for PD-L1</w:t>
      </w:r>
      <w:r w:rsidR="004B7914">
        <w:rPr>
          <w:color w:val="auto"/>
        </w:rPr>
        <w:t>-</w:t>
      </w:r>
      <w:r w:rsidR="00051AE0" w:rsidRPr="00A61D77">
        <w:rPr>
          <w:color w:val="auto"/>
        </w:rPr>
        <w:t>positive patients in the economic model are summarised in the tabl</w:t>
      </w:r>
      <w:r w:rsidR="00ED6B32">
        <w:rPr>
          <w:color w:val="auto"/>
        </w:rPr>
        <w:t>e below</w:t>
      </w:r>
      <w:r w:rsidR="007B5085">
        <w:rPr>
          <w:color w:val="auto"/>
        </w:rPr>
        <w:t xml:space="preserve"> (based on the values provided in the submission)</w:t>
      </w:r>
      <w:r w:rsidR="00ED6B32">
        <w:rPr>
          <w:color w:val="auto"/>
        </w:rPr>
        <w:t>.</w:t>
      </w:r>
    </w:p>
    <w:p w:rsidR="000C3C19" w:rsidRDefault="000C3C19" w:rsidP="00EF5451">
      <w:pPr>
        <w:pStyle w:val="Caption"/>
        <w:ind w:left="0" w:firstLine="0"/>
      </w:pPr>
      <w:r>
        <w:lastRenderedPageBreak/>
        <w:t xml:space="preserve">Table </w:t>
      </w:r>
      <w:r w:rsidR="00074BE0">
        <w:rPr>
          <w:noProof/>
        </w:rPr>
        <w:t>17</w:t>
      </w:r>
      <w:r w:rsidR="00EF5451">
        <w:rPr>
          <w:noProof/>
        </w:rPr>
        <w:t xml:space="preserve">: </w:t>
      </w:r>
      <w:r>
        <w:t xml:space="preserve">Comparison of intervention costs between the economic model and financial </w:t>
      </w:r>
      <w:r w:rsidR="004D42E0">
        <w:t>analysis</w:t>
      </w:r>
      <w:r>
        <w:t xml:space="preserve"> for the PD-L1</w:t>
      </w:r>
      <w:r w:rsidR="004B7914">
        <w:t>-</w:t>
      </w:r>
      <w:r>
        <w:t>positive population</w:t>
      </w:r>
      <w:r w:rsidR="003A3126">
        <w:t xml:space="preserve"> (based on the submission)</w:t>
      </w:r>
    </w:p>
    <w:tbl>
      <w:tblPr>
        <w:tblStyle w:val="PBACTableStyle1"/>
        <w:tblW w:w="0" w:type="auto"/>
        <w:tblLook w:val="04A0" w:firstRow="1" w:lastRow="0" w:firstColumn="1" w:lastColumn="0" w:noHBand="0" w:noVBand="1"/>
        <w:tblCaption w:val="Comparison of intervention costs between the economic model and financial analysis for the PD-L1-positive population (based on the submission)"/>
      </w:tblPr>
      <w:tblGrid>
        <w:gridCol w:w="2263"/>
        <w:gridCol w:w="1560"/>
        <w:gridCol w:w="1842"/>
        <w:gridCol w:w="1560"/>
        <w:gridCol w:w="1791"/>
      </w:tblGrid>
      <w:tr w:rsidR="001C6466" w:rsidTr="00E965A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3" w:type="dxa"/>
          </w:tcPr>
          <w:p w:rsidR="001C6466" w:rsidRDefault="001C6466" w:rsidP="00EF5451">
            <w:pPr>
              <w:pStyle w:val="Tabletext1"/>
              <w:keepNext/>
            </w:pPr>
            <w:bookmarkStart w:id="40" w:name="_GoBack" w:colFirst="0" w:colLast="3"/>
          </w:p>
        </w:tc>
        <w:tc>
          <w:tcPr>
            <w:tcW w:w="3402" w:type="dxa"/>
            <w:gridSpan w:val="2"/>
          </w:tcPr>
          <w:p w:rsidR="001C6466" w:rsidRDefault="001C6466" w:rsidP="00EF5451">
            <w:pPr>
              <w:pStyle w:val="Tabletext1"/>
              <w:keepNext/>
              <w:jc w:val="center"/>
              <w:cnfStyle w:val="100000000000" w:firstRow="1" w:lastRow="0" w:firstColumn="0" w:lastColumn="0" w:oddVBand="0" w:evenVBand="0" w:oddHBand="0" w:evenHBand="0" w:firstRowFirstColumn="0" w:firstRowLastColumn="0" w:lastRowFirstColumn="0" w:lastRowLastColumn="0"/>
            </w:pPr>
            <w:r>
              <w:t>Proposed scenario</w:t>
            </w:r>
          </w:p>
        </w:tc>
        <w:tc>
          <w:tcPr>
            <w:tcW w:w="3351" w:type="dxa"/>
            <w:gridSpan w:val="2"/>
          </w:tcPr>
          <w:p w:rsidR="001C6466" w:rsidRDefault="001C6466" w:rsidP="00EF5451">
            <w:pPr>
              <w:pStyle w:val="Tabletext1"/>
              <w:keepNext/>
              <w:jc w:val="center"/>
              <w:cnfStyle w:val="100000000000" w:firstRow="1" w:lastRow="0" w:firstColumn="0" w:lastColumn="0" w:oddVBand="0" w:evenVBand="0" w:oddHBand="0" w:evenHBand="0" w:firstRowFirstColumn="0" w:firstRowLastColumn="0" w:lastRowFirstColumn="0" w:lastRowLastColumn="0"/>
            </w:pPr>
            <w:r>
              <w:t>Current scenario</w:t>
            </w:r>
          </w:p>
        </w:tc>
      </w:tr>
      <w:bookmarkEnd w:id="40"/>
      <w:tr w:rsidR="001C6466" w:rsidTr="00ED6B32">
        <w:tc>
          <w:tcPr>
            <w:cnfStyle w:val="001000000000" w:firstRow="0" w:lastRow="0" w:firstColumn="1" w:lastColumn="0" w:oddVBand="0" w:evenVBand="0" w:oddHBand="0" w:evenHBand="0" w:firstRowFirstColumn="0" w:firstRowLastColumn="0" w:lastRowFirstColumn="0" w:lastRowLastColumn="0"/>
            <w:tcW w:w="2263" w:type="dxa"/>
          </w:tcPr>
          <w:p w:rsidR="001C6466" w:rsidRDefault="001C6466" w:rsidP="00EF5451">
            <w:pPr>
              <w:pStyle w:val="Tabletext1"/>
              <w:keepNext/>
            </w:pPr>
          </w:p>
        </w:tc>
        <w:tc>
          <w:tcPr>
            <w:tcW w:w="1560" w:type="dxa"/>
          </w:tcPr>
          <w:p w:rsidR="001C6466" w:rsidRPr="0039294C" w:rsidRDefault="001C6466" w:rsidP="00EF5451">
            <w:pPr>
              <w:pStyle w:val="Tabletext1"/>
              <w:keepNext/>
              <w:jc w:val="center"/>
              <w:cnfStyle w:val="000000000000" w:firstRow="0" w:lastRow="0" w:firstColumn="0" w:lastColumn="0" w:oddVBand="0" w:evenVBand="0" w:oddHBand="0" w:evenHBand="0" w:firstRowFirstColumn="0" w:firstRowLastColumn="0" w:lastRowFirstColumn="0" w:lastRowLastColumn="0"/>
              <w:rPr>
                <w:b/>
              </w:rPr>
            </w:pPr>
            <w:r>
              <w:rPr>
                <w:b/>
              </w:rPr>
              <w:t xml:space="preserve">Economic </w:t>
            </w:r>
            <w:r w:rsidR="00F71008">
              <w:rPr>
                <w:b/>
              </w:rPr>
              <w:t>m</w:t>
            </w:r>
            <w:r>
              <w:rPr>
                <w:b/>
              </w:rPr>
              <w:t>odel</w:t>
            </w:r>
          </w:p>
        </w:tc>
        <w:tc>
          <w:tcPr>
            <w:tcW w:w="1842" w:type="dxa"/>
          </w:tcPr>
          <w:p w:rsidR="001C6466" w:rsidRPr="0039294C" w:rsidRDefault="001C6466" w:rsidP="00EF5451">
            <w:pPr>
              <w:pStyle w:val="Tabletext1"/>
              <w:keepNext/>
              <w:jc w:val="center"/>
              <w:cnfStyle w:val="000000000000" w:firstRow="0" w:lastRow="0" w:firstColumn="0" w:lastColumn="0" w:oddVBand="0" w:evenVBand="0" w:oddHBand="0" w:evenHBand="0" w:firstRowFirstColumn="0" w:firstRowLastColumn="0" w:lastRowFirstColumn="0" w:lastRowLastColumn="0"/>
              <w:rPr>
                <w:b/>
              </w:rPr>
            </w:pPr>
            <w:r>
              <w:rPr>
                <w:b/>
              </w:rPr>
              <w:t xml:space="preserve">Financial </w:t>
            </w:r>
            <w:r w:rsidR="004D42E0">
              <w:rPr>
                <w:b/>
              </w:rPr>
              <w:t>analysis</w:t>
            </w:r>
          </w:p>
        </w:tc>
        <w:tc>
          <w:tcPr>
            <w:tcW w:w="1560" w:type="dxa"/>
          </w:tcPr>
          <w:p w:rsidR="001C6466" w:rsidRPr="0039294C" w:rsidRDefault="001C6466" w:rsidP="00EF5451">
            <w:pPr>
              <w:pStyle w:val="Tabletext1"/>
              <w:keepNext/>
              <w:jc w:val="center"/>
              <w:cnfStyle w:val="000000000000" w:firstRow="0" w:lastRow="0" w:firstColumn="0" w:lastColumn="0" w:oddVBand="0" w:evenVBand="0" w:oddHBand="0" w:evenHBand="0" w:firstRowFirstColumn="0" w:firstRowLastColumn="0" w:lastRowFirstColumn="0" w:lastRowLastColumn="0"/>
              <w:rPr>
                <w:b/>
              </w:rPr>
            </w:pPr>
            <w:r>
              <w:rPr>
                <w:b/>
              </w:rPr>
              <w:t xml:space="preserve">Economic </w:t>
            </w:r>
            <w:r w:rsidR="00F71008">
              <w:rPr>
                <w:b/>
              </w:rPr>
              <w:t>m</w:t>
            </w:r>
            <w:r>
              <w:rPr>
                <w:b/>
              </w:rPr>
              <w:t>odel</w:t>
            </w:r>
          </w:p>
        </w:tc>
        <w:tc>
          <w:tcPr>
            <w:tcW w:w="1791" w:type="dxa"/>
          </w:tcPr>
          <w:p w:rsidR="001C6466" w:rsidRPr="0039294C" w:rsidRDefault="001C6466" w:rsidP="00EF5451">
            <w:pPr>
              <w:pStyle w:val="Tabletext1"/>
              <w:keepNext/>
              <w:jc w:val="center"/>
              <w:cnfStyle w:val="000000000000" w:firstRow="0" w:lastRow="0" w:firstColumn="0" w:lastColumn="0" w:oddVBand="0" w:evenVBand="0" w:oddHBand="0" w:evenHBand="0" w:firstRowFirstColumn="0" w:firstRowLastColumn="0" w:lastRowFirstColumn="0" w:lastRowLastColumn="0"/>
              <w:rPr>
                <w:b/>
              </w:rPr>
            </w:pPr>
            <w:r>
              <w:rPr>
                <w:b/>
              </w:rPr>
              <w:t xml:space="preserve">Financial </w:t>
            </w:r>
            <w:r w:rsidR="004D42E0">
              <w:rPr>
                <w:b/>
              </w:rPr>
              <w:t>analysis</w:t>
            </w:r>
          </w:p>
        </w:tc>
      </w:tr>
      <w:tr w:rsidR="00051AE0" w:rsidTr="008D7B4B">
        <w:tc>
          <w:tcPr>
            <w:cnfStyle w:val="001000000000" w:firstRow="0" w:lastRow="0" w:firstColumn="1" w:lastColumn="0" w:oddVBand="0" w:evenVBand="0" w:oddHBand="0" w:evenHBand="0" w:firstRowFirstColumn="0" w:firstRowLastColumn="0" w:lastRowFirstColumn="0" w:lastRowLastColumn="0"/>
            <w:tcW w:w="9016" w:type="dxa"/>
            <w:gridSpan w:val="5"/>
          </w:tcPr>
          <w:p w:rsidR="00051AE0" w:rsidRPr="00D44C68" w:rsidRDefault="00051AE0" w:rsidP="00EF5451">
            <w:pPr>
              <w:pStyle w:val="Tabletext1"/>
              <w:keepNext/>
            </w:pPr>
            <w:r w:rsidRPr="00051AE0">
              <w:rPr>
                <w:b/>
              </w:rPr>
              <w:t>Cost of atezolizumab</w:t>
            </w:r>
          </w:p>
        </w:tc>
      </w:tr>
      <w:tr w:rsidR="00E70303" w:rsidTr="00ED6B32">
        <w:tc>
          <w:tcPr>
            <w:cnfStyle w:val="001000000000" w:firstRow="0" w:lastRow="0" w:firstColumn="1" w:lastColumn="0" w:oddVBand="0" w:evenVBand="0" w:oddHBand="0" w:evenHBand="0" w:firstRowFirstColumn="0" w:firstRowLastColumn="0" w:lastRowFirstColumn="0" w:lastRowLastColumn="0"/>
            <w:tcW w:w="2263" w:type="dxa"/>
          </w:tcPr>
          <w:p w:rsidR="00E70303" w:rsidRDefault="00E70303" w:rsidP="00EF5451">
            <w:pPr>
              <w:pStyle w:val="Tabletext1"/>
              <w:keepNext/>
            </w:pPr>
            <w:r>
              <w:t>Average duration of therapy</w:t>
            </w:r>
          </w:p>
        </w:tc>
        <w:tc>
          <w:tcPr>
            <w:tcW w:w="1560" w:type="dxa"/>
          </w:tcPr>
          <w:p w:rsidR="00E70303" w:rsidRPr="00D44C68" w:rsidRDefault="00E70303" w:rsidP="00EF5451">
            <w:pPr>
              <w:pStyle w:val="Tabletext1"/>
              <w:keepNext/>
              <w:jc w:val="center"/>
              <w:cnfStyle w:val="000000000000" w:firstRow="0" w:lastRow="0" w:firstColumn="0" w:lastColumn="0" w:oddVBand="0" w:evenVBand="0" w:oddHBand="0" w:evenHBand="0" w:firstRowFirstColumn="0" w:firstRowLastColumn="0" w:lastRowFirstColumn="0" w:lastRowLastColumn="0"/>
            </w:pPr>
            <w:r>
              <w:t>12.47 months</w:t>
            </w:r>
          </w:p>
        </w:tc>
        <w:tc>
          <w:tcPr>
            <w:tcW w:w="1842" w:type="dxa"/>
          </w:tcPr>
          <w:p w:rsidR="00E70303" w:rsidRPr="00D44C68" w:rsidRDefault="00E70303" w:rsidP="00EF5451">
            <w:pPr>
              <w:pStyle w:val="Tabletext1"/>
              <w:keepNext/>
              <w:jc w:val="center"/>
              <w:cnfStyle w:val="000000000000" w:firstRow="0" w:lastRow="0" w:firstColumn="0" w:lastColumn="0" w:oddVBand="0" w:evenVBand="0" w:oddHBand="0" w:evenHBand="0" w:firstRowFirstColumn="0" w:firstRowLastColumn="0" w:lastRowFirstColumn="0" w:lastRowLastColumn="0"/>
            </w:pPr>
          </w:p>
        </w:tc>
        <w:tc>
          <w:tcPr>
            <w:tcW w:w="1560" w:type="dxa"/>
          </w:tcPr>
          <w:p w:rsidR="00E70303" w:rsidRPr="00D44C68" w:rsidRDefault="00E70303" w:rsidP="00EF5451">
            <w:pPr>
              <w:pStyle w:val="Tabletext1"/>
              <w:keepNext/>
              <w:jc w:val="center"/>
              <w:cnfStyle w:val="000000000000" w:firstRow="0" w:lastRow="0" w:firstColumn="0" w:lastColumn="0" w:oddVBand="0" w:evenVBand="0" w:oddHBand="0" w:evenHBand="0" w:firstRowFirstColumn="0" w:firstRowLastColumn="0" w:lastRowFirstColumn="0" w:lastRowLastColumn="0"/>
            </w:pPr>
            <w:r>
              <w:t>N/A</w:t>
            </w:r>
          </w:p>
        </w:tc>
        <w:tc>
          <w:tcPr>
            <w:tcW w:w="1791" w:type="dxa"/>
          </w:tcPr>
          <w:p w:rsidR="00E70303" w:rsidRPr="00D44C68" w:rsidRDefault="00E70303" w:rsidP="00EF5451">
            <w:pPr>
              <w:pStyle w:val="Tabletext1"/>
              <w:keepNext/>
              <w:jc w:val="center"/>
              <w:cnfStyle w:val="000000000000" w:firstRow="0" w:lastRow="0" w:firstColumn="0" w:lastColumn="0" w:oddVBand="0" w:evenVBand="0" w:oddHBand="0" w:evenHBand="0" w:firstRowFirstColumn="0" w:firstRowLastColumn="0" w:lastRowFirstColumn="0" w:lastRowLastColumn="0"/>
            </w:pPr>
            <w:r>
              <w:t>N/A</w:t>
            </w:r>
          </w:p>
        </w:tc>
      </w:tr>
      <w:tr w:rsidR="00E70303" w:rsidTr="00ED6B32">
        <w:tc>
          <w:tcPr>
            <w:cnfStyle w:val="001000000000" w:firstRow="0" w:lastRow="0" w:firstColumn="1" w:lastColumn="0" w:oddVBand="0" w:evenVBand="0" w:oddHBand="0" w:evenHBand="0" w:firstRowFirstColumn="0" w:firstRowLastColumn="0" w:lastRowFirstColumn="0" w:lastRowLastColumn="0"/>
            <w:tcW w:w="2263" w:type="dxa"/>
          </w:tcPr>
          <w:p w:rsidR="00E70303" w:rsidRDefault="00E70303" w:rsidP="00EF5451">
            <w:pPr>
              <w:pStyle w:val="Tabletext1"/>
              <w:keepNext/>
            </w:pPr>
            <w:r>
              <w:t>Number of administrations*</w:t>
            </w:r>
          </w:p>
        </w:tc>
        <w:tc>
          <w:tcPr>
            <w:tcW w:w="1560" w:type="dxa"/>
          </w:tcPr>
          <w:p w:rsidR="00E70303" w:rsidRPr="00D44C68" w:rsidRDefault="00E70303" w:rsidP="00EF5451">
            <w:pPr>
              <w:pStyle w:val="Tabletext1"/>
              <w:keepNext/>
              <w:jc w:val="center"/>
              <w:cnfStyle w:val="000000000000" w:firstRow="0" w:lastRow="0" w:firstColumn="0" w:lastColumn="0" w:oddVBand="0" w:evenVBand="0" w:oddHBand="0" w:evenHBand="0" w:firstRowFirstColumn="0" w:firstRowLastColumn="0" w:lastRowFirstColumn="0" w:lastRowLastColumn="0"/>
            </w:pPr>
            <w:r>
              <w:t>27.</w:t>
            </w:r>
            <w:r w:rsidR="00007BD0">
              <w:t>4</w:t>
            </w:r>
          </w:p>
        </w:tc>
        <w:tc>
          <w:tcPr>
            <w:tcW w:w="1842" w:type="dxa"/>
          </w:tcPr>
          <w:p w:rsidR="00E70303" w:rsidRPr="00D44C68" w:rsidRDefault="00E70303" w:rsidP="00EF5451">
            <w:pPr>
              <w:pStyle w:val="Tabletext1"/>
              <w:keepNext/>
              <w:jc w:val="center"/>
              <w:cnfStyle w:val="000000000000" w:firstRow="0" w:lastRow="0" w:firstColumn="0" w:lastColumn="0" w:oddVBand="0" w:evenVBand="0" w:oddHBand="0" w:evenHBand="0" w:firstRowFirstColumn="0" w:firstRowLastColumn="0" w:lastRowFirstColumn="0" w:lastRowLastColumn="0"/>
            </w:pPr>
            <w:r w:rsidRPr="00D65F94">
              <w:rPr>
                <w:rFonts w:eastAsiaTheme="minorHAnsi"/>
              </w:rPr>
              <w:t>27.</w:t>
            </w:r>
            <w:r w:rsidR="00007BD0">
              <w:rPr>
                <w:rFonts w:eastAsiaTheme="minorHAnsi"/>
              </w:rPr>
              <w:t>4</w:t>
            </w:r>
          </w:p>
        </w:tc>
        <w:tc>
          <w:tcPr>
            <w:tcW w:w="1560" w:type="dxa"/>
          </w:tcPr>
          <w:p w:rsidR="00E70303" w:rsidRPr="00D44C68" w:rsidRDefault="00E70303" w:rsidP="00EF5451">
            <w:pPr>
              <w:pStyle w:val="Tabletext1"/>
              <w:keepNext/>
              <w:jc w:val="center"/>
              <w:cnfStyle w:val="000000000000" w:firstRow="0" w:lastRow="0" w:firstColumn="0" w:lastColumn="0" w:oddVBand="0" w:evenVBand="0" w:oddHBand="0" w:evenHBand="0" w:firstRowFirstColumn="0" w:firstRowLastColumn="0" w:lastRowFirstColumn="0" w:lastRowLastColumn="0"/>
            </w:pPr>
            <w:r>
              <w:t>N/A</w:t>
            </w:r>
          </w:p>
        </w:tc>
        <w:tc>
          <w:tcPr>
            <w:tcW w:w="1791" w:type="dxa"/>
          </w:tcPr>
          <w:p w:rsidR="00E70303" w:rsidRPr="00D44C68" w:rsidRDefault="00E70303" w:rsidP="00EF5451">
            <w:pPr>
              <w:pStyle w:val="Tabletext1"/>
              <w:keepNext/>
              <w:jc w:val="center"/>
              <w:cnfStyle w:val="000000000000" w:firstRow="0" w:lastRow="0" w:firstColumn="0" w:lastColumn="0" w:oddVBand="0" w:evenVBand="0" w:oddHBand="0" w:evenHBand="0" w:firstRowFirstColumn="0" w:firstRowLastColumn="0" w:lastRowFirstColumn="0" w:lastRowLastColumn="0"/>
            </w:pPr>
            <w:r>
              <w:t>N/A</w:t>
            </w:r>
          </w:p>
        </w:tc>
      </w:tr>
      <w:tr w:rsidR="00E70303" w:rsidTr="00ED6B32">
        <w:tc>
          <w:tcPr>
            <w:cnfStyle w:val="001000000000" w:firstRow="0" w:lastRow="0" w:firstColumn="1" w:lastColumn="0" w:oddVBand="0" w:evenVBand="0" w:oddHBand="0" w:evenHBand="0" w:firstRowFirstColumn="0" w:firstRowLastColumn="0" w:lastRowFirstColumn="0" w:lastRowLastColumn="0"/>
            <w:tcW w:w="2263" w:type="dxa"/>
          </w:tcPr>
          <w:p w:rsidR="00E70303" w:rsidRDefault="00E70303" w:rsidP="00EF5451">
            <w:pPr>
              <w:pStyle w:val="Tabletext1"/>
              <w:keepNext/>
            </w:pPr>
            <w:r>
              <w:t>Cost per administration</w:t>
            </w:r>
          </w:p>
        </w:tc>
        <w:tc>
          <w:tcPr>
            <w:tcW w:w="3402" w:type="dxa"/>
            <w:gridSpan w:val="2"/>
          </w:tcPr>
          <w:p w:rsidR="00E70303" w:rsidRPr="00D44C68" w:rsidRDefault="00E70303" w:rsidP="00EF5451">
            <w:pPr>
              <w:pStyle w:val="Tabletext1"/>
              <w:keepNext/>
              <w:jc w:val="center"/>
              <w:cnfStyle w:val="000000000000" w:firstRow="0" w:lastRow="0" w:firstColumn="0" w:lastColumn="0" w:oddVBand="0" w:evenVBand="0" w:oddHBand="0" w:evenHBand="0" w:firstRowFirstColumn="0" w:firstRowLastColumn="0" w:lastRowFirstColumn="0" w:lastRowLastColumn="0"/>
            </w:pPr>
            <w:r>
              <w:t>$</w:t>
            </w:r>
            <w:r w:rsidR="00EB2224">
              <w:rPr>
                <w:noProof/>
                <w:color w:val="000000"/>
                <w:highlight w:val="black"/>
              </w:rPr>
              <w:t>''''''''''''''''''''''</w:t>
            </w:r>
          </w:p>
        </w:tc>
        <w:tc>
          <w:tcPr>
            <w:tcW w:w="1560" w:type="dxa"/>
          </w:tcPr>
          <w:p w:rsidR="00E70303" w:rsidRPr="00D44C68" w:rsidRDefault="00E70303" w:rsidP="00EF5451">
            <w:pPr>
              <w:pStyle w:val="Tabletext1"/>
              <w:keepNext/>
              <w:jc w:val="center"/>
              <w:cnfStyle w:val="000000000000" w:firstRow="0" w:lastRow="0" w:firstColumn="0" w:lastColumn="0" w:oddVBand="0" w:evenVBand="0" w:oddHBand="0" w:evenHBand="0" w:firstRowFirstColumn="0" w:firstRowLastColumn="0" w:lastRowFirstColumn="0" w:lastRowLastColumn="0"/>
            </w:pPr>
            <w:r>
              <w:t>N/A</w:t>
            </w:r>
          </w:p>
        </w:tc>
        <w:tc>
          <w:tcPr>
            <w:tcW w:w="1791" w:type="dxa"/>
          </w:tcPr>
          <w:p w:rsidR="00E70303" w:rsidRPr="00D44C68" w:rsidRDefault="00E70303" w:rsidP="00EF5451">
            <w:pPr>
              <w:pStyle w:val="Tabletext1"/>
              <w:keepNext/>
              <w:jc w:val="center"/>
              <w:cnfStyle w:val="000000000000" w:firstRow="0" w:lastRow="0" w:firstColumn="0" w:lastColumn="0" w:oddVBand="0" w:evenVBand="0" w:oddHBand="0" w:evenHBand="0" w:firstRowFirstColumn="0" w:firstRowLastColumn="0" w:lastRowFirstColumn="0" w:lastRowLastColumn="0"/>
            </w:pPr>
            <w:r>
              <w:t>N/A</w:t>
            </w:r>
          </w:p>
        </w:tc>
      </w:tr>
      <w:tr w:rsidR="00E70303" w:rsidTr="00ED6B32">
        <w:tc>
          <w:tcPr>
            <w:cnfStyle w:val="001000000000" w:firstRow="0" w:lastRow="0" w:firstColumn="1" w:lastColumn="0" w:oddVBand="0" w:evenVBand="0" w:oddHBand="0" w:evenHBand="0" w:firstRowFirstColumn="0" w:firstRowLastColumn="0" w:lastRowFirstColumn="0" w:lastRowLastColumn="0"/>
            <w:tcW w:w="2263" w:type="dxa"/>
          </w:tcPr>
          <w:p w:rsidR="00E70303" w:rsidRDefault="00E70303" w:rsidP="00EF5451">
            <w:pPr>
              <w:pStyle w:val="Tabletext1"/>
              <w:keepNext/>
            </w:pPr>
            <w:r>
              <w:t>Average cost per patient</w:t>
            </w:r>
          </w:p>
        </w:tc>
        <w:tc>
          <w:tcPr>
            <w:tcW w:w="3402" w:type="dxa"/>
            <w:gridSpan w:val="2"/>
          </w:tcPr>
          <w:p w:rsidR="00E70303" w:rsidRPr="00D44C68" w:rsidRDefault="00E70303" w:rsidP="00EF5451">
            <w:pPr>
              <w:pStyle w:val="Tabletext1"/>
              <w:keepNext/>
              <w:jc w:val="center"/>
              <w:cnfStyle w:val="000000000000" w:firstRow="0" w:lastRow="0" w:firstColumn="0" w:lastColumn="0" w:oddVBand="0" w:evenVBand="0" w:oddHBand="0" w:evenHBand="0" w:firstRowFirstColumn="0" w:firstRowLastColumn="0" w:lastRowFirstColumn="0" w:lastRowLastColumn="0"/>
            </w:pPr>
            <w:r w:rsidRPr="000C3C19">
              <w:t>$</w:t>
            </w:r>
            <w:r w:rsidR="00EB2224">
              <w:rPr>
                <w:noProof/>
                <w:color w:val="000000"/>
                <w:highlight w:val="black"/>
              </w:rPr>
              <w:t>'''''''''''''''''</w:t>
            </w:r>
          </w:p>
        </w:tc>
        <w:tc>
          <w:tcPr>
            <w:tcW w:w="1560" w:type="dxa"/>
          </w:tcPr>
          <w:p w:rsidR="00E70303" w:rsidRPr="00D44C68" w:rsidRDefault="00E70303" w:rsidP="00EF5451">
            <w:pPr>
              <w:pStyle w:val="Tabletext1"/>
              <w:keepNext/>
              <w:jc w:val="center"/>
              <w:cnfStyle w:val="000000000000" w:firstRow="0" w:lastRow="0" w:firstColumn="0" w:lastColumn="0" w:oddVBand="0" w:evenVBand="0" w:oddHBand="0" w:evenHBand="0" w:firstRowFirstColumn="0" w:firstRowLastColumn="0" w:lastRowFirstColumn="0" w:lastRowLastColumn="0"/>
            </w:pPr>
            <w:r>
              <w:t>N/A</w:t>
            </w:r>
          </w:p>
        </w:tc>
        <w:tc>
          <w:tcPr>
            <w:tcW w:w="1791" w:type="dxa"/>
          </w:tcPr>
          <w:p w:rsidR="00E70303" w:rsidRPr="00D44C68" w:rsidRDefault="00E70303" w:rsidP="00EF5451">
            <w:pPr>
              <w:pStyle w:val="Tabletext1"/>
              <w:keepNext/>
              <w:jc w:val="center"/>
              <w:cnfStyle w:val="000000000000" w:firstRow="0" w:lastRow="0" w:firstColumn="0" w:lastColumn="0" w:oddVBand="0" w:evenVBand="0" w:oddHBand="0" w:evenHBand="0" w:firstRowFirstColumn="0" w:firstRowLastColumn="0" w:lastRowFirstColumn="0" w:lastRowLastColumn="0"/>
            </w:pPr>
            <w:r>
              <w:t>N/A</w:t>
            </w:r>
          </w:p>
        </w:tc>
      </w:tr>
      <w:tr w:rsidR="00E70303" w:rsidRPr="005F79FA" w:rsidTr="008D7B4B">
        <w:tc>
          <w:tcPr>
            <w:cnfStyle w:val="001000000000" w:firstRow="0" w:lastRow="0" w:firstColumn="1" w:lastColumn="0" w:oddVBand="0" w:evenVBand="0" w:oddHBand="0" w:evenHBand="0" w:firstRowFirstColumn="0" w:firstRowLastColumn="0" w:lastRowFirstColumn="0" w:lastRowLastColumn="0"/>
            <w:tcW w:w="9016" w:type="dxa"/>
            <w:gridSpan w:val="5"/>
          </w:tcPr>
          <w:p w:rsidR="00E70303" w:rsidRPr="005F79FA" w:rsidRDefault="00E70303" w:rsidP="00EF5451">
            <w:pPr>
              <w:pStyle w:val="Tabletext1"/>
              <w:keepNext/>
            </w:pPr>
            <w:r w:rsidRPr="005F79FA">
              <w:rPr>
                <w:b/>
              </w:rPr>
              <w:t xml:space="preserve">Cost of nab-paclitaxel </w:t>
            </w:r>
          </w:p>
        </w:tc>
      </w:tr>
      <w:tr w:rsidR="00E70303" w:rsidRPr="005F79FA" w:rsidTr="00ED6B32">
        <w:tc>
          <w:tcPr>
            <w:cnfStyle w:val="001000000000" w:firstRow="0" w:lastRow="0" w:firstColumn="1" w:lastColumn="0" w:oddVBand="0" w:evenVBand="0" w:oddHBand="0" w:evenHBand="0" w:firstRowFirstColumn="0" w:firstRowLastColumn="0" w:lastRowFirstColumn="0" w:lastRowLastColumn="0"/>
            <w:tcW w:w="2263" w:type="dxa"/>
          </w:tcPr>
          <w:p w:rsidR="00E70303" w:rsidRPr="005F79FA" w:rsidRDefault="00E70303" w:rsidP="00EF5451">
            <w:pPr>
              <w:pStyle w:val="Tabletext1"/>
              <w:keepNext/>
            </w:pPr>
            <w:r w:rsidRPr="005F79FA">
              <w:t>Average duration of therapy</w:t>
            </w:r>
          </w:p>
        </w:tc>
        <w:tc>
          <w:tcPr>
            <w:tcW w:w="1560" w:type="dxa"/>
          </w:tcPr>
          <w:p w:rsidR="00E70303" w:rsidRPr="00EB2224" w:rsidRDefault="00EB2224" w:rsidP="00EF5451">
            <w:pPr>
              <w:pStyle w:val="Tabletext1"/>
              <w:keepNext/>
              <w:jc w:val="center"/>
              <w:cnfStyle w:val="000000000000" w:firstRow="0" w:lastRow="0" w:firstColumn="0" w:lastColumn="0" w:oddVBand="0" w:evenVBand="0" w:oddHBand="0" w:evenHBand="0" w:firstRowFirstColumn="0" w:firstRowLastColumn="0" w:lastRowFirstColumn="0" w:lastRowLastColumn="0"/>
            </w:pPr>
            <w:r>
              <w:rPr>
                <w:noProof/>
                <w:color w:val="000000"/>
                <w:highlight w:val="black"/>
              </w:rPr>
              <w:t xml:space="preserve">'''''''''' </w:t>
            </w:r>
            <w:r w:rsidR="00E70303" w:rsidRPr="005F79FA">
              <w:t>months</w:t>
            </w:r>
          </w:p>
        </w:tc>
        <w:tc>
          <w:tcPr>
            <w:tcW w:w="1842" w:type="dxa"/>
          </w:tcPr>
          <w:p w:rsidR="00E70303" w:rsidRPr="00EB2224" w:rsidRDefault="00EB2224" w:rsidP="00EF5451">
            <w:pPr>
              <w:pStyle w:val="Tabletext1"/>
              <w:keepNext/>
              <w:jc w:val="center"/>
              <w:cnfStyle w:val="000000000000" w:firstRow="0" w:lastRow="0" w:firstColumn="0" w:lastColumn="0" w:oddVBand="0" w:evenVBand="0" w:oddHBand="0" w:evenHBand="0" w:firstRowFirstColumn="0" w:firstRowLastColumn="0" w:lastRowFirstColumn="0" w:lastRowLastColumn="0"/>
            </w:pPr>
            <w:r>
              <w:rPr>
                <w:noProof/>
                <w:color w:val="000000"/>
                <w:highlight w:val="black"/>
              </w:rPr>
              <w:t xml:space="preserve">'''''''' </w:t>
            </w:r>
            <w:r w:rsidR="00E70303" w:rsidRPr="005F79FA">
              <w:t>months</w:t>
            </w:r>
          </w:p>
        </w:tc>
        <w:tc>
          <w:tcPr>
            <w:tcW w:w="1560" w:type="dxa"/>
          </w:tcPr>
          <w:p w:rsidR="00E70303" w:rsidRPr="00EB2224" w:rsidRDefault="00EB2224" w:rsidP="00EF5451">
            <w:pPr>
              <w:pStyle w:val="Tabletext1"/>
              <w:keepNext/>
              <w:jc w:val="center"/>
              <w:cnfStyle w:val="000000000000" w:firstRow="0" w:lastRow="0" w:firstColumn="0" w:lastColumn="0" w:oddVBand="0" w:evenVBand="0" w:oddHBand="0" w:evenHBand="0" w:firstRowFirstColumn="0" w:firstRowLastColumn="0" w:lastRowFirstColumn="0" w:lastRowLastColumn="0"/>
            </w:pPr>
            <w:r>
              <w:rPr>
                <w:noProof/>
                <w:color w:val="000000"/>
                <w:highlight w:val="black"/>
              </w:rPr>
              <w:t xml:space="preserve">''''''' </w:t>
            </w:r>
            <w:r w:rsidR="00E70303" w:rsidRPr="005F79FA">
              <w:t>months</w:t>
            </w:r>
          </w:p>
        </w:tc>
        <w:tc>
          <w:tcPr>
            <w:tcW w:w="1791" w:type="dxa"/>
          </w:tcPr>
          <w:p w:rsidR="00E70303" w:rsidRPr="00EB2224" w:rsidRDefault="00EB2224" w:rsidP="00EF5451">
            <w:pPr>
              <w:pStyle w:val="Tabletext1"/>
              <w:keepNext/>
              <w:jc w:val="center"/>
              <w:cnfStyle w:val="000000000000" w:firstRow="0" w:lastRow="0" w:firstColumn="0" w:lastColumn="0" w:oddVBand="0" w:evenVBand="0" w:oddHBand="0" w:evenHBand="0" w:firstRowFirstColumn="0" w:firstRowLastColumn="0" w:lastRowFirstColumn="0" w:lastRowLastColumn="0"/>
            </w:pPr>
            <w:r>
              <w:rPr>
                <w:noProof/>
                <w:color w:val="000000"/>
                <w:highlight w:val="black"/>
              </w:rPr>
              <w:t xml:space="preserve">''''''''' </w:t>
            </w:r>
            <w:r w:rsidR="00E70303" w:rsidRPr="005F79FA">
              <w:t>months</w:t>
            </w:r>
          </w:p>
        </w:tc>
      </w:tr>
      <w:tr w:rsidR="00E70303" w:rsidRPr="005F79FA" w:rsidTr="00ED6B32">
        <w:tc>
          <w:tcPr>
            <w:cnfStyle w:val="001000000000" w:firstRow="0" w:lastRow="0" w:firstColumn="1" w:lastColumn="0" w:oddVBand="0" w:evenVBand="0" w:oddHBand="0" w:evenHBand="0" w:firstRowFirstColumn="0" w:firstRowLastColumn="0" w:lastRowFirstColumn="0" w:lastRowLastColumn="0"/>
            <w:tcW w:w="2263" w:type="dxa"/>
          </w:tcPr>
          <w:p w:rsidR="00E70303" w:rsidRPr="005F79FA" w:rsidRDefault="00E70303" w:rsidP="00EF5451">
            <w:pPr>
              <w:pStyle w:val="Tabletext1"/>
              <w:keepNext/>
            </w:pPr>
            <w:r w:rsidRPr="005F79FA">
              <w:t>Number of administrations*</w:t>
            </w:r>
          </w:p>
        </w:tc>
        <w:tc>
          <w:tcPr>
            <w:tcW w:w="1560" w:type="dxa"/>
          </w:tcPr>
          <w:p w:rsidR="00E70303" w:rsidRPr="00EB2224" w:rsidRDefault="00EB2224" w:rsidP="00EF5451">
            <w:pPr>
              <w:pStyle w:val="Tabletext1"/>
              <w:keepNext/>
              <w:jc w:val="center"/>
              <w:cnfStyle w:val="000000000000" w:firstRow="0" w:lastRow="0" w:firstColumn="0" w:lastColumn="0" w:oddVBand="0" w:evenVBand="0" w:oddHBand="0" w:evenHBand="0" w:firstRowFirstColumn="0" w:firstRowLastColumn="0" w:lastRowFirstColumn="0" w:lastRowLastColumn="0"/>
              <w:rPr>
                <w:highlight w:val="black"/>
              </w:rPr>
            </w:pPr>
            <w:r>
              <w:rPr>
                <w:noProof/>
                <w:color w:val="000000"/>
                <w:highlight w:val="black"/>
              </w:rPr>
              <w:t>''''''''''''</w:t>
            </w:r>
          </w:p>
        </w:tc>
        <w:tc>
          <w:tcPr>
            <w:tcW w:w="1842" w:type="dxa"/>
          </w:tcPr>
          <w:p w:rsidR="00E70303" w:rsidRPr="00EB2224" w:rsidRDefault="00EB2224" w:rsidP="00EF5451">
            <w:pPr>
              <w:pStyle w:val="Tabletext1"/>
              <w:keepNext/>
              <w:jc w:val="center"/>
              <w:cnfStyle w:val="000000000000" w:firstRow="0" w:lastRow="0" w:firstColumn="0" w:lastColumn="0" w:oddVBand="0" w:evenVBand="0" w:oddHBand="0" w:evenHBand="0" w:firstRowFirstColumn="0" w:firstRowLastColumn="0" w:lastRowFirstColumn="0" w:lastRowLastColumn="0"/>
              <w:rPr>
                <w:highlight w:val="black"/>
              </w:rPr>
            </w:pPr>
            <w:r>
              <w:rPr>
                <w:noProof/>
                <w:color w:val="000000"/>
                <w:highlight w:val="black"/>
              </w:rPr>
              <w:t>''''''''''''''</w:t>
            </w:r>
          </w:p>
        </w:tc>
        <w:tc>
          <w:tcPr>
            <w:tcW w:w="1560" w:type="dxa"/>
          </w:tcPr>
          <w:p w:rsidR="00E70303" w:rsidRPr="00EB2224" w:rsidRDefault="00EB2224" w:rsidP="00EF5451">
            <w:pPr>
              <w:pStyle w:val="Tabletext1"/>
              <w:keepNext/>
              <w:jc w:val="center"/>
              <w:cnfStyle w:val="000000000000" w:firstRow="0" w:lastRow="0" w:firstColumn="0" w:lastColumn="0" w:oddVBand="0" w:evenVBand="0" w:oddHBand="0" w:evenHBand="0" w:firstRowFirstColumn="0" w:firstRowLastColumn="0" w:lastRowFirstColumn="0" w:lastRowLastColumn="0"/>
              <w:rPr>
                <w:highlight w:val="black"/>
              </w:rPr>
            </w:pPr>
            <w:r>
              <w:rPr>
                <w:noProof/>
                <w:color w:val="000000"/>
                <w:highlight w:val="black"/>
              </w:rPr>
              <w:t>''''''''''''''</w:t>
            </w:r>
          </w:p>
        </w:tc>
        <w:tc>
          <w:tcPr>
            <w:tcW w:w="1791" w:type="dxa"/>
          </w:tcPr>
          <w:p w:rsidR="00E70303" w:rsidRPr="00EB2224" w:rsidRDefault="00EB2224" w:rsidP="00EF5451">
            <w:pPr>
              <w:pStyle w:val="Tabletext1"/>
              <w:keepNext/>
              <w:jc w:val="center"/>
              <w:cnfStyle w:val="000000000000" w:firstRow="0" w:lastRow="0" w:firstColumn="0" w:lastColumn="0" w:oddVBand="0" w:evenVBand="0" w:oddHBand="0" w:evenHBand="0" w:firstRowFirstColumn="0" w:firstRowLastColumn="0" w:lastRowFirstColumn="0" w:lastRowLastColumn="0"/>
              <w:rPr>
                <w:highlight w:val="black"/>
              </w:rPr>
            </w:pPr>
            <w:r>
              <w:rPr>
                <w:noProof/>
                <w:color w:val="000000"/>
                <w:highlight w:val="black"/>
              </w:rPr>
              <w:t>'''''''''''</w:t>
            </w:r>
          </w:p>
        </w:tc>
      </w:tr>
      <w:tr w:rsidR="00E70303" w:rsidRPr="005F79FA" w:rsidTr="00ED6B32">
        <w:tc>
          <w:tcPr>
            <w:cnfStyle w:val="001000000000" w:firstRow="0" w:lastRow="0" w:firstColumn="1" w:lastColumn="0" w:oddVBand="0" w:evenVBand="0" w:oddHBand="0" w:evenHBand="0" w:firstRowFirstColumn="0" w:firstRowLastColumn="0" w:lastRowFirstColumn="0" w:lastRowLastColumn="0"/>
            <w:tcW w:w="2263" w:type="dxa"/>
          </w:tcPr>
          <w:p w:rsidR="00E70303" w:rsidRPr="005F79FA" w:rsidRDefault="00E70303" w:rsidP="00EF5451">
            <w:pPr>
              <w:pStyle w:val="Tabletext1"/>
              <w:keepNext/>
            </w:pPr>
            <w:r w:rsidRPr="005F79FA">
              <w:t>Cost per administration</w:t>
            </w:r>
          </w:p>
        </w:tc>
        <w:tc>
          <w:tcPr>
            <w:tcW w:w="3402" w:type="dxa"/>
            <w:gridSpan w:val="2"/>
          </w:tcPr>
          <w:p w:rsidR="00E70303" w:rsidRPr="005F79FA" w:rsidRDefault="00E70303" w:rsidP="00EF5451">
            <w:pPr>
              <w:pStyle w:val="Tabletext1"/>
              <w:keepNext/>
              <w:jc w:val="center"/>
              <w:cnfStyle w:val="000000000000" w:firstRow="0" w:lastRow="0" w:firstColumn="0" w:lastColumn="0" w:oddVBand="0" w:evenVBand="0" w:oddHBand="0" w:evenHBand="0" w:firstRowFirstColumn="0" w:firstRowLastColumn="0" w:lastRowFirstColumn="0" w:lastRowLastColumn="0"/>
            </w:pPr>
            <w:r w:rsidRPr="005F79FA">
              <w:t>$804.68</w:t>
            </w:r>
          </w:p>
        </w:tc>
        <w:tc>
          <w:tcPr>
            <w:tcW w:w="3351" w:type="dxa"/>
            <w:gridSpan w:val="2"/>
          </w:tcPr>
          <w:p w:rsidR="00E70303" w:rsidRPr="005F79FA" w:rsidRDefault="00E70303" w:rsidP="00EF5451">
            <w:pPr>
              <w:pStyle w:val="Tabletext1"/>
              <w:keepNext/>
              <w:jc w:val="center"/>
              <w:cnfStyle w:val="000000000000" w:firstRow="0" w:lastRow="0" w:firstColumn="0" w:lastColumn="0" w:oddVBand="0" w:evenVBand="0" w:oddHBand="0" w:evenHBand="0" w:firstRowFirstColumn="0" w:firstRowLastColumn="0" w:lastRowFirstColumn="0" w:lastRowLastColumn="0"/>
            </w:pPr>
            <w:r w:rsidRPr="005F79FA">
              <w:t>$804.68</w:t>
            </w:r>
          </w:p>
        </w:tc>
      </w:tr>
      <w:tr w:rsidR="00E70303" w:rsidRPr="005F79FA" w:rsidTr="00ED6B32">
        <w:tc>
          <w:tcPr>
            <w:cnfStyle w:val="001000000000" w:firstRow="0" w:lastRow="0" w:firstColumn="1" w:lastColumn="0" w:oddVBand="0" w:evenVBand="0" w:oddHBand="0" w:evenHBand="0" w:firstRowFirstColumn="0" w:firstRowLastColumn="0" w:lastRowFirstColumn="0" w:lastRowLastColumn="0"/>
            <w:tcW w:w="2263" w:type="dxa"/>
          </w:tcPr>
          <w:p w:rsidR="00E70303" w:rsidRPr="005F79FA" w:rsidRDefault="00E70303" w:rsidP="00EF5451">
            <w:pPr>
              <w:pStyle w:val="Tabletext1"/>
              <w:keepNext/>
            </w:pPr>
            <w:r w:rsidRPr="005F79FA">
              <w:t>Average cost per patient</w:t>
            </w:r>
          </w:p>
        </w:tc>
        <w:tc>
          <w:tcPr>
            <w:tcW w:w="1560" w:type="dxa"/>
          </w:tcPr>
          <w:p w:rsidR="00E70303" w:rsidRPr="005F79FA" w:rsidRDefault="00E70303" w:rsidP="00EF5451">
            <w:pPr>
              <w:pStyle w:val="Tabletext1"/>
              <w:keepNext/>
              <w:jc w:val="center"/>
              <w:cnfStyle w:val="000000000000" w:firstRow="0" w:lastRow="0" w:firstColumn="0" w:lastColumn="0" w:oddVBand="0" w:evenVBand="0" w:oddHBand="0" w:evenHBand="0" w:firstRowFirstColumn="0" w:firstRowLastColumn="0" w:lastRowFirstColumn="0" w:lastRowLastColumn="0"/>
            </w:pPr>
            <w:r w:rsidRPr="005F79FA">
              <w:t>$</w:t>
            </w:r>
            <w:r w:rsidR="00EB2224">
              <w:rPr>
                <w:noProof/>
                <w:color w:val="000000"/>
                <w:highlight w:val="black"/>
              </w:rPr>
              <w:t>''''''''''''''''</w:t>
            </w:r>
          </w:p>
        </w:tc>
        <w:tc>
          <w:tcPr>
            <w:tcW w:w="1842" w:type="dxa"/>
          </w:tcPr>
          <w:p w:rsidR="00E70303" w:rsidRPr="005F79FA" w:rsidRDefault="00E70303" w:rsidP="00EF5451">
            <w:pPr>
              <w:pStyle w:val="Tabletext1"/>
              <w:keepNext/>
              <w:jc w:val="center"/>
              <w:cnfStyle w:val="000000000000" w:firstRow="0" w:lastRow="0" w:firstColumn="0" w:lastColumn="0" w:oddVBand="0" w:evenVBand="0" w:oddHBand="0" w:evenHBand="0" w:firstRowFirstColumn="0" w:firstRowLastColumn="0" w:lastRowFirstColumn="0" w:lastRowLastColumn="0"/>
            </w:pPr>
            <w:r w:rsidRPr="005F79FA">
              <w:t>$</w:t>
            </w:r>
            <w:r w:rsidR="00EB2224">
              <w:rPr>
                <w:noProof/>
                <w:color w:val="000000"/>
                <w:highlight w:val="black"/>
              </w:rPr>
              <w:t>'''''''''''''''</w:t>
            </w:r>
          </w:p>
        </w:tc>
        <w:tc>
          <w:tcPr>
            <w:tcW w:w="1560" w:type="dxa"/>
          </w:tcPr>
          <w:p w:rsidR="00E70303" w:rsidRPr="005F79FA" w:rsidRDefault="00E70303" w:rsidP="00EF5451">
            <w:pPr>
              <w:pStyle w:val="Tabletext1"/>
              <w:keepNext/>
              <w:jc w:val="center"/>
              <w:cnfStyle w:val="000000000000" w:firstRow="0" w:lastRow="0" w:firstColumn="0" w:lastColumn="0" w:oddVBand="0" w:evenVBand="0" w:oddHBand="0" w:evenHBand="0" w:firstRowFirstColumn="0" w:firstRowLastColumn="0" w:lastRowFirstColumn="0" w:lastRowLastColumn="0"/>
            </w:pPr>
            <w:r w:rsidRPr="005F79FA">
              <w:t>$</w:t>
            </w:r>
            <w:r w:rsidR="00EB2224">
              <w:rPr>
                <w:noProof/>
                <w:color w:val="000000"/>
                <w:highlight w:val="black"/>
              </w:rPr>
              <w:t>'''''''''''''''</w:t>
            </w:r>
          </w:p>
        </w:tc>
        <w:tc>
          <w:tcPr>
            <w:tcW w:w="1791" w:type="dxa"/>
          </w:tcPr>
          <w:p w:rsidR="00E70303" w:rsidRPr="005F79FA" w:rsidRDefault="00E70303" w:rsidP="00EF5451">
            <w:pPr>
              <w:pStyle w:val="Tabletext1"/>
              <w:keepNext/>
              <w:jc w:val="center"/>
              <w:cnfStyle w:val="000000000000" w:firstRow="0" w:lastRow="0" w:firstColumn="0" w:lastColumn="0" w:oddVBand="0" w:evenVBand="0" w:oddHBand="0" w:evenHBand="0" w:firstRowFirstColumn="0" w:firstRowLastColumn="0" w:lastRowFirstColumn="0" w:lastRowLastColumn="0"/>
            </w:pPr>
            <w:r w:rsidRPr="005F79FA">
              <w:t>$</w:t>
            </w:r>
            <w:r w:rsidR="00EB2224">
              <w:rPr>
                <w:noProof/>
                <w:color w:val="000000"/>
                <w:highlight w:val="black"/>
              </w:rPr>
              <w:t>''''''''''''</w:t>
            </w:r>
          </w:p>
        </w:tc>
      </w:tr>
    </w:tbl>
    <w:p w:rsidR="006F58DC" w:rsidRPr="005F79FA" w:rsidRDefault="006F58DC" w:rsidP="006F58DC">
      <w:pPr>
        <w:pStyle w:val="TableFooter"/>
        <w:rPr>
          <w:i/>
          <w:color w:val="auto"/>
        </w:rPr>
      </w:pPr>
      <w:r w:rsidRPr="005F79FA">
        <w:t>Source: Compiled during the evaluation based on information presented in ‘Economic evaluation.xlsx’ and ‘Section 4 Workbook.xlsx’.</w:t>
      </w:r>
    </w:p>
    <w:p w:rsidR="006F58DC" w:rsidRPr="005F79FA" w:rsidRDefault="006F58DC" w:rsidP="006F58DC">
      <w:pPr>
        <w:pStyle w:val="TableFooter"/>
      </w:pPr>
      <w:r w:rsidRPr="005F79FA">
        <w:t>N/A = not applicable</w:t>
      </w:r>
      <w:r w:rsidR="00B508C1" w:rsidRPr="005F79FA">
        <w:t>.</w:t>
      </w:r>
    </w:p>
    <w:p w:rsidR="004131A0" w:rsidRPr="005F79FA" w:rsidRDefault="004131A0" w:rsidP="00051AE0">
      <w:pPr>
        <w:pStyle w:val="TableFooter"/>
      </w:pPr>
      <w:r w:rsidRPr="005F79FA">
        <w:t xml:space="preserve">* The submission appeared to make an error in the derivation of the number of administrations of nab-P in </w:t>
      </w:r>
      <w:r w:rsidR="004D42E0" w:rsidRPr="005F79FA">
        <w:t>its</w:t>
      </w:r>
      <w:r w:rsidRPr="005F79FA">
        <w:t xml:space="preserve"> financial </w:t>
      </w:r>
      <w:r w:rsidR="004D42E0" w:rsidRPr="005F79FA">
        <w:t>analysis</w:t>
      </w:r>
      <w:r w:rsidRPr="005F79FA">
        <w:t xml:space="preserve">. The number of administrations of nab-P that is associated with the average duration of therapy was actually double that estimated by the submission. For example, the number of administrations of nab-P associated with an average treatment duration of </w:t>
      </w:r>
      <w:r w:rsidR="00EB2224">
        <w:rPr>
          <w:noProof/>
          <w:color w:val="000000"/>
          <w:highlight w:val="black"/>
        </w:rPr>
        <w:t>''''''''</w:t>
      </w:r>
      <w:r w:rsidRPr="005F79FA">
        <w:t xml:space="preserve"> months is </w:t>
      </w:r>
      <w:r w:rsidR="00EC50BD" w:rsidRPr="005F79FA">
        <w:t>actually</w:t>
      </w:r>
      <w:r w:rsidRPr="005F79FA">
        <w:t xml:space="preserve"> double that estimated by the </w:t>
      </w:r>
      <w:r w:rsidR="0047070F" w:rsidRPr="005F79FA">
        <w:t>submission -</w:t>
      </w:r>
      <w:r w:rsidR="00E70303" w:rsidRPr="005F79FA">
        <w:t xml:space="preserve"> </w:t>
      </w:r>
      <w:r w:rsidR="00EB2224">
        <w:rPr>
          <w:noProof/>
          <w:color w:val="000000"/>
          <w:highlight w:val="black"/>
        </w:rPr>
        <w:t>'''''''''''''''</w:t>
      </w:r>
      <w:r w:rsidR="00E70303" w:rsidRPr="005F79FA">
        <w:t xml:space="preserve"> administrations.</w:t>
      </w:r>
    </w:p>
    <w:p w:rsidR="0047070F" w:rsidRDefault="004131A0" w:rsidP="00051AE0">
      <w:pPr>
        <w:pStyle w:val="TableFooter"/>
      </w:pPr>
      <w:r w:rsidRPr="005F79FA">
        <w:t>Note:</w:t>
      </w:r>
      <w:r w:rsidRPr="005F79FA">
        <w:rPr>
          <w:vertAlign w:val="superscript"/>
        </w:rPr>
        <w:t xml:space="preserve"> </w:t>
      </w:r>
      <w:r w:rsidRPr="005F79FA">
        <w:t xml:space="preserve">There </w:t>
      </w:r>
      <w:r w:rsidR="004D42E0" w:rsidRPr="005F79FA">
        <w:t>is</w:t>
      </w:r>
      <w:r w:rsidRPr="005F79FA">
        <w:t xml:space="preserve"> likely to be a small difference in the average number of administrations between Section 3 and Section 4 due to the method of calculation. In Section 3, the actual number of doses required (on days 1, 8, and 15 of a 28-day cycle)</w:t>
      </w:r>
      <w:r>
        <w:t xml:space="preserve"> </w:t>
      </w:r>
      <w:r w:rsidR="004D42E0">
        <w:t>we</w:t>
      </w:r>
      <w:r>
        <w:t xml:space="preserve">re determined based on the time to treatment </w:t>
      </w:r>
      <w:r w:rsidR="0047070F">
        <w:t>discontinuation (TTOT) curves at</w:t>
      </w:r>
      <w:r>
        <w:t xml:space="preserve"> weekly intervals. In Section 4, this estimate </w:t>
      </w:r>
      <w:r w:rsidR="004D42E0">
        <w:t>wa</w:t>
      </w:r>
      <w:r>
        <w:t>s based on the average duration of therapy (in months, derived from the TTOT curves), multiplied by the expected number of administrations required per month (</w:t>
      </w:r>
      <w:r w:rsidR="00F25229">
        <w:t>i.e.</w:t>
      </w:r>
      <w:r>
        <w:t xml:space="preserve"> 3 treatments per 28 day period, multiplied by the average number of days per month (365.25/12))</w:t>
      </w:r>
    </w:p>
    <w:p w:rsidR="002838EB" w:rsidRPr="006D5EE6" w:rsidRDefault="002838EB" w:rsidP="00434533">
      <w:pPr>
        <w:pStyle w:val="PBACESHeading2"/>
      </w:pPr>
      <w:bookmarkStart w:id="41" w:name="_Toc30411839"/>
      <w:bookmarkStart w:id="42" w:name="_Toc413139287"/>
      <w:bookmarkStart w:id="43" w:name="_Toc497226196"/>
      <w:bookmarkEnd w:id="33"/>
      <w:bookmarkEnd w:id="38"/>
      <w:bookmarkEnd w:id="39"/>
      <w:r w:rsidRPr="006D5EE6">
        <w:t>Estimated PBS &amp; financial implications</w:t>
      </w:r>
      <w:bookmarkEnd w:id="41"/>
    </w:p>
    <w:p w:rsidR="00434533" w:rsidRPr="00801135" w:rsidRDefault="0045743C" w:rsidP="00136067">
      <w:pPr>
        <w:pStyle w:val="ListParagraph"/>
        <w:numPr>
          <w:ilvl w:val="4"/>
          <w:numId w:val="1"/>
        </w:numPr>
        <w:rPr>
          <w:color w:val="auto"/>
        </w:rPr>
      </w:pPr>
      <w:bookmarkStart w:id="44" w:name="_Toc413139285"/>
      <w:bookmarkStart w:id="45" w:name="_Toc497226194"/>
      <w:r w:rsidRPr="00136067">
        <w:rPr>
          <w:color w:val="auto"/>
        </w:rPr>
        <w:t>This submission was</w:t>
      </w:r>
      <w:r w:rsidR="00434533" w:rsidRPr="00136067">
        <w:rPr>
          <w:color w:val="auto"/>
        </w:rPr>
        <w:t xml:space="preserve"> considered by DUSC.</w:t>
      </w:r>
      <w:r w:rsidR="00B1236C" w:rsidRPr="00801135">
        <w:rPr>
          <w:color w:val="auto"/>
        </w:rPr>
        <w:t xml:space="preserve"> </w:t>
      </w:r>
      <w:r w:rsidR="00434533" w:rsidRPr="00136067">
        <w:rPr>
          <w:color w:val="auto"/>
        </w:rPr>
        <w:t>The submission used an epidemiological approach to determine the number of patients likely to receive PD-</w:t>
      </w:r>
      <w:r w:rsidR="00434533" w:rsidRPr="00801135">
        <w:rPr>
          <w:color w:val="auto"/>
        </w:rPr>
        <w:t>L1 testing for the purposes of determining eligibility for use with ATZ+nab-P and the expected financial impact of listing ATZ+nab-P on the PBS.</w:t>
      </w:r>
    </w:p>
    <w:p w:rsidR="00434533" w:rsidRDefault="00434533" w:rsidP="00434533">
      <w:pPr>
        <w:pStyle w:val="ListParagraph"/>
        <w:numPr>
          <w:ilvl w:val="4"/>
          <w:numId w:val="1"/>
        </w:numPr>
        <w:rPr>
          <w:color w:val="auto"/>
        </w:rPr>
      </w:pPr>
      <w:r>
        <w:rPr>
          <w:color w:val="auto"/>
        </w:rPr>
        <w:t>Key input parameters used in the submission’s approach are provided in the table below.</w:t>
      </w:r>
    </w:p>
    <w:p w:rsidR="00434533" w:rsidRPr="0081637E" w:rsidRDefault="00434533" w:rsidP="00EF5451">
      <w:pPr>
        <w:pStyle w:val="Caption"/>
      </w:pPr>
      <w:r w:rsidRPr="0081637E">
        <w:lastRenderedPageBreak/>
        <w:t xml:space="preserve">Table </w:t>
      </w:r>
      <w:r w:rsidR="00074BE0">
        <w:rPr>
          <w:noProof/>
        </w:rPr>
        <w:t>18</w:t>
      </w:r>
      <w:r w:rsidR="00EF5451">
        <w:rPr>
          <w:noProof/>
        </w:rPr>
        <w:t xml:space="preserve">: </w:t>
      </w:r>
      <w:r w:rsidRPr="0081637E">
        <w:t>Key inputs for financial estimates</w:t>
      </w:r>
      <w:r w:rsidR="00D70D26">
        <w:t xml:space="preserve"> (based on the submission’s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46"/>
        <w:gridCol w:w="2411"/>
        <w:gridCol w:w="4059"/>
      </w:tblGrid>
      <w:tr w:rsidR="00434533" w:rsidRPr="003D1DE4" w:rsidTr="0084559A">
        <w:trPr>
          <w:cantSplit/>
          <w:tblHeader/>
        </w:trPr>
        <w:tc>
          <w:tcPr>
            <w:tcW w:w="1412" w:type="pct"/>
            <w:shd w:val="clear" w:color="auto" w:fill="auto"/>
            <w:vAlign w:val="center"/>
          </w:tcPr>
          <w:p w:rsidR="00434533" w:rsidRPr="003D1DE4" w:rsidRDefault="00434533" w:rsidP="00EF5451">
            <w:pPr>
              <w:pStyle w:val="In-tableHeading"/>
            </w:pPr>
            <w:r>
              <w:t>Parameter</w:t>
            </w:r>
          </w:p>
        </w:tc>
        <w:tc>
          <w:tcPr>
            <w:tcW w:w="1337" w:type="pct"/>
            <w:shd w:val="clear" w:color="auto" w:fill="auto"/>
            <w:vAlign w:val="center"/>
          </w:tcPr>
          <w:p w:rsidR="00434533" w:rsidRPr="003D1DE4" w:rsidRDefault="00434533" w:rsidP="00EF5451">
            <w:pPr>
              <w:pStyle w:val="In-tableHeading"/>
            </w:pPr>
            <w:r>
              <w:t>Value applied and source</w:t>
            </w:r>
          </w:p>
        </w:tc>
        <w:tc>
          <w:tcPr>
            <w:tcW w:w="2251" w:type="pct"/>
            <w:shd w:val="clear" w:color="auto" w:fill="auto"/>
            <w:vAlign w:val="center"/>
          </w:tcPr>
          <w:p w:rsidR="00434533" w:rsidRPr="003D1DE4" w:rsidRDefault="00434533" w:rsidP="00EF5451">
            <w:pPr>
              <w:pStyle w:val="In-tableHeading"/>
            </w:pPr>
            <w:r>
              <w:t>Comment</w:t>
            </w:r>
          </w:p>
        </w:tc>
      </w:tr>
      <w:tr w:rsidR="00434533" w:rsidRPr="00E2771E" w:rsidTr="0084559A">
        <w:trPr>
          <w:cantSplit/>
        </w:trPr>
        <w:tc>
          <w:tcPr>
            <w:tcW w:w="1412" w:type="pct"/>
            <w:shd w:val="clear" w:color="auto" w:fill="auto"/>
            <w:vAlign w:val="center"/>
          </w:tcPr>
          <w:p w:rsidR="00434533" w:rsidRPr="00E2771E" w:rsidRDefault="00434533" w:rsidP="00EF5451">
            <w:pPr>
              <w:pStyle w:val="TableText"/>
              <w:keepNext/>
              <w:rPr>
                <w:lang w:val="en-US"/>
              </w:rPr>
            </w:pPr>
            <w:r w:rsidRPr="00B1310A">
              <w:t>Estimation of incident breast cancer patients</w:t>
            </w:r>
          </w:p>
        </w:tc>
        <w:tc>
          <w:tcPr>
            <w:tcW w:w="1337" w:type="pct"/>
            <w:shd w:val="clear" w:color="auto" w:fill="auto"/>
            <w:vAlign w:val="center"/>
          </w:tcPr>
          <w:p w:rsidR="00434533" w:rsidRPr="00E2771E" w:rsidRDefault="00434533" w:rsidP="00EF5451">
            <w:pPr>
              <w:pStyle w:val="TableText"/>
              <w:keepNext/>
              <w:rPr>
                <w:lang w:val="en-US"/>
              </w:rPr>
            </w:pPr>
            <w:r>
              <w:rPr>
                <w:lang w:val="en-US"/>
              </w:rPr>
              <w:t xml:space="preserve">AIHW Cancer in Australia </w:t>
            </w:r>
            <w:r>
              <w:t>extrapolated using a linear function</w:t>
            </w:r>
          </w:p>
        </w:tc>
        <w:tc>
          <w:tcPr>
            <w:tcW w:w="2251" w:type="pct"/>
            <w:shd w:val="clear" w:color="auto" w:fill="auto"/>
            <w:vAlign w:val="center"/>
          </w:tcPr>
          <w:p w:rsidR="00434533" w:rsidRPr="0045743C" w:rsidRDefault="00434533" w:rsidP="00EF5451">
            <w:pPr>
              <w:pStyle w:val="TableText"/>
              <w:keepNext/>
              <w:rPr>
                <w:lang w:val="en-US"/>
              </w:rPr>
            </w:pPr>
            <w:r w:rsidRPr="0045743C">
              <w:rPr>
                <w:lang w:val="en-US"/>
              </w:rPr>
              <w:t>This was reasonable</w:t>
            </w:r>
            <w:r w:rsidR="00B508C1">
              <w:rPr>
                <w:lang w:val="en-US"/>
              </w:rPr>
              <w:t>.</w:t>
            </w:r>
          </w:p>
        </w:tc>
      </w:tr>
      <w:tr w:rsidR="00434533" w:rsidRPr="00E2771E" w:rsidTr="0084559A">
        <w:trPr>
          <w:cantSplit/>
        </w:trPr>
        <w:tc>
          <w:tcPr>
            <w:tcW w:w="1412" w:type="pct"/>
            <w:shd w:val="clear" w:color="auto" w:fill="auto"/>
            <w:vAlign w:val="center"/>
          </w:tcPr>
          <w:p w:rsidR="00434533" w:rsidRPr="00B1310A" w:rsidRDefault="00434533" w:rsidP="00EF5451">
            <w:pPr>
              <w:pStyle w:val="TableText"/>
              <w:keepNext/>
            </w:pPr>
            <w:r w:rsidRPr="00B1310A">
              <w:t>Proportion of patients with TNBC</w:t>
            </w:r>
          </w:p>
        </w:tc>
        <w:tc>
          <w:tcPr>
            <w:tcW w:w="1337" w:type="pct"/>
            <w:shd w:val="clear" w:color="auto" w:fill="auto"/>
            <w:vAlign w:val="center"/>
          </w:tcPr>
          <w:p w:rsidR="00434533" w:rsidRDefault="00434533" w:rsidP="00EF5451">
            <w:pPr>
              <w:pStyle w:val="TableText"/>
              <w:keepNext/>
              <w:rPr>
                <w:lang w:val="en-US"/>
              </w:rPr>
            </w:pPr>
            <w:r>
              <w:rPr>
                <w:lang w:val="en-US"/>
              </w:rPr>
              <w:t xml:space="preserve">15% based on the </w:t>
            </w:r>
            <w:r w:rsidRPr="005B25C1">
              <w:t>Cancer Coun</w:t>
            </w:r>
            <w:r>
              <w:t>cil Australia</w:t>
            </w:r>
            <w:r>
              <w:rPr>
                <w:rStyle w:val="FootnoteReference"/>
              </w:rPr>
              <w:footnoteReference w:id="17"/>
            </w:r>
          </w:p>
        </w:tc>
        <w:tc>
          <w:tcPr>
            <w:tcW w:w="2251" w:type="pct"/>
            <w:shd w:val="clear" w:color="auto" w:fill="auto"/>
            <w:vAlign w:val="center"/>
          </w:tcPr>
          <w:p w:rsidR="00434533" w:rsidRPr="0045743C" w:rsidRDefault="00434533" w:rsidP="00EF5451">
            <w:pPr>
              <w:pStyle w:val="TableText"/>
              <w:keepNext/>
              <w:rPr>
                <w:lang w:val="en-US"/>
              </w:rPr>
            </w:pPr>
            <w:r w:rsidRPr="0045743C">
              <w:rPr>
                <w:lang w:val="en-US"/>
              </w:rPr>
              <w:t>This value appeared reasonable, and consistent with previous PBAC decision making. However, it is slightly lower than that considered in the Ratified PICO (17%).</w:t>
            </w:r>
          </w:p>
        </w:tc>
      </w:tr>
      <w:tr w:rsidR="00434533" w:rsidRPr="00E2771E" w:rsidTr="00F95D65">
        <w:tc>
          <w:tcPr>
            <w:tcW w:w="1412" w:type="pct"/>
            <w:shd w:val="clear" w:color="auto" w:fill="auto"/>
            <w:vAlign w:val="center"/>
          </w:tcPr>
          <w:p w:rsidR="00434533" w:rsidRPr="00B1310A" w:rsidRDefault="00434533" w:rsidP="00EF5451">
            <w:pPr>
              <w:pStyle w:val="TableText"/>
              <w:keepNext/>
            </w:pPr>
            <w:r w:rsidRPr="00B1310A">
              <w:t xml:space="preserve">Incident </w:t>
            </w:r>
            <w:r>
              <w:t>%</w:t>
            </w:r>
            <w:r w:rsidRPr="00B1310A">
              <w:t xml:space="preserve"> of patients diagnosed with unresectable locally advanced or </w:t>
            </w:r>
            <w:r w:rsidRPr="008D5C27">
              <w:rPr>
                <w:i/>
              </w:rPr>
              <w:t>de novo</w:t>
            </w:r>
            <w:r w:rsidRPr="00B1310A">
              <w:t xml:space="preserve"> m</w:t>
            </w:r>
            <w:r w:rsidR="00B27804">
              <w:t xml:space="preserve">etastatic </w:t>
            </w:r>
            <w:r w:rsidRPr="00B1310A">
              <w:t>TNBC</w:t>
            </w:r>
          </w:p>
        </w:tc>
        <w:tc>
          <w:tcPr>
            <w:tcW w:w="1337" w:type="pct"/>
            <w:shd w:val="clear" w:color="auto" w:fill="auto"/>
            <w:vAlign w:val="center"/>
          </w:tcPr>
          <w:p w:rsidR="00434533" w:rsidRDefault="00434533" w:rsidP="00EF5451">
            <w:pPr>
              <w:pStyle w:val="TableText"/>
              <w:keepNext/>
              <w:rPr>
                <w:lang w:val="en-US"/>
              </w:rPr>
            </w:pPr>
            <w:r>
              <w:rPr>
                <w:lang w:val="en-US"/>
              </w:rPr>
              <w:t xml:space="preserve">34.8%, </w:t>
            </w:r>
            <w:r w:rsidRPr="00B1310A">
              <w:t>IMpassion1</w:t>
            </w:r>
            <w:r>
              <w:t>30 CSR (25%</w:t>
            </w:r>
            <w:r w:rsidRPr="00B1310A">
              <w:t xml:space="preserve"> </w:t>
            </w:r>
            <w:r w:rsidRPr="00172239">
              <w:rPr>
                <w:i/>
              </w:rPr>
              <w:t>de novo</w:t>
            </w:r>
            <w:r w:rsidRPr="00B1310A">
              <w:t xml:space="preserve"> m</w:t>
            </w:r>
            <w:r w:rsidR="00B27804">
              <w:t xml:space="preserve">etastatic </w:t>
            </w:r>
            <w:r w:rsidRPr="00B1310A">
              <w:t>TNBC and 9.8% with unresectable l</w:t>
            </w:r>
            <w:r w:rsidR="00B508C1">
              <w:t>ocally advanced TNBC)</w:t>
            </w:r>
          </w:p>
        </w:tc>
        <w:tc>
          <w:tcPr>
            <w:tcW w:w="2251" w:type="pct"/>
            <w:shd w:val="clear" w:color="auto" w:fill="auto"/>
            <w:vAlign w:val="center"/>
          </w:tcPr>
          <w:p w:rsidR="00434533" w:rsidRPr="0045743C" w:rsidRDefault="00434533" w:rsidP="00EF5451">
            <w:pPr>
              <w:pStyle w:val="TableText"/>
              <w:keepNext/>
              <w:rPr>
                <w:lang w:val="en-US"/>
              </w:rPr>
            </w:pPr>
            <w:r w:rsidRPr="0045743C">
              <w:t>Th</w:t>
            </w:r>
            <w:r w:rsidR="00F95D65">
              <w:t xml:space="preserve">e </w:t>
            </w:r>
            <w:r w:rsidR="004155FD">
              <w:t>commentary</w:t>
            </w:r>
            <w:r w:rsidR="00F95D65">
              <w:t xml:space="preserve"> considered th</w:t>
            </w:r>
            <w:r w:rsidRPr="0045743C">
              <w:t xml:space="preserve">is value from the trial evidence (% patients with locally advanced or metastatic TNBC with an ECOG of 0-1 and receiving 1L treatment) </w:t>
            </w:r>
            <w:r w:rsidR="00F95D65">
              <w:t>wa</w:t>
            </w:r>
            <w:r w:rsidRPr="0045743C">
              <w:t>s not appropriate to apply to the population of patients with TNBC</w:t>
            </w:r>
            <w:r w:rsidR="00F95D65">
              <w:t xml:space="preserve">, however DUSC </w:t>
            </w:r>
            <w:r w:rsidR="00A20C6B">
              <w:t>considered th</w:t>
            </w:r>
            <w:r w:rsidR="00F95D65">
              <w:t>e submission’s estimate</w:t>
            </w:r>
            <w:r w:rsidR="00A20C6B">
              <w:t xml:space="preserve"> was reasonable</w:t>
            </w:r>
            <w:r w:rsidRPr="0045743C">
              <w:t>.</w:t>
            </w:r>
          </w:p>
        </w:tc>
      </w:tr>
      <w:tr w:rsidR="00434533" w:rsidRPr="00E2771E" w:rsidTr="0084559A">
        <w:trPr>
          <w:cantSplit/>
        </w:trPr>
        <w:tc>
          <w:tcPr>
            <w:tcW w:w="1412" w:type="pct"/>
            <w:shd w:val="clear" w:color="auto" w:fill="auto"/>
            <w:vAlign w:val="center"/>
          </w:tcPr>
          <w:p w:rsidR="00434533" w:rsidRPr="00B1310A" w:rsidRDefault="00434533" w:rsidP="00EF5451">
            <w:pPr>
              <w:pStyle w:val="TableText"/>
              <w:keepNext/>
            </w:pPr>
            <w:r w:rsidRPr="00B1310A">
              <w:t>Prevalent population diagnosed with early TNBC who progress to m</w:t>
            </w:r>
            <w:r w:rsidR="00B27804">
              <w:t xml:space="preserve">etastatic </w:t>
            </w:r>
            <w:r w:rsidRPr="00B1310A">
              <w:t>TNBC</w:t>
            </w:r>
          </w:p>
        </w:tc>
        <w:tc>
          <w:tcPr>
            <w:tcW w:w="1337" w:type="pct"/>
            <w:shd w:val="clear" w:color="auto" w:fill="auto"/>
            <w:vAlign w:val="center"/>
          </w:tcPr>
          <w:p w:rsidR="00434533" w:rsidRDefault="00434533" w:rsidP="00EF5451">
            <w:pPr>
              <w:pStyle w:val="TableText"/>
              <w:keepNext/>
              <w:rPr>
                <w:lang w:val="en-US"/>
              </w:rPr>
            </w:pPr>
            <w:r w:rsidRPr="00B1310A">
              <w:t>Evidence from Naher (2018) that 8% (11/173) of early TNBC patients had a distant recurrence</w:t>
            </w:r>
            <w:r>
              <w:t>, over 40-months</w:t>
            </w:r>
          </w:p>
        </w:tc>
        <w:tc>
          <w:tcPr>
            <w:tcW w:w="2251" w:type="pct"/>
            <w:shd w:val="clear" w:color="auto" w:fill="auto"/>
            <w:vAlign w:val="center"/>
          </w:tcPr>
          <w:p w:rsidR="00434533" w:rsidRPr="0045743C" w:rsidRDefault="00434533" w:rsidP="00EF5451">
            <w:pPr>
              <w:pStyle w:val="TableText"/>
              <w:keepNext/>
            </w:pPr>
            <w:r w:rsidRPr="0045743C">
              <w:t>T</w:t>
            </w:r>
            <w:r w:rsidR="001F4586">
              <w:t xml:space="preserve">he </w:t>
            </w:r>
            <w:r w:rsidR="004155FD">
              <w:t>commentary</w:t>
            </w:r>
            <w:r w:rsidR="001F4586">
              <w:t xml:space="preserve"> considered t</w:t>
            </w:r>
            <w:r w:rsidRPr="0045743C">
              <w:t>his is likely to be an underestimate, and does not include those who progress to unresectable Stage III disease. PBAC previously considered that around 21% over 10 years was a more likely estimate (paragraph 6.41, Palbociclib PSD, November 2017 PBAC meeting).</w:t>
            </w:r>
          </w:p>
          <w:p w:rsidR="00434533" w:rsidRPr="0045743C" w:rsidRDefault="00434533" w:rsidP="00EF5451">
            <w:pPr>
              <w:pStyle w:val="TableText"/>
              <w:keepNext/>
              <w:rPr>
                <w:lang w:val="en-US"/>
              </w:rPr>
            </w:pPr>
            <w:r w:rsidRPr="0045743C">
              <w:t>This value was also applied to the entire patient population with TNBC (not just those diagnosed with earlier stages of disease).</w:t>
            </w:r>
            <w:r w:rsidR="00A20C6B">
              <w:t xml:space="preserve"> DUSC </w:t>
            </w:r>
            <w:r w:rsidR="00D70D26">
              <w:t xml:space="preserve">agreed this was </w:t>
            </w:r>
            <w:r w:rsidR="00A20C6B">
              <w:t>underestimate</w:t>
            </w:r>
            <w:r w:rsidR="00D70D26">
              <w:t>d</w:t>
            </w:r>
            <w:r w:rsidR="00A20C6B">
              <w:t>.</w:t>
            </w:r>
          </w:p>
        </w:tc>
      </w:tr>
      <w:tr w:rsidR="00434533" w:rsidRPr="00E2771E" w:rsidTr="0084559A">
        <w:trPr>
          <w:cantSplit/>
        </w:trPr>
        <w:tc>
          <w:tcPr>
            <w:tcW w:w="1412" w:type="pct"/>
            <w:shd w:val="clear" w:color="auto" w:fill="auto"/>
            <w:vAlign w:val="center"/>
          </w:tcPr>
          <w:p w:rsidR="00434533" w:rsidRPr="00B1310A" w:rsidRDefault="00434533" w:rsidP="00516EF4">
            <w:pPr>
              <w:pStyle w:val="TableText"/>
            </w:pPr>
            <w:r>
              <w:t xml:space="preserve">% </w:t>
            </w:r>
            <w:r w:rsidR="004B7914">
              <w:t>ECOG status of 0 or 1</w:t>
            </w:r>
          </w:p>
        </w:tc>
        <w:tc>
          <w:tcPr>
            <w:tcW w:w="1337" w:type="pct"/>
            <w:shd w:val="clear" w:color="auto" w:fill="auto"/>
            <w:vAlign w:val="center"/>
          </w:tcPr>
          <w:p w:rsidR="00434533" w:rsidRPr="00B1310A" w:rsidRDefault="00434533" w:rsidP="00516EF4">
            <w:pPr>
              <w:pStyle w:val="TableText"/>
            </w:pPr>
            <w:r>
              <w:t>78% METIS Healthcare Research Data (2019)</w:t>
            </w:r>
            <w:r w:rsidRPr="00BB75A8">
              <w:rPr>
                <w:noProof/>
                <w:vertAlign w:val="superscript"/>
              </w:rPr>
              <w:t>3</w:t>
            </w:r>
          </w:p>
        </w:tc>
        <w:tc>
          <w:tcPr>
            <w:tcW w:w="2251" w:type="pct"/>
            <w:shd w:val="clear" w:color="auto" w:fill="auto"/>
            <w:vAlign w:val="center"/>
          </w:tcPr>
          <w:p w:rsidR="00434533" w:rsidRPr="0045743C" w:rsidRDefault="00F95D65" w:rsidP="004155FD">
            <w:pPr>
              <w:pStyle w:val="TableText"/>
            </w:pPr>
            <w:r>
              <w:t xml:space="preserve">The </w:t>
            </w:r>
            <w:r w:rsidR="004155FD">
              <w:t>commentary</w:t>
            </w:r>
            <w:r>
              <w:t xml:space="preserve"> considered that the </w:t>
            </w:r>
            <w:r w:rsidR="00434533" w:rsidRPr="0045743C">
              <w:t>representative</w:t>
            </w:r>
            <w:r>
              <w:t>ness of this survey to</w:t>
            </w:r>
            <w:r w:rsidR="00434533" w:rsidRPr="0045743C">
              <w:t xml:space="preserve"> TNBC patients in Australia is unclear</w:t>
            </w:r>
            <w:r w:rsidR="00D70D26">
              <w:t>, however</w:t>
            </w:r>
            <w:r>
              <w:t xml:space="preserve"> DUSC considered the submission’s estimate was reasonable</w:t>
            </w:r>
            <w:r w:rsidRPr="0045743C">
              <w:t>.</w:t>
            </w:r>
          </w:p>
        </w:tc>
      </w:tr>
      <w:tr w:rsidR="00434533" w:rsidRPr="00E2771E" w:rsidTr="0084559A">
        <w:trPr>
          <w:cantSplit/>
        </w:trPr>
        <w:tc>
          <w:tcPr>
            <w:tcW w:w="1412" w:type="pct"/>
            <w:shd w:val="clear" w:color="auto" w:fill="auto"/>
            <w:vAlign w:val="center"/>
          </w:tcPr>
          <w:p w:rsidR="00434533" w:rsidRPr="00B1310A" w:rsidRDefault="00434533" w:rsidP="00516EF4">
            <w:pPr>
              <w:pStyle w:val="TableText"/>
            </w:pPr>
            <w:r w:rsidRPr="00B1310A">
              <w:t>% patients who elect to have the PD-L1 test</w:t>
            </w:r>
          </w:p>
        </w:tc>
        <w:tc>
          <w:tcPr>
            <w:tcW w:w="1337" w:type="pct"/>
            <w:shd w:val="clear" w:color="auto" w:fill="auto"/>
            <w:vAlign w:val="center"/>
          </w:tcPr>
          <w:p w:rsidR="00434533" w:rsidRPr="00B1310A" w:rsidRDefault="00434533" w:rsidP="00516EF4">
            <w:pPr>
              <w:pStyle w:val="TableText"/>
            </w:pPr>
            <w:r w:rsidRPr="00B1310A">
              <w:t>82%</w:t>
            </w:r>
            <w:r>
              <w:t xml:space="preserve"> based on test uptake from the United States</w:t>
            </w:r>
          </w:p>
        </w:tc>
        <w:tc>
          <w:tcPr>
            <w:tcW w:w="2251" w:type="pct"/>
            <w:shd w:val="clear" w:color="auto" w:fill="auto"/>
            <w:vAlign w:val="center"/>
          </w:tcPr>
          <w:p w:rsidR="00434533" w:rsidRPr="0045743C" w:rsidRDefault="00FA1546" w:rsidP="00F95D65">
            <w:pPr>
              <w:pStyle w:val="TableText"/>
            </w:pPr>
            <w:r>
              <w:t xml:space="preserve">DUSC considered </w:t>
            </w:r>
            <w:r w:rsidR="007211DD">
              <w:t xml:space="preserve">a testing </w:t>
            </w:r>
            <w:r>
              <w:t>uptake of 95% would be appropriate for the Australian population.</w:t>
            </w:r>
            <w:r w:rsidR="007211DD">
              <w:t xml:space="preserve"> DUSC considered </w:t>
            </w:r>
            <w:r w:rsidR="00460FFA">
              <w:t>that if the PD-L1 test was available on the MBS there would be no impediment to patients having the test.</w:t>
            </w:r>
          </w:p>
        </w:tc>
      </w:tr>
      <w:tr w:rsidR="00434533" w:rsidRPr="00E2771E" w:rsidTr="0084559A">
        <w:trPr>
          <w:cantSplit/>
        </w:trPr>
        <w:tc>
          <w:tcPr>
            <w:tcW w:w="1412" w:type="pct"/>
            <w:shd w:val="clear" w:color="auto" w:fill="auto"/>
            <w:vAlign w:val="center"/>
          </w:tcPr>
          <w:p w:rsidR="00434533" w:rsidRPr="00B1310A" w:rsidRDefault="00434533" w:rsidP="00516EF4">
            <w:pPr>
              <w:pStyle w:val="TableText"/>
            </w:pPr>
            <w:r>
              <w:t>% PD-L1 positive</w:t>
            </w:r>
          </w:p>
        </w:tc>
        <w:tc>
          <w:tcPr>
            <w:tcW w:w="1337" w:type="pct"/>
            <w:shd w:val="clear" w:color="auto" w:fill="auto"/>
            <w:vAlign w:val="center"/>
          </w:tcPr>
          <w:p w:rsidR="00434533" w:rsidRPr="00B1310A" w:rsidRDefault="00434533" w:rsidP="00516EF4">
            <w:pPr>
              <w:pStyle w:val="TableText"/>
            </w:pPr>
            <w:r w:rsidRPr="00B1310A">
              <w:t>41%</w:t>
            </w:r>
            <w:r>
              <w:t>, a</w:t>
            </w:r>
            <w:r w:rsidRPr="009F2881">
              <w:t xml:space="preserve">s </w:t>
            </w:r>
            <w:r w:rsidR="00B508C1">
              <w:t>reported in IMpassion130</w:t>
            </w:r>
          </w:p>
        </w:tc>
        <w:tc>
          <w:tcPr>
            <w:tcW w:w="2251" w:type="pct"/>
            <w:shd w:val="clear" w:color="auto" w:fill="auto"/>
            <w:vAlign w:val="center"/>
          </w:tcPr>
          <w:p w:rsidR="00434533" w:rsidRPr="0045743C" w:rsidRDefault="00434533" w:rsidP="004D42E0">
            <w:pPr>
              <w:pStyle w:val="TableText"/>
            </w:pPr>
            <w:r w:rsidRPr="0045743C">
              <w:t>The proportion of patients testing positive in the trial as per the VENTANA SP142 test, and therefore eligible for treatment with ATZ+nab-P. This proportion may differ in Australian practice where different tests are available in clinical practice</w:t>
            </w:r>
            <w:r w:rsidR="00F1098E">
              <w:t xml:space="preserve"> with higher test-positive rates.</w:t>
            </w:r>
          </w:p>
        </w:tc>
      </w:tr>
      <w:tr w:rsidR="00434533" w:rsidRPr="00E2771E" w:rsidTr="0084559A">
        <w:trPr>
          <w:cantSplit/>
        </w:trPr>
        <w:tc>
          <w:tcPr>
            <w:tcW w:w="1412" w:type="pct"/>
            <w:shd w:val="clear" w:color="auto" w:fill="auto"/>
            <w:vAlign w:val="center"/>
          </w:tcPr>
          <w:p w:rsidR="00434533" w:rsidRPr="00B1310A" w:rsidRDefault="00434533" w:rsidP="00516EF4">
            <w:pPr>
              <w:pStyle w:val="TableText"/>
            </w:pPr>
            <w:r>
              <w:t># grandfathered patients</w:t>
            </w:r>
          </w:p>
        </w:tc>
        <w:tc>
          <w:tcPr>
            <w:tcW w:w="1337" w:type="pct"/>
            <w:shd w:val="clear" w:color="auto" w:fill="auto"/>
            <w:vAlign w:val="center"/>
          </w:tcPr>
          <w:p w:rsidR="00434533" w:rsidRPr="00B1310A" w:rsidRDefault="00057D63" w:rsidP="00516EF4">
            <w:pPr>
              <w:pStyle w:val="TableText"/>
            </w:pPr>
            <w:r>
              <w:t>&lt;</w:t>
            </w:r>
            <w:r w:rsidR="001951F5">
              <w:t> </w:t>
            </w:r>
            <w:r>
              <w:t>500</w:t>
            </w:r>
            <w:r w:rsidR="00B508C1">
              <w:t>, Assumption</w:t>
            </w:r>
          </w:p>
        </w:tc>
        <w:tc>
          <w:tcPr>
            <w:tcW w:w="2251" w:type="pct"/>
            <w:shd w:val="clear" w:color="auto" w:fill="auto"/>
            <w:vAlign w:val="center"/>
          </w:tcPr>
          <w:p w:rsidR="00434533" w:rsidRPr="0045743C" w:rsidRDefault="00434533" w:rsidP="004155FD">
            <w:pPr>
              <w:pStyle w:val="TableText"/>
            </w:pPr>
            <w:r w:rsidRPr="0045743C">
              <w:t>Th</w:t>
            </w:r>
            <w:r w:rsidR="00FA1546">
              <w:t xml:space="preserve">e </w:t>
            </w:r>
            <w:r w:rsidR="004155FD">
              <w:t>commentary</w:t>
            </w:r>
            <w:r w:rsidR="00FA1546">
              <w:t xml:space="preserve"> considered th</w:t>
            </w:r>
            <w:r w:rsidRPr="0045743C">
              <w:t>is appeared reasona</w:t>
            </w:r>
            <w:r w:rsidR="00B508C1">
              <w:t>ble.</w:t>
            </w:r>
          </w:p>
        </w:tc>
      </w:tr>
      <w:tr w:rsidR="00434533" w:rsidRPr="00E2771E" w:rsidTr="0084559A">
        <w:trPr>
          <w:cantSplit/>
        </w:trPr>
        <w:tc>
          <w:tcPr>
            <w:tcW w:w="1412" w:type="pct"/>
            <w:shd w:val="clear" w:color="auto" w:fill="auto"/>
            <w:vAlign w:val="center"/>
          </w:tcPr>
          <w:p w:rsidR="00434533" w:rsidRPr="00B1310A" w:rsidRDefault="00434533" w:rsidP="00516EF4">
            <w:pPr>
              <w:pStyle w:val="TableText"/>
            </w:pPr>
            <w:r>
              <w:lastRenderedPageBreak/>
              <w:t># administrations of ATZ+nab-P per patient (proposed scenario)</w:t>
            </w:r>
          </w:p>
        </w:tc>
        <w:tc>
          <w:tcPr>
            <w:tcW w:w="1337" w:type="pct"/>
            <w:shd w:val="clear" w:color="auto" w:fill="auto"/>
            <w:vAlign w:val="center"/>
          </w:tcPr>
          <w:p w:rsidR="00434533" w:rsidRDefault="00434533" w:rsidP="00516EF4">
            <w:pPr>
              <w:pStyle w:val="TableText"/>
            </w:pPr>
            <w:r>
              <w:t xml:space="preserve">ATZ: </w:t>
            </w:r>
            <w:r w:rsidRPr="001959D9">
              <w:rPr>
                <w:snapToGrid w:val="0"/>
              </w:rPr>
              <w:t>27.37</w:t>
            </w:r>
            <w:r>
              <w:rPr>
                <w:snapToGrid w:val="0"/>
              </w:rPr>
              <w:t xml:space="preserve"> doses</w:t>
            </w:r>
          </w:p>
          <w:p w:rsidR="00434533" w:rsidRPr="00B1310A" w:rsidRDefault="00434533" w:rsidP="00516EF4">
            <w:pPr>
              <w:pStyle w:val="TableText"/>
            </w:pPr>
            <w:r>
              <w:t>Nab-P: 14.02 administrations</w:t>
            </w:r>
          </w:p>
        </w:tc>
        <w:tc>
          <w:tcPr>
            <w:tcW w:w="2251" w:type="pct"/>
            <w:shd w:val="clear" w:color="auto" w:fill="auto"/>
            <w:vAlign w:val="center"/>
          </w:tcPr>
          <w:p w:rsidR="00434533" w:rsidRPr="0045743C" w:rsidRDefault="00434533" w:rsidP="00071A1F">
            <w:pPr>
              <w:pStyle w:val="TableText"/>
            </w:pPr>
            <w:r w:rsidRPr="0045743C">
              <w:t>The average number of administrations of nab-P was incorrect (approximately half the expected number). In the economic model, the submission assumed an average of 28.12 administrations per patient was applicable for nab-P.</w:t>
            </w:r>
            <w:r w:rsidR="00F95D65">
              <w:t xml:space="preserve"> DUSC considered the number of doses of ATZ and nab-P were overestimated.</w:t>
            </w:r>
          </w:p>
        </w:tc>
      </w:tr>
      <w:tr w:rsidR="00434533" w:rsidRPr="00E2771E" w:rsidTr="0084559A">
        <w:trPr>
          <w:cantSplit/>
        </w:trPr>
        <w:tc>
          <w:tcPr>
            <w:tcW w:w="1412" w:type="pct"/>
            <w:shd w:val="clear" w:color="auto" w:fill="auto"/>
            <w:vAlign w:val="center"/>
          </w:tcPr>
          <w:p w:rsidR="00434533" w:rsidRPr="00B1310A" w:rsidRDefault="00434533" w:rsidP="00516EF4">
            <w:pPr>
              <w:pStyle w:val="TableText"/>
            </w:pPr>
            <w:r>
              <w:t># administrations of nab-P per patient (current scenario)</w:t>
            </w:r>
          </w:p>
        </w:tc>
        <w:tc>
          <w:tcPr>
            <w:tcW w:w="1337" w:type="pct"/>
            <w:shd w:val="clear" w:color="auto" w:fill="auto"/>
            <w:vAlign w:val="center"/>
          </w:tcPr>
          <w:p w:rsidR="00434533" w:rsidRPr="00B1310A" w:rsidRDefault="00434533" w:rsidP="00516EF4">
            <w:pPr>
              <w:pStyle w:val="TableText"/>
            </w:pPr>
            <w:r>
              <w:t>10.6 administrations</w:t>
            </w:r>
          </w:p>
        </w:tc>
        <w:tc>
          <w:tcPr>
            <w:tcW w:w="2251" w:type="pct"/>
            <w:shd w:val="clear" w:color="auto" w:fill="auto"/>
            <w:vAlign w:val="center"/>
          </w:tcPr>
          <w:p w:rsidR="00434533" w:rsidRPr="0045743C" w:rsidRDefault="00434533" w:rsidP="00136067">
            <w:pPr>
              <w:pStyle w:val="TableText"/>
            </w:pPr>
            <w:r w:rsidRPr="0045743C">
              <w:t>The number of administrations was incorrect (approximately half) and compared to 19.73 in the economic model.</w:t>
            </w:r>
            <w:r w:rsidR="00071A1F">
              <w:t xml:space="preserve"> DUSC considered the number of doses of </w:t>
            </w:r>
            <w:r w:rsidR="00D70D26">
              <w:t>nab-P was</w:t>
            </w:r>
            <w:r w:rsidR="00071A1F">
              <w:t xml:space="preserve"> overestimated.</w:t>
            </w:r>
          </w:p>
        </w:tc>
      </w:tr>
      <w:tr w:rsidR="00434533" w:rsidRPr="00E2771E" w:rsidTr="0084559A">
        <w:trPr>
          <w:cantSplit/>
        </w:trPr>
        <w:tc>
          <w:tcPr>
            <w:tcW w:w="5000" w:type="pct"/>
            <w:gridSpan w:val="3"/>
            <w:shd w:val="clear" w:color="auto" w:fill="auto"/>
            <w:vAlign w:val="center"/>
          </w:tcPr>
          <w:p w:rsidR="00434533" w:rsidRPr="001C5D53" w:rsidRDefault="00434533" w:rsidP="00516EF4">
            <w:pPr>
              <w:pStyle w:val="TableText"/>
              <w:rPr>
                <w:b/>
              </w:rPr>
            </w:pPr>
            <w:r w:rsidRPr="001C5D53">
              <w:rPr>
                <w:b/>
              </w:rPr>
              <w:t xml:space="preserve">MBS </w:t>
            </w:r>
            <w:r w:rsidR="00B27804" w:rsidRPr="001C5D53">
              <w:rPr>
                <w:b/>
              </w:rPr>
              <w:t>i</w:t>
            </w:r>
            <w:r w:rsidRPr="001C5D53">
              <w:rPr>
                <w:b/>
              </w:rPr>
              <w:t>tems</w:t>
            </w:r>
          </w:p>
        </w:tc>
      </w:tr>
      <w:tr w:rsidR="00434533" w:rsidRPr="00E2771E" w:rsidTr="0084559A">
        <w:trPr>
          <w:cantSplit/>
        </w:trPr>
        <w:tc>
          <w:tcPr>
            <w:tcW w:w="1412" w:type="pct"/>
            <w:shd w:val="clear" w:color="auto" w:fill="auto"/>
            <w:vAlign w:val="center"/>
          </w:tcPr>
          <w:p w:rsidR="00434533" w:rsidRDefault="00B27804" w:rsidP="00B27804">
            <w:pPr>
              <w:pStyle w:val="TableText"/>
            </w:pPr>
            <w:r>
              <w:t>MBS i</w:t>
            </w:r>
            <w:r w:rsidR="00434533">
              <w:t xml:space="preserve">tems: </w:t>
            </w:r>
            <w:r>
              <w:t>a</w:t>
            </w:r>
            <w:r w:rsidR="00434533">
              <w:t>dministration of ATZ+nab-P (per-patient-per-course; proposed scenario)</w:t>
            </w:r>
          </w:p>
        </w:tc>
        <w:tc>
          <w:tcPr>
            <w:tcW w:w="1337" w:type="pct"/>
            <w:shd w:val="clear" w:color="auto" w:fill="auto"/>
            <w:vAlign w:val="center"/>
          </w:tcPr>
          <w:p w:rsidR="00434533" w:rsidRDefault="00434533" w:rsidP="00516EF4">
            <w:pPr>
              <w:pStyle w:val="TableText"/>
            </w:pPr>
            <w:r>
              <w:t>MBS It</w:t>
            </w:r>
            <w:r w:rsidR="004D42E0">
              <w:t>em 13918: 27.37 administrations</w:t>
            </w:r>
          </w:p>
          <w:p w:rsidR="00434533" w:rsidRPr="00B1310A" w:rsidRDefault="00434533" w:rsidP="00516EF4">
            <w:pPr>
              <w:pStyle w:val="TableText"/>
            </w:pPr>
            <w:r>
              <w:t>MBS Item 13915: 9.35 administrations</w:t>
            </w:r>
          </w:p>
        </w:tc>
        <w:tc>
          <w:tcPr>
            <w:tcW w:w="2251" w:type="pct"/>
            <w:vMerge w:val="restart"/>
            <w:shd w:val="clear" w:color="auto" w:fill="auto"/>
            <w:vAlign w:val="center"/>
          </w:tcPr>
          <w:p w:rsidR="00434533" w:rsidRPr="00434533" w:rsidRDefault="00434533" w:rsidP="004155FD">
            <w:pPr>
              <w:pStyle w:val="TableText"/>
            </w:pPr>
            <w:r w:rsidRPr="00434533">
              <w:t>Th</w:t>
            </w:r>
            <w:r w:rsidR="00FA1546">
              <w:t xml:space="preserve">e </w:t>
            </w:r>
            <w:r w:rsidR="004155FD">
              <w:t>commentary</w:t>
            </w:r>
            <w:r w:rsidR="00FA1546">
              <w:t xml:space="preserve"> considered th</w:t>
            </w:r>
            <w:r w:rsidRPr="00434533">
              <w:t>is appeared reasonable.</w:t>
            </w:r>
          </w:p>
        </w:tc>
      </w:tr>
      <w:tr w:rsidR="00434533" w:rsidRPr="00E2771E" w:rsidTr="0084559A">
        <w:trPr>
          <w:cantSplit/>
        </w:trPr>
        <w:tc>
          <w:tcPr>
            <w:tcW w:w="1412" w:type="pct"/>
            <w:shd w:val="clear" w:color="auto" w:fill="auto"/>
            <w:vAlign w:val="center"/>
          </w:tcPr>
          <w:p w:rsidR="00434533" w:rsidRDefault="00B27804" w:rsidP="00516EF4">
            <w:pPr>
              <w:pStyle w:val="TableText"/>
            </w:pPr>
            <w:r>
              <w:t>MBS items: a</w:t>
            </w:r>
            <w:r w:rsidR="00434533">
              <w:t>dministration of nab-P alone (per-patient-per-course; current scenario)</w:t>
            </w:r>
          </w:p>
        </w:tc>
        <w:tc>
          <w:tcPr>
            <w:tcW w:w="1337" w:type="pct"/>
            <w:shd w:val="clear" w:color="auto" w:fill="auto"/>
            <w:vAlign w:val="center"/>
          </w:tcPr>
          <w:p w:rsidR="00434533" w:rsidRPr="00B1310A" w:rsidRDefault="00434533" w:rsidP="004D42E0">
            <w:pPr>
              <w:pStyle w:val="TableText"/>
            </w:pPr>
            <w:r>
              <w:t>MBS Item 13915: 21.19 administrations</w:t>
            </w:r>
          </w:p>
        </w:tc>
        <w:tc>
          <w:tcPr>
            <w:tcW w:w="2251" w:type="pct"/>
            <w:vMerge/>
            <w:shd w:val="clear" w:color="auto" w:fill="auto"/>
            <w:vAlign w:val="center"/>
          </w:tcPr>
          <w:p w:rsidR="00434533" w:rsidRPr="001F7B22" w:rsidRDefault="00434533" w:rsidP="00516EF4">
            <w:pPr>
              <w:pStyle w:val="TableText"/>
              <w:rPr>
                <w:i/>
              </w:rPr>
            </w:pPr>
          </w:p>
        </w:tc>
      </w:tr>
      <w:tr w:rsidR="00434533" w:rsidRPr="00E2771E" w:rsidTr="0084559A">
        <w:trPr>
          <w:cantSplit/>
        </w:trPr>
        <w:tc>
          <w:tcPr>
            <w:tcW w:w="1412" w:type="pct"/>
            <w:shd w:val="clear" w:color="auto" w:fill="auto"/>
            <w:vAlign w:val="center"/>
          </w:tcPr>
          <w:p w:rsidR="00434533" w:rsidRDefault="00434533" w:rsidP="00516EF4">
            <w:pPr>
              <w:pStyle w:val="TableText"/>
            </w:pPr>
            <w:r>
              <w:t>On treatment monitoring costs: ATZ+nab-P (per-patient-per-course proposed scenario)</w:t>
            </w:r>
          </w:p>
        </w:tc>
        <w:tc>
          <w:tcPr>
            <w:tcW w:w="1337" w:type="pct"/>
            <w:shd w:val="clear" w:color="auto" w:fill="auto"/>
            <w:vAlign w:val="center"/>
          </w:tcPr>
          <w:p w:rsidR="00434533" w:rsidRDefault="00434533" w:rsidP="00516EF4">
            <w:pPr>
              <w:pStyle w:val="TableText"/>
            </w:pPr>
            <w:r>
              <w:t>MBS It</w:t>
            </w:r>
            <w:r w:rsidR="004D42E0">
              <w:t>em 56807 (every 12 weeks): 4.56</w:t>
            </w:r>
          </w:p>
          <w:p w:rsidR="00434533" w:rsidRPr="00B1310A" w:rsidRDefault="00434533" w:rsidP="00516EF4">
            <w:pPr>
              <w:pStyle w:val="TableText"/>
            </w:pPr>
            <w:r>
              <w:t>MBS Items 105, 65070 and 66512 (every 4 weeks):13.68</w:t>
            </w:r>
          </w:p>
        </w:tc>
        <w:tc>
          <w:tcPr>
            <w:tcW w:w="2251" w:type="pct"/>
            <w:vMerge/>
            <w:shd w:val="clear" w:color="auto" w:fill="auto"/>
            <w:vAlign w:val="center"/>
          </w:tcPr>
          <w:p w:rsidR="00434533" w:rsidRPr="001F7B22" w:rsidRDefault="00434533" w:rsidP="00516EF4">
            <w:pPr>
              <w:pStyle w:val="TableText"/>
              <w:rPr>
                <w:i/>
              </w:rPr>
            </w:pPr>
          </w:p>
        </w:tc>
      </w:tr>
      <w:tr w:rsidR="00434533" w:rsidRPr="00E2771E" w:rsidTr="0084559A">
        <w:trPr>
          <w:cantSplit/>
        </w:trPr>
        <w:tc>
          <w:tcPr>
            <w:tcW w:w="1412" w:type="pct"/>
            <w:shd w:val="clear" w:color="auto" w:fill="auto"/>
            <w:vAlign w:val="center"/>
          </w:tcPr>
          <w:p w:rsidR="00434533" w:rsidRDefault="00434533" w:rsidP="00516EF4">
            <w:pPr>
              <w:pStyle w:val="TableText"/>
            </w:pPr>
            <w:r>
              <w:t>On treatment monitoring costs: nab-P (per-patient-per-course proposed scenario)</w:t>
            </w:r>
          </w:p>
        </w:tc>
        <w:tc>
          <w:tcPr>
            <w:tcW w:w="1337" w:type="pct"/>
            <w:shd w:val="clear" w:color="auto" w:fill="auto"/>
            <w:vAlign w:val="center"/>
          </w:tcPr>
          <w:p w:rsidR="00434533" w:rsidRDefault="00434533" w:rsidP="00516EF4">
            <w:pPr>
              <w:pStyle w:val="TableText"/>
            </w:pPr>
            <w:r>
              <w:t>MBS Item 56807 (every 12 weeks): 2.35</w:t>
            </w:r>
          </w:p>
          <w:p w:rsidR="00434533" w:rsidRDefault="00434533" w:rsidP="00516EF4">
            <w:pPr>
              <w:pStyle w:val="TableText"/>
            </w:pPr>
            <w:r>
              <w:t>MBS Items 105, 65070 and 66512 (every 4 weeks):7.06</w:t>
            </w:r>
          </w:p>
        </w:tc>
        <w:tc>
          <w:tcPr>
            <w:tcW w:w="2251" w:type="pct"/>
            <w:vMerge/>
            <w:shd w:val="clear" w:color="auto" w:fill="auto"/>
            <w:vAlign w:val="center"/>
          </w:tcPr>
          <w:p w:rsidR="00434533" w:rsidRPr="001F7B22" w:rsidRDefault="00434533" w:rsidP="00516EF4">
            <w:pPr>
              <w:pStyle w:val="TableText"/>
              <w:rPr>
                <w:i/>
              </w:rPr>
            </w:pPr>
          </w:p>
        </w:tc>
      </w:tr>
    </w:tbl>
    <w:p w:rsidR="00434533" w:rsidRDefault="00434533" w:rsidP="00434533">
      <w:pPr>
        <w:pStyle w:val="TableFigureFooter"/>
      </w:pPr>
      <w:r w:rsidRPr="007925DF">
        <w:t xml:space="preserve">Source: </w:t>
      </w:r>
      <w:r>
        <w:t>Compiled during the evaluation based on information provided in ‘Section 4 Workbook.xslx’</w:t>
      </w:r>
      <w:r w:rsidR="00B508C1">
        <w:t>.</w:t>
      </w:r>
    </w:p>
    <w:p w:rsidR="00434533" w:rsidRDefault="00434533" w:rsidP="00434533">
      <w:pPr>
        <w:pStyle w:val="TableFigureFooter"/>
      </w:pPr>
      <w:r w:rsidRPr="006F58DC">
        <w:t>AIHW = Australian Institute of Health and Welfare</w:t>
      </w:r>
      <w:r w:rsidR="00B508C1">
        <w:t>.</w:t>
      </w:r>
    </w:p>
    <w:p w:rsidR="00434533" w:rsidRPr="00563AC3" w:rsidRDefault="00434533" w:rsidP="00434533">
      <w:pPr>
        <w:pStyle w:val="ListParagraph"/>
        <w:numPr>
          <w:ilvl w:val="4"/>
          <w:numId w:val="1"/>
        </w:numPr>
        <w:rPr>
          <w:color w:val="auto"/>
        </w:rPr>
      </w:pPr>
      <w:r>
        <w:rPr>
          <w:color w:val="auto"/>
        </w:rPr>
        <w:t>The estimated extent of use and financial implications</w:t>
      </w:r>
      <w:r w:rsidR="00071A1F">
        <w:rPr>
          <w:color w:val="auto"/>
        </w:rPr>
        <w:t>, as estimated in the submission,</w:t>
      </w:r>
      <w:r>
        <w:rPr>
          <w:color w:val="auto"/>
        </w:rPr>
        <w:t xml:space="preserve"> are provided in </w:t>
      </w:r>
      <w:r w:rsidR="00074BE0" w:rsidRPr="0081637E">
        <w:t>Table</w:t>
      </w:r>
      <w:r w:rsidR="00074BE0">
        <w:t xml:space="preserve"> </w:t>
      </w:r>
      <w:r w:rsidR="00074BE0">
        <w:rPr>
          <w:noProof/>
        </w:rPr>
        <w:t>19</w:t>
      </w:r>
      <w:r>
        <w:rPr>
          <w:color w:val="auto"/>
        </w:rPr>
        <w:t xml:space="preserve"> below.</w:t>
      </w:r>
    </w:p>
    <w:p w:rsidR="00434533" w:rsidRPr="0081637E" w:rsidRDefault="00434533" w:rsidP="00434533">
      <w:pPr>
        <w:pStyle w:val="Caption"/>
      </w:pPr>
      <w:bookmarkStart w:id="46" w:name="_Ref27138705"/>
      <w:r w:rsidRPr="0081637E">
        <w:t>Table</w:t>
      </w:r>
      <w:r w:rsidR="0084559A">
        <w:t xml:space="preserve"> </w:t>
      </w:r>
      <w:r w:rsidR="00074BE0">
        <w:rPr>
          <w:noProof/>
        </w:rPr>
        <w:t>19</w:t>
      </w:r>
      <w:bookmarkEnd w:id="46"/>
      <w:r w:rsidR="00EF5451">
        <w:rPr>
          <w:noProof/>
        </w:rPr>
        <w:t xml:space="preserve">: </w:t>
      </w:r>
      <w:r w:rsidRPr="0081637E">
        <w:rPr>
          <w:rStyle w:val="CommentReference"/>
          <w:b/>
          <w:szCs w:val="18"/>
        </w:rPr>
        <w:t>Estimated use and financial implications</w:t>
      </w:r>
      <w:r w:rsidR="007B5085">
        <w:rPr>
          <w:rStyle w:val="CommentReference"/>
          <w:b/>
          <w:szCs w:val="18"/>
        </w:rPr>
        <w:t xml:space="preserve"> (submission’s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10"/>
        <w:gridCol w:w="1166"/>
        <w:gridCol w:w="1167"/>
        <w:gridCol w:w="1167"/>
        <w:gridCol w:w="1167"/>
        <w:gridCol w:w="1167"/>
        <w:gridCol w:w="1172"/>
      </w:tblGrid>
      <w:tr w:rsidR="00434533" w:rsidRPr="00D1078F" w:rsidTr="00516EF4">
        <w:trPr>
          <w:tblHeader/>
        </w:trPr>
        <w:tc>
          <w:tcPr>
            <w:tcW w:w="1115" w:type="pct"/>
            <w:shd w:val="clear" w:color="auto" w:fill="auto"/>
            <w:vAlign w:val="center"/>
          </w:tcPr>
          <w:p w:rsidR="00434533" w:rsidRPr="003639A6" w:rsidRDefault="00434533" w:rsidP="00516EF4">
            <w:pPr>
              <w:pStyle w:val="In-tableHeading"/>
              <w:jc w:val="center"/>
            </w:pPr>
          </w:p>
        </w:tc>
        <w:tc>
          <w:tcPr>
            <w:tcW w:w="647" w:type="pct"/>
            <w:shd w:val="clear" w:color="auto" w:fill="auto"/>
            <w:vAlign w:val="center"/>
          </w:tcPr>
          <w:p w:rsidR="00434533" w:rsidRPr="00D1078F" w:rsidRDefault="00434533" w:rsidP="00516EF4">
            <w:pPr>
              <w:pStyle w:val="In-tableHeading"/>
              <w:jc w:val="center"/>
            </w:pPr>
            <w:r w:rsidRPr="00D1078F">
              <w:t>Year 1</w:t>
            </w:r>
          </w:p>
        </w:tc>
        <w:tc>
          <w:tcPr>
            <w:tcW w:w="647" w:type="pct"/>
            <w:shd w:val="clear" w:color="auto" w:fill="auto"/>
            <w:vAlign w:val="center"/>
          </w:tcPr>
          <w:p w:rsidR="00434533" w:rsidRPr="00D1078F" w:rsidRDefault="00434533" w:rsidP="00516EF4">
            <w:pPr>
              <w:pStyle w:val="In-tableHeading"/>
              <w:jc w:val="center"/>
            </w:pPr>
            <w:r w:rsidRPr="00D1078F">
              <w:t>Year 2</w:t>
            </w:r>
          </w:p>
        </w:tc>
        <w:tc>
          <w:tcPr>
            <w:tcW w:w="647" w:type="pct"/>
            <w:shd w:val="clear" w:color="auto" w:fill="auto"/>
            <w:vAlign w:val="center"/>
          </w:tcPr>
          <w:p w:rsidR="00434533" w:rsidRPr="00D1078F" w:rsidRDefault="00434533" w:rsidP="00516EF4">
            <w:pPr>
              <w:pStyle w:val="In-tableHeading"/>
              <w:jc w:val="center"/>
            </w:pPr>
            <w:r w:rsidRPr="00D1078F">
              <w:t>Year 3</w:t>
            </w:r>
          </w:p>
        </w:tc>
        <w:tc>
          <w:tcPr>
            <w:tcW w:w="647" w:type="pct"/>
            <w:shd w:val="clear" w:color="auto" w:fill="auto"/>
            <w:vAlign w:val="center"/>
          </w:tcPr>
          <w:p w:rsidR="00434533" w:rsidRPr="00D1078F" w:rsidRDefault="00434533" w:rsidP="00516EF4">
            <w:pPr>
              <w:pStyle w:val="In-tableHeading"/>
              <w:jc w:val="center"/>
            </w:pPr>
            <w:r w:rsidRPr="00D1078F">
              <w:t>Year 4</w:t>
            </w:r>
          </w:p>
        </w:tc>
        <w:tc>
          <w:tcPr>
            <w:tcW w:w="647" w:type="pct"/>
            <w:shd w:val="clear" w:color="auto" w:fill="auto"/>
            <w:vAlign w:val="center"/>
          </w:tcPr>
          <w:p w:rsidR="00434533" w:rsidRPr="00D1078F" w:rsidRDefault="00434533" w:rsidP="00516EF4">
            <w:pPr>
              <w:pStyle w:val="In-tableHeading"/>
              <w:jc w:val="center"/>
            </w:pPr>
            <w:r w:rsidRPr="00D1078F">
              <w:t>Year 5</w:t>
            </w:r>
          </w:p>
        </w:tc>
        <w:tc>
          <w:tcPr>
            <w:tcW w:w="650" w:type="pct"/>
          </w:tcPr>
          <w:p w:rsidR="00434533" w:rsidRPr="00D1078F" w:rsidRDefault="00434533" w:rsidP="00516EF4">
            <w:pPr>
              <w:pStyle w:val="In-tableHeading"/>
              <w:jc w:val="center"/>
            </w:pPr>
            <w:r w:rsidRPr="00D1078F">
              <w:t>Year 6</w:t>
            </w:r>
          </w:p>
        </w:tc>
      </w:tr>
      <w:tr w:rsidR="00434533" w:rsidRPr="00D1078F" w:rsidTr="00516EF4">
        <w:tc>
          <w:tcPr>
            <w:tcW w:w="5000" w:type="pct"/>
            <w:gridSpan w:val="7"/>
            <w:shd w:val="clear" w:color="auto" w:fill="auto"/>
            <w:vAlign w:val="center"/>
          </w:tcPr>
          <w:p w:rsidR="00434533" w:rsidRPr="00D1078F" w:rsidRDefault="00434533" w:rsidP="00516EF4">
            <w:pPr>
              <w:pStyle w:val="In-tableHeading"/>
              <w:rPr>
                <w:bCs/>
                <w:color w:val="000000"/>
              </w:rPr>
            </w:pPr>
            <w:r w:rsidRPr="00D1078F">
              <w:rPr>
                <w:bCs/>
                <w:color w:val="000000"/>
              </w:rPr>
              <w:t>Estimated extent of use</w:t>
            </w:r>
            <w:r>
              <w:rPr>
                <w:bCs/>
                <w:color w:val="000000"/>
              </w:rPr>
              <w:t xml:space="preserve"> and cost of the test</w:t>
            </w:r>
          </w:p>
        </w:tc>
      </w:tr>
      <w:tr w:rsidR="00434533" w:rsidRPr="003639A6" w:rsidTr="00516EF4">
        <w:tc>
          <w:tcPr>
            <w:tcW w:w="1115" w:type="pct"/>
            <w:tcBorders>
              <w:bottom w:val="nil"/>
            </w:tcBorders>
            <w:shd w:val="clear" w:color="auto" w:fill="auto"/>
            <w:vAlign w:val="center"/>
          </w:tcPr>
          <w:p w:rsidR="00434533" w:rsidRPr="003639A6" w:rsidRDefault="00434533" w:rsidP="00516EF4">
            <w:pPr>
              <w:pStyle w:val="TableText"/>
              <w:rPr>
                <w:rFonts w:ascii="Times" w:hAnsi="Times"/>
              </w:rPr>
            </w:pPr>
            <w:r w:rsidRPr="00914EB1">
              <w:t>Total patients</w:t>
            </w:r>
            <w:r>
              <w:t xml:space="preserve"> tested</w:t>
            </w:r>
          </w:p>
        </w:tc>
        <w:tc>
          <w:tcPr>
            <w:tcW w:w="647" w:type="pct"/>
            <w:tcBorders>
              <w:bottom w:val="nil"/>
            </w:tcBorders>
            <w:shd w:val="clear" w:color="auto" w:fill="auto"/>
            <w:vAlign w:val="center"/>
          </w:tcPr>
          <w:p w:rsidR="00434533" w:rsidRPr="00EB2224" w:rsidRDefault="00EB2224" w:rsidP="00516EF4">
            <w:pPr>
              <w:pStyle w:val="TableText"/>
              <w:jc w:val="center"/>
              <w:rPr>
                <w:color w:val="000000"/>
                <w:highlight w:val="black"/>
              </w:rPr>
            </w:pPr>
            <w:r>
              <w:rPr>
                <w:noProof/>
                <w:color w:val="000000"/>
                <w:highlight w:val="black"/>
              </w:rPr>
              <w:t>''''''''''</w:t>
            </w:r>
          </w:p>
        </w:tc>
        <w:tc>
          <w:tcPr>
            <w:tcW w:w="647" w:type="pct"/>
            <w:tcBorders>
              <w:bottom w:val="nil"/>
            </w:tcBorders>
            <w:shd w:val="clear" w:color="auto" w:fill="auto"/>
            <w:vAlign w:val="center"/>
          </w:tcPr>
          <w:p w:rsidR="00434533" w:rsidRPr="00EB2224" w:rsidRDefault="00EB2224" w:rsidP="00516EF4">
            <w:pPr>
              <w:pStyle w:val="TableText"/>
              <w:jc w:val="center"/>
              <w:rPr>
                <w:color w:val="000000"/>
                <w:highlight w:val="black"/>
              </w:rPr>
            </w:pPr>
            <w:r>
              <w:rPr>
                <w:noProof/>
                <w:color w:val="000000"/>
                <w:highlight w:val="black"/>
              </w:rPr>
              <w:t>''''''''''</w:t>
            </w:r>
          </w:p>
        </w:tc>
        <w:tc>
          <w:tcPr>
            <w:tcW w:w="647" w:type="pct"/>
            <w:tcBorders>
              <w:bottom w:val="nil"/>
            </w:tcBorders>
            <w:shd w:val="clear" w:color="auto" w:fill="auto"/>
            <w:vAlign w:val="center"/>
          </w:tcPr>
          <w:p w:rsidR="00434533" w:rsidRPr="00EB2224" w:rsidRDefault="00EB2224" w:rsidP="00516EF4">
            <w:pPr>
              <w:pStyle w:val="TableText"/>
              <w:jc w:val="center"/>
              <w:rPr>
                <w:color w:val="000000"/>
                <w:highlight w:val="black"/>
              </w:rPr>
            </w:pPr>
            <w:r>
              <w:rPr>
                <w:noProof/>
                <w:color w:val="000000"/>
                <w:highlight w:val="black"/>
              </w:rPr>
              <w:t>''''''''''</w:t>
            </w:r>
          </w:p>
        </w:tc>
        <w:tc>
          <w:tcPr>
            <w:tcW w:w="647" w:type="pct"/>
            <w:tcBorders>
              <w:bottom w:val="nil"/>
            </w:tcBorders>
            <w:shd w:val="clear" w:color="auto" w:fill="auto"/>
            <w:vAlign w:val="center"/>
          </w:tcPr>
          <w:p w:rsidR="00434533" w:rsidRPr="00EB2224" w:rsidRDefault="00EB2224" w:rsidP="00516EF4">
            <w:pPr>
              <w:pStyle w:val="TableText"/>
              <w:jc w:val="center"/>
              <w:rPr>
                <w:color w:val="000000"/>
                <w:highlight w:val="black"/>
              </w:rPr>
            </w:pPr>
            <w:r>
              <w:rPr>
                <w:noProof/>
                <w:color w:val="000000"/>
                <w:highlight w:val="black"/>
              </w:rPr>
              <w:t>''''''''''</w:t>
            </w:r>
          </w:p>
        </w:tc>
        <w:tc>
          <w:tcPr>
            <w:tcW w:w="647" w:type="pct"/>
            <w:tcBorders>
              <w:bottom w:val="nil"/>
            </w:tcBorders>
            <w:shd w:val="clear" w:color="auto" w:fill="auto"/>
            <w:vAlign w:val="center"/>
          </w:tcPr>
          <w:p w:rsidR="00434533" w:rsidRPr="00EB2224" w:rsidRDefault="00EB2224" w:rsidP="00516EF4">
            <w:pPr>
              <w:pStyle w:val="TableText"/>
              <w:jc w:val="center"/>
              <w:rPr>
                <w:color w:val="000000"/>
                <w:highlight w:val="black"/>
              </w:rPr>
            </w:pPr>
            <w:r>
              <w:rPr>
                <w:noProof/>
                <w:color w:val="000000"/>
                <w:highlight w:val="black"/>
              </w:rPr>
              <w:t>''''''''''</w:t>
            </w:r>
          </w:p>
        </w:tc>
        <w:tc>
          <w:tcPr>
            <w:tcW w:w="650" w:type="pct"/>
            <w:tcBorders>
              <w:bottom w:val="nil"/>
            </w:tcBorders>
            <w:vAlign w:val="center"/>
          </w:tcPr>
          <w:p w:rsidR="00434533" w:rsidRPr="00EB2224" w:rsidRDefault="00EB2224" w:rsidP="00516EF4">
            <w:pPr>
              <w:pStyle w:val="TableText"/>
              <w:jc w:val="center"/>
              <w:rPr>
                <w:color w:val="000000"/>
                <w:highlight w:val="black"/>
              </w:rPr>
            </w:pPr>
            <w:r>
              <w:rPr>
                <w:noProof/>
                <w:color w:val="000000"/>
                <w:highlight w:val="black"/>
              </w:rPr>
              <w:t>'''''''''</w:t>
            </w:r>
          </w:p>
        </w:tc>
      </w:tr>
      <w:tr w:rsidR="00217496" w:rsidRPr="003639A6" w:rsidTr="00516EF4">
        <w:tc>
          <w:tcPr>
            <w:tcW w:w="1115" w:type="pct"/>
            <w:shd w:val="clear" w:color="auto" w:fill="auto"/>
            <w:vAlign w:val="center"/>
          </w:tcPr>
          <w:p w:rsidR="00217496" w:rsidRPr="003639A6" w:rsidRDefault="00217496" w:rsidP="00592461">
            <w:pPr>
              <w:pStyle w:val="TableText"/>
            </w:pPr>
            <w:r w:rsidRPr="00914EB1">
              <w:t xml:space="preserve">Total cost to MBS </w:t>
            </w:r>
          </w:p>
        </w:tc>
        <w:tc>
          <w:tcPr>
            <w:tcW w:w="647" w:type="pct"/>
            <w:shd w:val="clear" w:color="auto" w:fill="auto"/>
            <w:vAlign w:val="center"/>
          </w:tcPr>
          <w:p w:rsidR="00217496" w:rsidRPr="00592461" w:rsidRDefault="00217496" w:rsidP="00217496">
            <w:pPr>
              <w:pStyle w:val="TableText"/>
              <w:jc w:val="center"/>
              <w:rPr>
                <w:color w:val="000000"/>
              </w:rPr>
            </w:pPr>
            <w:r w:rsidRPr="00342422">
              <w:t>$</w:t>
            </w:r>
            <w:r w:rsidR="00EB2224">
              <w:rPr>
                <w:noProof/>
                <w:color w:val="000000"/>
                <w:highlight w:val="black"/>
              </w:rPr>
              <w:t>''''''''''''''''</w:t>
            </w:r>
          </w:p>
        </w:tc>
        <w:tc>
          <w:tcPr>
            <w:tcW w:w="647" w:type="pct"/>
            <w:shd w:val="clear" w:color="auto" w:fill="auto"/>
            <w:vAlign w:val="center"/>
          </w:tcPr>
          <w:p w:rsidR="00217496" w:rsidRPr="00592461" w:rsidRDefault="00217496" w:rsidP="00217496">
            <w:pPr>
              <w:pStyle w:val="TableText"/>
              <w:jc w:val="center"/>
              <w:rPr>
                <w:color w:val="000000"/>
              </w:rPr>
            </w:pPr>
            <w:r w:rsidRPr="00342422">
              <w:t>$</w:t>
            </w:r>
            <w:r w:rsidR="00EB2224">
              <w:rPr>
                <w:noProof/>
                <w:color w:val="000000"/>
                <w:highlight w:val="black"/>
              </w:rPr>
              <w:t>''''''''''''''''</w:t>
            </w:r>
          </w:p>
        </w:tc>
        <w:tc>
          <w:tcPr>
            <w:tcW w:w="647" w:type="pct"/>
            <w:shd w:val="clear" w:color="auto" w:fill="auto"/>
            <w:vAlign w:val="center"/>
          </w:tcPr>
          <w:p w:rsidR="00217496" w:rsidRPr="00592461" w:rsidRDefault="00217496" w:rsidP="00217496">
            <w:pPr>
              <w:pStyle w:val="TableText"/>
              <w:jc w:val="center"/>
              <w:rPr>
                <w:color w:val="000000"/>
              </w:rPr>
            </w:pPr>
            <w:r w:rsidRPr="00342422">
              <w:t>$</w:t>
            </w:r>
            <w:r w:rsidR="00EB2224">
              <w:rPr>
                <w:noProof/>
                <w:color w:val="000000"/>
                <w:highlight w:val="black"/>
              </w:rPr>
              <w:t>''''''''''''''''</w:t>
            </w:r>
          </w:p>
        </w:tc>
        <w:tc>
          <w:tcPr>
            <w:tcW w:w="647" w:type="pct"/>
            <w:shd w:val="clear" w:color="auto" w:fill="auto"/>
            <w:vAlign w:val="center"/>
          </w:tcPr>
          <w:p w:rsidR="00217496" w:rsidRPr="00592461" w:rsidRDefault="00217496" w:rsidP="00217496">
            <w:pPr>
              <w:pStyle w:val="TableText"/>
              <w:jc w:val="center"/>
              <w:rPr>
                <w:color w:val="000000"/>
              </w:rPr>
            </w:pPr>
            <w:r w:rsidRPr="00342422">
              <w:t>$</w:t>
            </w:r>
            <w:r w:rsidR="00EB2224">
              <w:rPr>
                <w:noProof/>
                <w:color w:val="000000"/>
                <w:highlight w:val="black"/>
              </w:rPr>
              <w:t>'''''''''''''''</w:t>
            </w:r>
          </w:p>
        </w:tc>
        <w:tc>
          <w:tcPr>
            <w:tcW w:w="647" w:type="pct"/>
            <w:shd w:val="clear" w:color="auto" w:fill="auto"/>
            <w:vAlign w:val="center"/>
          </w:tcPr>
          <w:p w:rsidR="00217496" w:rsidRPr="00592461" w:rsidRDefault="00217496" w:rsidP="00217496">
            <w:pPr>
              <w:pStyle w:val="TableText"/>
              <w:jc w:val="center"/>
              <w:rPr>
                <w:color w:val="000000"/>
              </w:rPr>
            </w:pPr>
            <w:r w:rsidRPr="00342422">
              <w:t>$</w:t>
            </w:r>
            <w:r w:rsidR="00EB2224">
              <w:rPr>
                <w:noProof/>
                <w:color w:val="000000"/>
                <w:highlight w:val="black"/>
              </w:rPr>
              <w:t>''''''''''''''''</w:t>
            </w:r>
          </w:p>
        </w:tc>
        <w:tc>
          <w:tcPr>
            <w:tcW w:w="650" w:type="pct"/>
            <w:vAlign w:val="center"/>
          </w:tcPr>
          <w:p w:rsidR="00217496" w:rsidRPr="00592461" w:rsidRDefault="00217496" w:rsidP="00217496">
            <w:pPr>
              <w:pStyle w:val="TableText"/>
              <w:jc w:val="center"/>
              <w:rPr>
                <w:color w:val="000000"/>
              </w:rPr>
            </w:pPr>
            <w:r w:rsidRPr="00342422">
              <w:t>$</w:t>
            </w:r>
            <w:r w:rsidR="00EB2224">
              <w:rPr>
                <w:noProof/>
                <w:color w:val="000000"/>
                <w:highlight w:val="black"/>
              </w:rPr>
              <w:t>''''''''''''''''</w:t>
            </w:r>
          </w:p>
        </w:tc>
      </w:tr>
      <w:tr w:rsidR="00434533" w:rsidRPr="003639A6" w:rsidTr="00516EF4">
        <w:tc>
          <w:tcPr>
            <w:tcW w:w="1115" w:type="pct"/>
            <w:shd w:val="clear" w:color="auto" w:fill="auto"/>
            <w:vAlign w:val="center"/>
          </w:tcPr>
          <w:p w:rsidR="00434533" w:rsidRPr="007B5085" w:rsidRDefault="00217496" w:rsidP="00516EF4">
            <w:pPr>
              <w:pStyle w:val="TableText"/>
            </w:pPr>
            <w:r w:rsidRPr="007B5085">
              <w:t>Total cost to MBS</w:t>
            </w:r>
            <w:r w:rsidR="00434533" w:rsidRPr="0084559A">
              <w:t xml:space="preserve"> (85% schedule fee)</w:t>
            </w:r>
          </w:p>
        </w:tc>
        <w:tc>
          <w:tcPr>
            <w:tcW w:w="647" w:type="pct"/>
            <w:shd w:val="clear" w:color="auto" w:fill="auto"/>
            <w:vAlign w:val="center"/>
          </w:tcPr>
          <w:p w:rsidR="00434533" w:rsidRPr="00592461" w:rsidRDefault="00434533" w:rsidP="00516EF4">
            <w:pPr>
              <w:pStyle w:val="TableText"/>
              <w:jc w:val="center"/>
            </w:pPr>
            <w:r w:rsidRPr="00342422">
              <w:t>$</w:t>
            </w:r>
            <w:r w:rsidR="00EB2224">
              <w:rPr>
                <w:noProof/>
                <w:color w:val="000000"/>
                <w:highlight w:val="black"/>
              </w:rPr>
              <w:t>'''''''''''''''</w:t>
            </w:r>
          </w:p>
        </w:tc>
        <w:tc>
          <w:tcPr>
            <w:tcW w:w="647" w:type="pct"/>
            <w:shd w:val="clear" w:color="auto" w:fill="auto"/>
            <w:vAlign w:val="center"/>
          </w:tcPr>
          <w:p w:rsidR="00434533" w:rsidRPr="00592461" w:rsidRDefault="00434533" w:rsidP="00516EF4">
            <w:pPr>
              <w:pStyle w:val="TableText"/>
              <w:jc w:val="center"/>
            </w:pPr>
            <w:r w:rsidRPr="00342422">
              <w:t>$</w:t>
            </w:r>
            <w:r w:rsidR="00EB2224">
              <w:rPr>
                <w:noProof/>
                <w:color w:val="000000"/>
                <w:highlight w:val="black"/>
              </w:rPr>
              <w:t>''''''''''''''''</w:t>
            </w:r>
          </w:p>
        </w:tc>
        <w:tc>
          <w:tcPr>
            <w:tcW w:w="647" w:type="pct"/>
            <w:shd w:val="clear" w:color="auto" w:fill="auto"/>
            <w:vAlign w:val="center"/>
          </w:tcPr>
          <w:p w:rsidR="00434533" w:rsidRPr="00592461" w:rsidRDefault="00434533" w:rsidP="00516EF4">
            <w:pPr>
              <w:pStyle w:val="TableText"/>
              <w:jc w:val="center"/>
            </w:pPr>
            <w:r w:rsidRPr="00342422">
              <w:t>$</w:t>
            </w:r>
            <w:r w:rsidR="00EB2224">
              <w:rPr>
                <w:noProof/>
                <w:color w:val="000000"/>
                <w:highlight w:val="black"/>
              </w:rPr>
              <w:t>'''''''''''''''''</w:t>
            </w:r>
          </w:p>
        </w:tc>
        <w:tc>
          <w:tcPr>
            <w:tcW w:w="647" w:type="pct"/>
            <w:shd w:val="clear" w:color="auto" w:fill="auto"/>
            <w:vAlign w:val="center"/>
          </w:tcPr>
          <w:p w:rsidR="00434533" w:rsidRPr="00592461" w:rsidRDefault="00434533" w:rsidP="00516EF4">
            <w:pPr>
              <w:pStyle w:val="TableText"/>
              <w:jc w:val="center"/>
            </w:pPr>
            <w:r w:rsidRPr="00342422">
              <w:t>$</w:t>
            </w:r>
            <w:r w:rsidR="00EB2224">
              <w:rPr>
                <w:noProof/>
                <w:color w:val="000000"/>
                <w:highlight w:val="black"/>
              </w:rPr>
              <w:t>''''''''''''''''</w:t>
            </w:r>
          </w:p>
        </w:tc>
        <w:tc>
          <w:tcPr>
            <w:tcW w:w="647" w:type="pct"/>
            <w:shd w:val="clear" w:color="auto" w:fill="auto"/>
            <w:vAlign w:val="center"/>
          </w:tcPr>
          <w:p w:rsidR="00434533" w:rsidRPr="00592461" w:rsidRDefault="00434533" w:rsidP="00516EF4">
            <w:pPr>
              <w:pStyle w:val="TableText"/>
              <w:jc w:val="center"/>
            </w:pPr>
            <w:r w:rsidRPr="00342422">
              <w:t>$</w:t>
            </w:r>
            <w:r w:rsidR="00EB2224">
              <w:rPr>
                <w:noProof/>
                <w:color w:val="000000"/>
                <w:highlight w:val="black"/>
              </w:rPr>
              <w:t>'''''''''''''''''</w:t>
            </w:r>
          </w:p>
        </w:tc>
        <w:tc>
          <w:tcPr>
            <w:tcW w:w="650" w:type="pct"/>
            <w:vAlign w:val="center"/>
          </w:tcPr>
          <w:p w:rsidR="00434533" w:rsidRPr="00592461" w:rsidRDefault="00434533" w:rsidP="00516EF4">
            <w:pPr>
              <w:pStyle w:val="TableText"/>
              <w:jc w:val="center"/>
            </w:pPr>
            <w:r w:rsidRPr="00342422">
              <w:t>$</w:t>
            </w:r>
            <w:r w:rsidR="00EB2224">
              <w:rPr>
                <w:noProof/>
                <w:color w:val="000000"/>
                <w:highlight w:val="black"/>
              </w:rPr>
              <w:t>'''''''''''''''''</w:t>
            </w:r>
          </w:p>
        </w:tc>
      </w:tr>
      <w:tr w:rsidR="00434533" w:rsidRPr="003639A6" w:rsidTr="00516EF4">
        <w:tc>
          <w:tcPr>
            <w:tcW w:w="1115" w:type="pct"/>
            <w:shd w:val="clear" w:color="auto" w:fill="auto"/>
            <w:vAlign w:val="center"/>
          </w:tcPr>
          <w:p w:rsidR="00434533" w:rsidRPr="007B5085" w:rsidRDefault="00434533" w:rsidP="00516EF4">
            <w:pPr>
              <w:pStyle w:val="TableText"/>
            </w:pPr>
            <w:r w:rsidRPr="0084559A">
              <w:t>Copayments</w:t>
            </w:r>
          </w:p>
        </w:tc>
        <w:tc>
          <w:tcPr>
            <w:tcW w:w="647" w:type="pct"/>
            <w:shd w:val="clear" w:color="auto" w:fill="auto"/>
            <w:vAlign w:val="center"/>
          </w:tcPr>
          <w:p w:rsidR="00434533" w:rsidRPr="00592461" w:rsidRDefault="00434533" w:rsidP="00516EF4">
            <w:pPr>
              <w:pStyle w:val="TableText"/>
              <w:jc w:val="center"/>
            </w:pPr>
            <w:r w:rsidRPr="00342422">
              <w:t>$</w:t>
            </w:r>
            <w:r w:rsidR="00EB2224">
              <w:rPr>
                <w:noProof/>
                <w:color w:val="000000"/>
                <w:highlight w:val="black"/>
              </w:rPr>
              <w:t>''''''''''''''</w:t>
            </w:r>
          </w:p>
        </w:tc>
        <w:tc>
          <w:tcPr>
            <w:tcW w:w="647" w:type="pct"/>
            <w:shd w:val="clear" w:color="auto" w:fill="auto"/>
            <w:vAlign w:val="center"/>
          </w:tcPr>
          <w:p w:rsidR="00434533" w:rsidRPr="00592461" w:rsidRDefault="00434533" w:rsidP="00516EF4">
            <w:pPr>
              <w:pStyle w:val="TableText"/>
              <w:jc w:val="center"/>
            </w:pPr>
            <w:r w:rsidRPr="00342422">
              <w:t>$</w:t>
            </w:r>
            <w:r w:rsidR="00EB2224">
              <w:rPr>
                <w:noProof/>
                <w:color w:val="000000"/>
                <w:highlight w:val="black"/>
              </w:rPr>
              <w:t>'''''''''''''</w:t>
            </w:r>
          </w:p>
        </w:tc>
        <w:tc>
          <w:tcPr>
            <w:tcW w:w="647" w:type="pct"/>
            <w:shd w:val="clear" w:color="auto" w:fill="auto"/>
            <w:vAlign w:val="center"/>
          </w:tcPr>
          <w:p w:rsidR="00434533" w:rsidRPr="00592461" w:rsidRDefault="00434533" w:rsidP="00516EF4">
            <w:pPr>
              <w:pStyle w:val="TableText"/>
              <w:jc w:val="center"/>
            </w:pPr>
            <w:r w:rsidRPr="00342422">
              <w:t>$</w:t>
            </w:r>
            <w:r w:rsidR="00EB2224">
              <w:rPr>
                <w:noProof/>
                <w:color w:val="000000"/>
                <w:highlight w:val="black"/>
              </w:rPr>
              <w:t>''''''''''''''</w:t>
            </w:r>
          </w:p>
        </w:tc>
        <w:tc>
          <w:tcPr>
            <w:tcW w:w="647" w:type="pct"/>
            <w:shd w:val="clear" w:color="auto" w:fill="auto"/>
            <w:vAlign w:val="center"/>
          </w:tcPr>
          <w:p w:rsidR="00434533" w:rsidRPr="00592461" w:rsidRDefault="00434533" w:rsidP="00516EF4">
            <w:pPr>
              <w:pStyle w:val="TableText"/>
              <w:jc w:val="center"/>
            </w:pPr>
            <w:r w:rsidRPr="00342422">
              <w:t>$</w:t>
            </w:r>
            <w:r w:rsidR="00EB2224">
              <w:rPr>
                <w:noProof/>
                <w:color w:val="000000"/>
                <w:highlight w:val="black"/>
              </w:rPr>
              <w:t>'''''''''''''''''</w:t>
            </w:r>
          </w:p>
        </w:tc>
        <w:tc>
          <w:tcPr>
            <w:tcW w:w="647" w:type="pct"/>
            <w:shd w:val="clear" w:color="auto" w:fill="auto"/>
            <w:vAlign w:val="center"/>
          </w:tcPr>
          <w:p w:rsidR="00434533" w:rsidRPr="00592461" w:rsidRDefault="00434533" w:rsidP="00516EF4">
            <w:pPr>
              <w:pStyle w:val="TableText"/>
              <w:jc w:val="center"/>
            </w:pPr>
            <w:r w:rsidRPr="00342422">
              <w:t>$</w:t>
            </w:r>
            <w:r w:rsidR="00EB2224">
              <w:rPr>
                <w:noProof/>
                <w:color w:val="000000"/>
                <w:highlight w:val="black"/>
              </w:rPr>
              <w:t>'''''''''''''''''</w:t>
            </w:r>
          </w:p>
        </w:tc>
        <w:tc>
          <w:tcPr>
            <w:tcW w:w="650" w:type="pct"/>
            <w:vAlign w:val="center"/>
          </w:tcPr>
          <w:p w:rsidR="00434533" w:rsidRPr="00592461" w:rsidRDefault="00434533" w:rsidP="00516EF4">
            <w:pPr>
              <w:pStyle w:val="TableText"/>
              <w:jc w:val="center"/>
            </w:pPr>
            <w:r w:rsidRPr="00342422">
              <w:t>$</w:t>
            </w:r>
            <w:r w:rsidR="00EB2224">
              <w:rPr>
                <w:noProof/>
                <w:color w:val="000000"/>
                <w:highlight w:val="black"/>
              </w:rPr>
              <w:t>'''''''''''''''''</w:t>
            </w:r>
          </w:p>
        </w:tc>
      </w:tr>
      <w:tr w:rsidR="00434533" w:rsidRPr="003639A6" w:rsidTr="00516EF4">
        <w:tc>
          <w:tcPr>
            <w:tcW w:w="5000" w:type="pct"/>
            <w:gridSpan w:val="7"/>
            <w:shd w:val="clear" w:color="auto" w:fill="auto"/>
            <w:vAlign w:val="center"/>
          </w:tcPr>
          <w:p w:rsidR="00434533" w:rsidRPr="00902BDC" w:rsidRDefault="00434533" w:rsidP="00516EF4">
            <w:pPr>
              <w:pStyle w:val="TableText"/>
              <w:rPr>
                <w:b/>
                <w:color w:val="000000"/>
              </w:rPr>
            </w:pPr>
            <w:r w:rsidRPr="00902BDC">
              <w:rPr>
                <w:b/>
              </w:rPr>
              <w:t>Estimated extent of use of atezolizumab</w:t>
            </w:r>
          </w:p>
        </w:tc>
      </w:tr>
      <w:tr w:rsidR="00434533" w:rsidRPr="003639A6" w:rsidTr="00516EF4">
        <w:tc>
          <w:tcPr>
            <w:tcW w:w="1115" w:type="pct"/>
            <w:shd w:val="clear" w:color="auto" w:fill="auto"/>
            <w:vAlign w:val="center"/>
          </w:tcPr>
          <w:p w:rsidR="00434533" w:rsidRPr="003639A6" w:rsidRDefault="00434533" w:rsidP="00516EF4">
            <w:pPr>
              <w:pStyle w:val="TableText"/>
            </w:pPr>
            <w:r>
              <w:t>Number of patients treated</w:t>
            </w:r>
          </w:p>
        </w:tc>
        <w:tc>
          <w:tcPr>
            <w:tcW w:w="647" w:type="pct"/>
            <w:shd w:val="clear" w:color="auto" w:fill="auto"/>
          </w:tcPr>
          <w:p w:rsidR="00434533" w:rsidRPr="00EB2224" w:rsidRDefault="00EB2224" w:rsidP="00516EF4">
            <w:pPr>
              <w:pStyle w:val="TableText"/>
              <w:jc w:val="center"/>
              <w:rPr>
                <w:color w:val="000000"/>
                <w:highlight w:val="black"/>
              </w:rPr>
            </w:pPr>
            <w:r>
              <w:rPr>
                <w:noProof/>
                <w:color w:val="000000"/>
                <w:highlight w:val="black"/>
              </w:rPr>
              <w:t>''''''''''</w:t>
            </w:r>
          </w:p>
        </w:tc>
        <w:tc>
          <w:tcPr>
            <w:tcW w:w="647" w:type="pct"/>
            <w:shd w:val="clear" w:color="auto" w:fill="auto"/>
          </w:tcPr>
          <w:p w:rsidR="00434533" w:rsidRPr="00EB2224" w:rsidRDefault="00EB2224" w:rsidP="00516EF4">
            <w:pPr>
              <w:pStyle w:val="TableText"/>
              <w:jc w:val="center"/>
              <w:rPr>
                <w:color w:val="000000"/>
                <w:highlight w:val="black"/>
              </w:rPr>
            </w:pPr>
            <w:r>
              <w:rPr>
                <w:noProof/>
                <w:color w:val="000000"/>
                <w:highlight w:val="black"/>
              </w:rPr>
              <w:t>''''''''''</w:t>
            </w:r>
          </w:p>
        </w:tc>
        <w:tc>
          <w:tcPr>
            <w:tcW w:w="647" w:type="pct"/>
            <w:shd w:val="clear" w:color="auto" w:fill="auto"/>
          </w:tcPr>
          <w:p w:rsidR="00434533" w:rsidRPr="00EB2224" w:rsidRDefault="00EB2224" w:rsidP="00516EF4">
            <w:pPr>
              <w:pStyle w:val="TableText"/>
              <w:jc w:val="center"/>
              <w:rPr>
                <w:color w:val="000000"/>
                <w:highlight w:val="black"/>
              </w:rPr>
            </w:pPr>
            <w:r>
              <w:rPr>
                <w:noProof/>
                <w:color w:val="000000"/>
                <w:highlight w:val="black"/>
              </w:rPr>
              <w:t>''''''''</w:t>
            </w:r>
          </w:p>
        </w:tc>
        <w:tc>
          <w:tcPr>
            <w:tcW w:w="647" w:type="pct"/>
            <w:shd w:val="clear" w:color="auto" w:fill="auto"/>
          </w:tcPr>
          <w:p w:rsidR="00434533" w:rsidRPr="00EB2224" w:rsidRDefault="00EB2224" w:rsidP="00516EF4">
            <w:pPr>
              <w:pStyle w:val="TableText"/>
              <w:jc w:val="center"/>
              <w:rPr>
                <w:color w:val="000000"/>
                <w:highlight w:val="black"/>
              </w:rPr>
            </w:pPr>
            <w:r>
              <w:rPr>
                <w:noProof/>
                <w:color w:val="000000"/>
                <w:highlight w:val="black"/>
              </w:rPr>
              <w:t>''''''''''</w:t>
            </w:r>
          </w:p>
        </w:tc>
        <w:tc>
          <w:tcPr>
            <w:tcW w:w="647" w:type="pct"/>
            <w:shd w:val="clear" w:color="auto" w:fill="auto"/>
          </w:tcPr>
          <w:p w:rsidR="00434533" w:rsidRPr="00EB2224" w:rsidRDefault="00EB2224" w:rsidP="00516EF4">
            <w:pPr>
              <w:pStyle w:val="TableText"/>
              <w:jc w:val="center"/>
              <w:rPr>
                <w:color w:val="000000"/>
                <w:highlight w:val="black"/>
              </w:rPr>
            </w:pPr>
            <w:r>
              <w:rPr>
                <w:noProof/>
                <w:color w:val="000000"/>
                <w:highlight w:val="black"/>
              </w:rPr>
              <w:t>'''''''''</w:t>
            </w:r>
          </w:p>
        </w:tc>
        <w:tc>
          <w:tcPr>
            <w:tcW w:w="650" w:type="pct"/>
          </w:tcPr>
          <w:p w:rsidR="00434533" w:rsidRPr="00EB2224" w:rsidRDefault="00EB2224" w:rsidP="00516EF4">
            <w:pPr>
              <w:pStyle w:val="TableText"/>
              <w:jc w:val="center"/>
              <w:rPr>
                <w:color w:val="000000"/>
                <w:highlight w:val="black"/>
              </w:rPr>
            </w:pPr>
            <w:r>
              <w:rPr>
                <w:noProof/>
                <w:color w:val="000000"/>
                <w:highlight w:val="black"/>
              </w:rPr>
              <w:t>'''''''''</w:t>
            </w:r>
          </w:p>
        </w:tc>
      </w:tr>
      <w:tr w:rsidR="00434533" w:rsidRPr="003639A6" w:rsidTr="00516EF4">
        <w:tc>
          <w:tcPr>
            <w:tcW w:w="1115" w:type="pct"/>
            <w:shd w:val="clear" w:color="auto" w:fill="auto"/>
            <w:vAlign w:val="center"/>
          </w:tcPr>
          <w:p w:rsidR="00434533" w:rsidRPr="003639A6" w:rsidRDefault="00434533" w:rsidP="00516EF4">
            <w:pPr>
              <w:pStyle w:val="TableText"/>
              <w:rPr>
                <w:rFonts w:ascii="Times" w:hAnsi="Times"/>
              </w:rPr>
            </w:pPr>
            <w:r w:rsidRPr="003639A6">
              <w:t xml:space="preserve">Number of </w:t>
            </w:r>
            <w:r>
              <w:t>scripts</w:t>
            </w:r>
            <w:r w:rsidRPr="003639A6">
              <w:t xml:space="preserve"> dispensed</w:t>
            </w:r>
          </w:p>
        </w:tc>
        <w:tc>
          <w:tcPr>
            <w:tcW w:w="647" w:type="pct"/>
            <w:shd w:val="clear" w:color="auto" w:fill="auto"/>
            <w:vAlign w:val="center"/>
          </w:tcPr>
          <w:p w:rsidR="00434533" w:rsidRPr="00EB2224" w:rsidRDefault="00EB2224" w:rsidP="00516EF4">
            <w:pPr>
              <w:pStyle w:val="TableText"/>
              <w:jc w:val="center"/>
              <w:rPr>
                <w:color w:val="000000"/>
                <w:highlight w:val="black"/>
              </w:rPr>
            </w:pPr>
            <w:r>
              <w:rPr>
                <w:noProof/>
                <w:color w:val="000000"/>
                <w:highlight w:val="black"/>
              </w:rPr>
              <w:t>'''''''''''''</w:t>
            </w:r>
          </w:p>
        </w:tc>
        <w:tc>
          <w:tcPr>
            <w:tcW w:w="647" w:type="pct"/>
            <w:shd w:val="clear" w:color="auto" w:fill="auto"/>
            <w:vAlign w:val="center"/>
          </w:tcPr>
          <w:p w:rsidR="00434533" w:rsidRPr="00EB2224" w:rsidRDefault="00EB2224" w:rsidP="00516EF4">
            <w:pPr>
              <w:pStyle w:val="TableText"/>
              <w:jc w:val="center"/>
              <w:rPr>
                <w:color w:val="000000"/>
                <w:highlight w:val="black"/>
              </w:rPr>
            </w:pPr>
            <w:r>
              <w:rPr>
                <w:noProof/>
                <w:color w:val="000000"/>
                <w:highlight w:val="black"/>
              </w:rPr>
              <w:t>''''''''''''''</w:t>
            </w:r>
          </w:p>
        </w:tc>
        <w:tc>
          <w:tcPr>
            <w:tcW w:w="647" w:type="pct"/>
            <w:shd w:val="clear" w:color="auto" w:fill="auto"/>
            <w:vAlign w:val="center"/>
          </w:tcPr>
          <w:p w:rsidR="00434533" w:rsidRPr="00EB2224" w:rsidRDefault="00EB2224" w:rsidP="00516EF4">
            <w:pPr>
              <w:pStyle w:val="TableText"/>
              <w:jc w:val="center"/>
              <w:rPr>
                <w:color w:val="000000"/>
                <w:highlight w:val="black"/>
              </w:rPr>
            </w:pPr>
            <w:r>
              <w:rPr>
                <w:noProof/>
                <w:color w:val="000000"/>
                <w:highlight w:val="black"/>
              </w:rPr>
              <w:t>'''''''''''''</w:t>
            </w:r>
          </w:p>
        </w:tc>
        <w:tc>
          <w:tcPr>
            <w:tcW w:w="647" w:type="pct"/>
            <w:shd w:val="clear" w:color="auto" w:fill="auto"/>
            <w:vAlign w:val="center"/>
          </w:tcPr>
          <w:p w:rsidR="00434533" w:rsidRPr="00EB2224" w:rsidRDefault="00EB2224" w:rsidP="00516EF4">
            <w:pPr>
              <w:pStyle w:val="TableText"/>
              <w:jc w:val="center"/>
              <w:rPr>
                <w:color w:val="000000"/>
                <w:highlight w:val="black"/>
              </w:rPr>
            </w:pPr>
            <w:r>
              <w:rPr>
                <w:noProof/>
                <w:color w:val="000000"/>
                <w:highlight w:val="black"/>
              </w:rPr>
              <w:t>''''''''''''''''</w:t>
            </w:r>
          </w:p>
        </w:tc>
        <w:tc>
          <w:tcPr>
            <w:tcW w:w="647" w:type="pct"/>
            <w:shd w:val="clear" w:color="auto" w:fill="auto"/>
            <w:vAlign w:val="center"/>
          </w:tcPr>
          <w:p w:rsidR="00434533" w:rsidRPr="00EB2224" w:rsidRDefault="00EB2224" w:rsidP="00516EF4">
            <w:pPr>
              <w:pStyle w:val="TableText"/>
              <w:jc w:val="center"/>
              <w:rPr>
                <w:color w:val="000000"/>
                <w:highlight w:val="black"/>
              </w:rPr>
            </w:pPr>
            <w:r>
              <w:rPr>
                <w:noProof/>
                <w:color w:val="000000"/>
                <w:highlight w:val="black"/>
              </w:rPr>
              <w:t>''''''''''''''''</w:t>
            </w:r>
          </w:p>
        </w:tc>
        <w:tc>
          <w:tcPr>
            <w:tcW w:w="650" w:type="pct"/>
            <w:vAlign w:val="center"/>
          </w:tcPr>
          <w:p w:rsidR="00434533" w:rsidRPr="00EB2224" w:rsidRDefault="00EB2224" w:rsidP="00516EF4">
            <w:pPr>
              <w:pStyle w:val="TableText"/>
              <w:jc w:val="center"/>
              <w:rPr>
                <w:color w:val="000000"/>
                <w:highlight w:val="black"/>
              </w:rPr>
            </w:pPr>
            <w:r>
              <w:rPr>
                <w:noProof/>
                <w:color w:val="000000"/>
                <w:highlight w:val="black"/>
              </w:rPr>
              <w:t>''''''''''''''''</w:t>
            </w:r>
          </w:p>
        </w:tc>
      </w:tr>
      <w:tr w:rsidR="00434533" w:rsidRPr="00D1078F" w:rsidTr="00516EF4">
        <w:tc>
          <w:tcPr>
            <w:tcW w:w="5000" w:type="pct"/>
            <w:gridSpan w:val="7"/>
            <w:shd w:val="clear" w:color="auto" w:fill="auto"/>
            <w:vAlign w:val="center"/>
          </w:tcPr>
          <w:p w:rsidR="00434533" w:rsidRPr="00D1078F" w:rsidRDefault="00434533" w:rsidP="00516EF4">
            <w:pPr>
              <w:pStyle w:val="In-tableHeading"/>
            </w:pPr>
            <w:r w:rsidRPr="00D1078F">
              <w:lastRenderedPageBreak/>
              <w:t xml:space="preserve">Estimated </w:t>
            </w:r>
            <w:r>
              <w:t>financial implications of atezolizumab</w:t>
            </w:r>
          </w:p>
        </w:tc>
      </w:tr>
      <w:tr w:rsidR="00434533" w:rsidRPr="003639A6" w:rsidTr="00516EF4">
        <w:tc>
          <w:tcPr>
            <w:tcW w:w="1115" w:type="pct"/>
            <w:shd w:val="clear" w:color="auto" w:fill="auto"/>
            <w:vAlign w:val="center"/>
          </w:tcPr>
          <w:p w:rsidR="00434533" w:rsidRDefault="00434533" w:rsidP="00516EF4">
            <w:pPr>
              <w:pStyle w:val="TableText"/>
              <w:rPr>
                <w:sz w:val="19"/>
                <w:szCs w:val="19"/>
              </w:rPr>
            </w:pPr>
            <w:r>
              <w:rPr>
                <w:sz w:val="19"/>
                <w:szCs w:val="19"/>
              </w:rPr>
              <w:t>Cost to PBS/RPBS less copayments</w:t>
            </w:r>
          </w:p>
        </w:tc>
        <w:tc>
          <w:tcPr>
            <w:tcW w:w="647" w:type="pct"/>
            <w:shd w:val="clear" w:color="auto" w:fill="auto"/>
            <w:vAlign w:val="center"/>
          </w:tcPr>
          <w:p w:rsidR="00434533" w:rsidRPr="003639A6" w:rsidRDefault="00434533" w:rsidP="00516EF4">
            <w:pPr>
              <w:pStyle w:val="TableText"/>
              <w:jc w:val="center"/>
            </w:pPr>
            <w:r w:rsidRPr="00914EB1">
              <w:t>$</w:t>
            </w:r>
            <w:r w:rsidR="00EB2224">
              <w:rPr>
                <w:noProof/>
                <w:color w:val="000000"/>
                <w:highlight w:val="black"/>
              </w:rPr>
              <w:t>''''''''''''''''''''''''''''</w:t>
            </w:r>
          </w:p>
        </w:tc>
        <w:tc>
          <w:tcPr>
            <w:tcW w:w="647" w:type="pct"/>
            <w:shd w:val="clear" w:color="auto" w:fill="auto"/>
            <w:vAlign w:val="center"/>
          </w:tcPr>
          <w:p w:rsidR="00434533" w:rsidRPr="003639A6" w:rsidRDefault="00434533" w:rsidP="00516EF4">
            <w:pPr>
              <w:pStyle w:val="TableText"/>
              <w:jc w:val="center"/>
            </w:pPr>
            <w:r w:rsidRPr="00914EB1">
              <w:t>$</w:t>
            </w:r>
            <w:r w:rsidR="00EB2224">
              <w:rPr>
                <w:noProof/>
                <w:color w:val="000000"/>
                <w:highlight w:val="black"/>
              </w:rPr>
              <w:t>'''''''''''''''''''''''''''''</w:t>
            </w:r>
          </w:p>
        </w:tc>
        <w:tc>
          <w:tcPr>
            <w:tcW w:w="647" w:type="pct"/>
            <w:shd w:val="clear" w:color="auto" w:fill="auto"/>
            <w:vAlign w:val="center"/>
          </w:tcPr>
          <w:p w:rsidR="00434533" w:rsidRPr="003639A6" w:rsidRDefault="00434533" w:rsidP="00516EF4">
            <w:pPr>
              <w:pStyle w:val="TableText"/>
              <w:jc w:val="center"/>
            </w:pPr>
            <w:r w:rsidRPr="00914EB1">
              <w:t>$</w:t>
            </w:r>
            <w:r w:rsidR="00EB2224">
              <w:rPr>
                <w:noProof/>
                <w:color w:val="000000"/>
                <w:highlight w:val="black"/>
              </w:rPr>
              <w:t>'''''''''''''''''''''''''</w:t>
            </w:r>
          </w:p>
        </w:tc>
        <w:tc>
          <w:tcPr>
            <w:tcW w:w="647" w:type="pct"/>
            <w:shd w:val="clear" w:color="auto" w:fill="auto"/>
            <w:vAlign w:val="center"/>
          </w:tcPr>
          <w:p w:rsidR="00434533" w:rsidRPr="003639A6" w:rsidRDefault="00434533" w:rsidP="00516EF4">
            <w:pPr>
              <w:pStyle w:val="TableText"/>
              <w:jc w:val="center"/>
            </w:pPr>
            <w:r w:rsidRPr="00914EB1">
              <w:t>$</w:t>
            </w:r>
            <w:r w:rsidR="00EB2224">
              <w:rPr>
                <w:noProof/>
                <w:color w:val="000000"/>
                <w:highlight w:val="black"/>
              </w:rPr>
              <w:t>'''''''''''''''''''''''</w:t>
            </w:r>
          </w:p>
        </w:tc>
        <w:tc>
          <w:tcPr>
            <w:tcW w:w="647" w:type="pct"/>
            <w:shd w:val="clear" w:color="auto" w:fill="auto"/>
            <w:vAlign w:val="center"/>
          </w:tcPr>
          <w:p w:rsidR="00434533" w:rsidRPr="003639A6" w:rsidRDefault="00434533" w:rsidP="00516EF4">
            <w:pPr>
              <w:pStyle w:val="TableText"/>
              <w:jc w:val="center"/>
            </w:pPr>
            <w:r w:rsidRPr="00914EB1">
              <w:t>$</w:t>
            </w:r>
            <w:r w:rsidR="00EB2224">
              <w:rPr>
                <w:noProof/>
                <w:color w:val="000000"/>
                <w:highlight w:val="black"/>
              </w:rPr>
              <w:t>''''''''''''''''''''''''''</w:t>
            </w:r>
          </w:p>
        </w:tc>
        <w:tc>
          <w:tcPr>
            <w:tcW w:w="650" w:type="pct"/>
            <w:vAlign w:val="center"/>
          </w:tcPr>
          <w:p w:rsidR="00434533" w:rsidRPr="003639A6" w:rsidRDefault="00434533" w:rsidP="00516EF4">
            <w:pPr>
              <w:pStyle w:val="TableText"/>
              <w:jc w:val="center"/>
            </w:pPr>
            <w:r w:rsidRPr="00914EB1">
              <w:t>$</w:t>
            </w:r>
            <w:r w:rsidR="00EB2224">
              <w:rPr>
                <w:noProof/>
                <w:color w:val="000000"/>
                <w:highlight w:val="black"/>
              </w:rPr>
              <w:t>'''''''''''''''''''''''</w:t>
            </w:r>
          </w:p>
        </w:tc>
      </w:tr>
      <w:tr w:rsidR="00434533" w:rsidRPr="003639A6" w:rsidTr="00516EF4">
        <w:tc>
          <w:tcPr>
            <w:tcW w:w="5000" w:type="pct"/>
            <w:gridSpan w:val="7"/>
            <w:shd w:val="clear" w:color="auto" w:fill="auto"/>
            <w:vAlign w:val="center"/>
          </w:tcPr>
          <w:p w:rsidR="00434533" w:rsidRPr="00C434DA" w:rsidRDefault="00434533" w:rsidP="00516EF4">
            <w:pPr>
              <w:pStyle w:val="TableText"/>
              <w:rPr>
                <w:b/>
              </w:rPr>
            </w:pPr>
            <w:r w:rsidRPr="00C434DA">
              <w:rPr>
                <w:b/>
              </w:rPr>
              <w:t>Estimated financial implications for nab-P</w:t>
            </w:r>
          </w:p>
        </w:tc>
      </w:tr>
      <w:tr w:rsidR="00217496" w:rsidRPr="003639A6" w:rsidTr="00516EF4">
        <w:tc>
          <w:tcPr>
            <w:tcW w:w="1115" w:type="pct"/>
            <w:tcBorders>
              <w:bottom w:val="nil"/>
            </w:tcBorders>
            <w:shd w:val="clear" w:color="auto" w:fill="auto"/>
            <w:vAlign w:val="center"/>
          </w:tcPr>
          <w:p w:rsidR="00217496" w:rsidRDefault="00217496" w:rsidP="00217496">
            <w:pPr>
              <w:pStyle w:val="TableText"/>
              <w:rPr>
                <w:sz w:val="19"/>
                <w:szCs w:val="19"/>
              </w:rPr>
            </w:pPr>
            <w:r>
              <w:rPr>
                <w:sz w:val="19"/>
                <w:szCs w:val="19"/>
              </w:rPr>
              <w:t>Cost to PBS/RPBS less copayments</w:t>
            </w:r>
          </w:p>
        </w:tc>
        <w:tc>
          <w:tcPr>
            <w:tcW w:w="647" w:type="pct"/>
            <w:tcBorders>
              <w:bottom w:val="nil"/>
            </w:tcBorders>
            <w:shd w:val="clear" w:color="auto" w:fill="auto"/>
            <w:vAlign w:val="center"/>
          </w:tcPr>
          <w:p w:rsidR="00217496" w:rsidRPr="00592461" w:rsidRDefault="00217496" w:rsidP="00217496">
            <w:pPr>
              <w:pStyle w:val="TableText"/>
              <w:jc w:val="center"/>
            </w:pPr>
            <w:r w:rsidRPr="00342422">
              <w:t>$</w:t>
            </w:r>
            <w:r w:rsidR="00EB2224">
              <w:rPr>
                <w:noProof/>
                <w:color w:val="000000"/>
                <w:highlight w:val="black"/>
              </w:rPr>
              <w:t>''''''''''''''''''''''''</w:t>
            </w:r>
          </w:p>
        </w:tc>
        <w:tc>
          <w:tcPr>
            <w:tcW w:w="647" w:type="pct"/>
            <w:tcBorders>
              <w:bottom w:val="nil"/>
            </w:tcBorders>
            <w:shd w:val="clear" w:color="auto" w:fill="auto"/>
            <w:vAlign w:val="center"/>
          </w:tcPr>
          <w:p w:rsidR="00217496" w:rsidRPr="00592461" w:rsidRDefault="00217496" w:rsidP="00217496">
            <w:pPr>
              <w:pStyle w:val="TableText"/>
              <w:jc w:val="center"/>
            </w:pPr>
            <w:r w:rsidRPr="00342422">
              <w:t>$</w:t>
            </w:r>
            <w:r w:rsidR="00EB2224">
              <w:rPr>
                <w:noProof/>
                <w:color w:val="000000"/>
                <w:highlight w:val="black"/>
              </w:rPr>
              <w:t>''''''''''''''''''''''''</w:t>
            </w:r>
          </w:p>
        </w:tc>
        <w:tc>
          <w:tcPr>
            <w:tcW w:w="647" w:type="pct"/>
            <w:tcBorders>
              <w:bottom w:val="nil"/>
            </w:tcBorders>
            <w:shd w:val="clear" w:color="auto" w:fill="auto"/>
            <w:vAlign w:val="center"/>
          </w:tcPr>
          <w:p w:rsidR="00217496" w:rsidRPr="00592461" w:rsidRDefault="00217496" w:rsidP="00217496">
            <w:pPr>
              <w:pStyle w:val="TableText"/>
              <w:jc w:val="center"/>
            </w:pPr>
            <w:r w:rsidRPr="00342422">
              <w:t>$</w:t>
            </w:r>
            <w:r w:rsidR="00EB2224">
              <w:rPr>
                <w:noProof/>
                <w:color w:val="000000"/>
                <w:highlight w:val="black"/>
              </w:rPr>
              <w:t>''''''''''''''''''''''</w:t>
            </w:r>
          </w:p>
        </w:tc>
        <w:tc>
          <w:tcPr>
            <w:tcW w:w="647" w:type="pct"/>
            <w:tcBorders>
              <w:bottom w:val="nil"/>
            </w:tcBorders>
            <w:shd w:val="clear" w:color="auto" w:fill="auto"/>
            <w:vAlign w:val="center"/>
          </w:tcPr>
          <w:p w:rsidR="00217496" w:rsidRPr="00592461" w:rsidRDefault="00217496" w:rsidP="00217496">
            <w:pPr>
              <w:pStyle w:val="TableText"/>
              <w:jc w:val="center"/>
            </w:pPr>
            <w:r w:rsidRPr="00342422">
              <w:t>$</w:t>
            </w:r>
            <w:r w:rsidR="00EB2224">
              <w:rPr>
                <w:noProof/>
                <w:color w:val="000000"/>
                <w:highlight w:val="black"/>
              </w:rPr>
              <w:t>''''''''''''''''''''''''</w:t>
            </w:r>
          </w:p>
        </w:tc>
        <w:tc>
          <w:tcPr>
            <w:tcW w:w="647" w:type="pct"/>
            <w:tcBorders>
              <w:bottom w:val="nil"/>
            </w:tcBorders>
            <w:shd w:val="clear" w:color="auto" w:fill="auto"/>
            <w:vAlign w:val="center"/>
          </w:tcPr>
          <w:p w:rsidR="00217496" w:rsidRPr="00592461" w:rsidRDefault="00217496" w:rsidP="00217496">
            <w:pPr>
              <w:pStyle w:val="TableText"/>
              <w:jc w:val="center"/>
            </w:pPr>
            <w:r w:rsidRPr="00342422">
              <w:t>$</w:t>
            </w:r>
            <w:r w:rsidR="00EB2224">
              <w:rPr>
                <w:noProof/>
                <w:color w:val="000000"/>
                <w:highlight w:val="black"/>
              </w:rPr>
              <w:t>'''''''''''''''''''''''''</w:t>
            </w:r>
          </w:p>
        </w:tc>
        <w:tc>
          <w:tcPr>
            <w:tcW w:w="650" w:type="pct"/>
            <w:tcBorders>
              <w:bottom w:val="nil"/>
            </w:tcBorders>
            <w:vAlign w:val="center"/>
          </w:tcPr>
          <w:p w:rsidR="00217496" w:rsidRPr="00592461" w:rsidRDefault="00217496" w:rsidP="00217496">
            <w:pPr>
              <w:pStyle w:val="TableText"/>
              <w:jc w:val="center"/>
            </w:pPr>
            <w:r w:rsidRPr="00342422">
              <w:t>$</w:t>
            </w:r>
            <w:r w:rsidR="00EB2224">
              <w:rPr>
                <w:noProof/>
                <w:color w:val="000000"/>
                <w:highlight w:val="black"/>
              </w:rPr>
              <w:t>'''''''''''''''''''''''''</w:t>
            </w:r>
          </w:p>
        </w:tc>
      </w:tr>
      <w:tr w:rsidR="00434533" w:rsidRPr="00FC22AB" w:rsidTr="00516EF4">
        <w:tc>
          <w:tcPr>
            <w:tcW w:w="5000" w:type="pct"/>
            <w:gridSpan w:val="7"/>
            <w:shd w:val="clear" w:color="auto" w:fill="auto"/>
            <w:vAlign w:val="center"/>
          </w:tcPr>
          <w:p w:rsidR="00434533" w:rsidRPr="00FC22AB" w:rsidRDefault="00434533" w:rsidP="00516EF4">
            <w:pPr>
              <w:pStyle w:val="In-tableHeading"/>
            </w:pPr>
            <w:r w:rsidRPr="00FC22AB">
              <w:t>Net financial implications</w:t>
            </w:r>
            <w:r w:rsidRPr="00FC22AB">
              <w:rPr>
                <w:color w:val="4472C4" w:themeColor="accent5"/>
              </w:rPr>
              <w:t xml:space="preserve"> </w:t>
            </w:r>
          </w:p>
        </w:tc>
      </w:tr>
      <w:tr w:rsidR="00217496" w:rsidRPr="003639A6" w:rsidTr="00516EF4">
        <w:tc>
          <w:tcPr>
            <w:tcW w:w="1115" w:type="pct"/>
            <w:tcBorders>
              <w:bottom w:val="nil"/>
            </w:tcBorders>
            <w:shd w:val="clear" w:color="auto" w:fill="auto"/>
            <w:vAlign w:val="center"/>
          </w:tcPr>
          <w:p w:rsidR="00217496" w:rsidRDefault="00217496" w:rsidP="00217496">
            <w:pPr>
              <w:pStyle w:val="TableText"/>
              <w:rPr>
                <w:sz w:val="19"/>
                <w:szCs w:val="19"/>
              </w:rPr>
            </w:pPr>
            <w:r>
              <w:rPr>
                <w:sz w:val="19"/>
                <w:szCs w:val="19"/>
              </w:rPr>
              <w:t>Net cost to PBS/RPBS</w:t>
            </w:r>
          </w:p>
        </w:tc>
        <w:tc>
          <w:tcPr>
            <w:tcW w:w="647" w:type="pct"/>
            <w:tcBorders>
              <w:bottom w:val="nil"/>
            </w:tcBorders>
            <w:shd w:val="clear" w:color="auto" w:fill="auto"/>
            <w:vAlign w:val="center"/>
          </w:tcPr>
          <w:p w:rsidR="00217496" w:rsidRPr="00592461" w:rsidRDefault="00217496" w:rsidP="00217496">
            <w:pPr>
              <w:pStyle w:val="TableText"/>
              <w:jc w:val="center"/>
            </w:pPr>
            <w:r w:rsidRPr="00342422">
              <w:rPr>
                <w:bCs/>
              </w:rPr>
              <w:t>$</w:t>
            </w:r>
            <w:r w:rsidR="00EB2224">
              <w:rPr>
                <w:bCs/>
                <w:noProof/>
                <w:color w:val="000000"/>
                <w:highlight w:val="black"/>
              </w:rPr>
              <w:t>''''''''''''''''''''''''''</w:t>
            </w:r>
          </w:p>
        </w:tc>
        <w:tc>
          <w:tcPr>
            <w:tcW w:w="647" w:type="pct"/>
            <w:tcBorders>
              <w:bottom w:val="nil"/>
            </w:tcBorders>
            <w:shd w:val="clear" w:color="auto" w:fill="auto"/>
            <w:vAlign w:val="center"/>
          </w:tcPr>
          <w:p w:rsidR="00217496" w:rsidRPr="00592461" w:rsidRDefault="00217496" w:rsidP="00217496">
            <w:pPr>
              <w:pStyle w:val="TableText"/>
              <w:jc w:val="center"/>
            </w:pPr>
            <w:r w:rsidRPr="00342422">
              <w:rPr>
                <w:bCs/>
              </w:rPr>
              <w:t>$</w:t>
            </w:r>
            <w:r w:rsidR="00EB2224">
              <w:rPr>
                <w:bCs/>
                <w:noProof/>
                <w:color w:val="000000"/>
                <w:highlight w:val="black"/>
              </w:rPr>
              <w:t>''''''''''''''''''''''''''''</w:t>
            </w:r>
          </w:p>
        </w:tc>
        <w:tc>
          <w:tcPr>
            <w:tcW w:w="647" w:type="pct"/>
            <w:tcBorders>
              <w:bottom w:val="nil"/>
            </w:tcBorders>
            <w:shd w:val="clear" w:color="auto" w:fill="auto"/>
            <w:vAlign w:val="center"/>
          </w:tcPr>
          <w:p w:rsidR="00217496" w:rsidRPr="00592461" w:rsidRDefault="00217496" w:rsidP="00217496">
            <w:pPr>
              <w:pStyle w:val="TableText"/>
              <w:jc w:val="center"/>
            </w:pPr>
            <w:r w:rsidRPr="00342422">
              <w:rPr>
                <w:bCs/>
              </w:rPr>
              <w:t>$</w:t>
            </w:r>
            <w:r w:rsidR="00EB2224">
              <w:rPr>
                <w:bCs/>
                <w:noProof/>
                <w:color w:val="000000"/>
                <w:highlight w:val="black"/>
              </w:rPr>
              <w:t>'''''''''''''''''''''''''''''</w:t>
            </w:r>
          </w:p>
        </w:tc>
        <w:tc>
          <w:tcPr>
            <w:tcW w:w="647" w:type="pct"/>
            <w:tcBorders>
              <w:bottom w:val="nil"/>
            </w:tcBorders>
            <w:shd w:val="clear" w:color="auto" w:fill="auto"/>
            <w:vAlign w:val="center"/>
          </w:tcPr>
          <w:p w:rsidR="00217496" w:rsidRPr="00592461" w:rsidRDefault="00217496" w:rsidP="00217496">
            <w:pPr>
              <w:pStyle w:val="TableText"/>
              <w:jc w:val="center"/>
            </w:pPr>
            <w:r w:rsidRPr="00342422">
              <w:rPr>
                <w:bCs/>
              </w:rPr>
              <w:t>$</w:t>
            </w:r>
            <w:r w:rsidR="00EB2224">
              <w:rPr>
                <w:bCs/>
                <w:noProof/>
                <w:color w:val="000000"/>
                <w:highlight w:val="black"/>
              </w:rPr>
              <w:t>''''''''''''''''''''''''''</w:t>
            </w:r>
          </w:p>
        </w:tc>
        <w:tc>
          <w:tcPr>
            <w:tcW w:w="647" w:type="pct"/>
            <w:tcBorders>
              <w:bottom w:val="nil"/>
            </w:tcBorders>
            <w:shd w:val="clear" w:color="auto" w:fill="auto"/>
            <w:vAlign w:val="center"/>
          </w:tcPr>
          <w:p w:rsidR="00217496" w:rsidRPr="00592461" w:rsidRDefault="00217496" w:rsidP="00217496">
            <w:pPr>
              <w:pStyle w:val="TableText"/>
              <w:jc w:val="center"/>
            </w:pPr>
            <w:r w:rsidRPr="00342422">
              <w:rPr>
                <w:bCs/>
              </w:rPr>
              <w:t>$</w:t>
            </w:r>
            <w:r w:rsidR="00EB2224">
              <w:rPr>
                <w:bCs/>
                <w:noProof/>
                <w:color w:val="000000"/>
                <w:highlight w:val="black"/>
              </w:rPr>
              <w:t>'''''''''''''''''''''''''''''</w:t>
            </w:r>
          </w:p>
        </w:tc>
        <w:tc>
          <w:tcPr>
            <w:tcW w:w="650" w:type="pct"/>
            <w:tcBorders>
              <w:bottom w:val="nil"/>
            </w:tcBorders>
            <w:vAlign w:val="center"/>
          </w:tcPr>
          <w:p w:rsidR="00217496" w:rsidRPr="00592461" w:rsidRDefault="00217496" w:rsidP="00217496">
            <w:pPr>
              <w:pStyle w:val="TableText"/>
              <w:jc w:val="center"/>
            </w:pPr>
            <w:r w:rsidRPr="00342422">
              <w:rPr>
                <w:bCs/>
              </w:rPr>
              <w:t>$</w:t>
            </w:r>
            <w:r w:rsidR="00EB2224">
              <w:rPr>
                <w:bCs/>
                <w:noProof/>
                <w:color w:val="000000"/>
                <w:highlight w:val="black"/>
              </w:rPr>
              <w:t>'''''''''''''''''''''''''''''</w:t>
            </w:r>
          </w:p>
        </w:tc>
      </w:tr>
      <w:tr w:rsidR="00217496" w:rsidRPr="003639A6" w:rsidTr="00516EF4">
        <w:tc>
          <w:tcPr>
            <w:tcW w:w="1115" w:type="pct"/>
            <w:tcBorders>
              <w:bottom w:val="nil"/>
            </w:tcBorders>
            <w:shd w:val="clear" w:color="auto" w:fill="auto"/>
            <w:vAlign w:val="center"/>
          </w:tcPr>
          <w:p w:rsidR="00217496" w:rsidRPr="003639A6" w:rsidRDefault="00217496" w:rsidP="00217496">
            <w:pPr>
              <w:pStyle w:val="TableText"/>
              <w:rPr>
                <w:rFonts w:ascii="Times" w:hAnsi="Times"/>
              </w:rPr>
            </w:pPr>
            <w:r>
              <w:rPr>
                <w:sz w:val="19"/>
                <w:szCs w:val="19"/>
              </w:rPr>
              <w:t>Net cost to</w:t>
            </w:r>
            <w:r w:rsidRPr="003639A6">
              <w:rPr>
                <w:sz w:val="19"/>
                <w:szCs w:val="19"/>
              </w:rPr>
              <w:t xml:space="preserve"> </w:t>
            </w:r>
            <w:r>
              <w:rPr>
                <w:sz w:val="19"/>
                <w:szCs w:val="19"/>
              </w:rPr>
              <w:t>MBS</w:t>
            </w:r>
            <w:r>
              <w:rPr>
                <w:sz w:val="19"/>
                <w:szCs w:val="19"/>
                <w:vertAlign w:val="superscript"/>
              </w:rPr>
              <w:t>i</w:t>
            </w:r>
          </w:p>
        </w:tc>
        <w:tc>
          <w:tcPr>
            <w:tcW w:w="647" w:type="pct"/>
            <w:tcBorders>
              <w:bottom w:val="nil"/>
            </w:tcBorders>
            <w:shd w:val="clear" w:color="auto" w:fill="auto"/>
            <w:vAlign w:val="center"/>
          </w:tcPr>
          <w:p w:rsidR="00217496" w:rsidRPr="00592461" w:rsidRDefault="00217496" w:rsidP="00217496">
            <w:pPr>
              <w:pStyle w:val="TableText"/>
              <w:jc w:val="center"/>
            </w:pPr>
            <w:r w:rsidRPr="00342422">
              <w:t>$</w:t>
            </w:r>
            <w:r w:rsidR="00EB2224">
              <w:rPr>
                <w:noProof/>
                <w:color w:val="000000"/>
                <w:highlight w:val="black"/>
              </w:rPr>
              <w:t>'''''''''''''''''''''''''</w:t>
            </w:r>
          </w:p>
        </w:tc>
        <w:tc>
          <w:tcPr>
            <w:tcW w:w="647" w:type="pct"/>
            <w:tcBorders>
              <w:bottom w:val="nil"/>
            </w:tcBorders>
            <w:shd w:val="clear" w:color="auto" w:fill="auto"/>
            <w:vAlign w:val="center"/>
          </w:tcPr>
          <w:p w:rsidR="00217496" w:rsidRPr="00592461" w:rsidRDefault="00217496" w:rsidP="00217496">
            <w:pPr>
              <w:pStyle w:val="TableText"/>
              <w:jc w:val="center"/>
            </w:pPr>
            <w:r w:rsidRPr="00342422">
              <w:t>$</w:t>
            </w:r>
            <w:r w:rsidR="00EB2224">
              <w:rPr>
                <w:noProof/>
                <w:color w:val="000000"/>
                <w:highlight w:val="black"/>
              </w:rPr>
              <w:t>'''''''''''''''''''''''</w:t>
            </w:r>
          </w:p>
        </w:tc>
        <w:tc>
          <w:tcPr>
            <w:tcW w:w="647" w:type="pct"/>
            <w:tcBorders>
              <w:bottom w:val="nil"/>
            </w:tcBorders>
            <w:shd w:val="clear" w:color="auto" w:fill="auto"/>
            <w:vAlign w:val="center"/>
          </w:tcPr>
          <w:p w:rsidR="00217496" w:rsidRPr="00592461" w:rsidRDefault="00217496" w:rsidP="00217496">
            <w:pPr>
              <w:pStyle w:val="TableText"/>
              <w:jc w:val="center"/>
            </w:pPr>
            <w:r w:rsidRPr="00342422">
              <w:t>$</w:t>
            </w:r>
            <w:r w:rsidR="00EB2224">
              <w:rPr>
                <w:noProof/>
                <w:color w:val="000000"/>
                <w:highlight w:val="black"/>
              </w:rPr>
              <w:t>'''''''''''''''''''''''</w:t>
            </w:r>
          </w:p>
        </w:tc>
        <w:tc>
          <w:tcPr>
            <w:tcW w:w="647" w:type="pct"/>
            <w:tcBorders>
              <w:bottom w:val="nil"/>
            </w:tcBorders>
            <w:shd w:val="clear" w:color="auto" w:fill="auto"/>
            <w:vAlign w:val="center"/>
          </w:tcPr>
          <w:p w:rsidR="00217496" w:rsidRPr="00592461" w:rsidRDefault="00217496" w:rsidP="00217496">
            <w:pPr>
              <w:pStyle w:val="TableText"/>
              <w:jc w:val="center"/>
            </w:pPr>
            <w:r w:rsidRPr="00342422">
              <w:t>$</w:t>
            </w:r>
            <w:r w:rsidR="00EB2224">
              <w:rPr>
                <w:noProof/>
                <w:color w:val="000000"/>
                <w:highlight w:val="black"/>
              </w:rPr>
              <w:t>'''''''''''''''''''''''''</w:t>
            </w:r>
          </w:p>
        </w:tc>
        <w:tc>
          <w:tcPr>
            <w:tcW w:w="647" w:type="pct"/>
            <w:tcBorders>
              <w:bottom w:val="nil"/>
            </w:tcBorders>
            <w:shd w:val="clear" w:color="auto" w:fill="auto"/>
            <w:vAlign w:val="center"/>
          </w:tcPr>
          <w:p w:rsidR="00217496" w:rsidRPr="00592461" w:rsidRDefault="00217496" w:rsidP="00217496">
            <w:pPr>
              <w:pStyle w:val="TableText"/>
              <w:jc w:val="center"/>
            </w:pPr>
            <w:r w:rsidRPr="00342422">
              <w:t>$</w:t>
            </w:r>
            <w:r w:rsidR="00EB2224">
              <w:rPr>
                <w:noProof/>
                <w:color w:val="000000"/>
                <w:highlight w:val="black"/>
              </w:rPr>
              <w:t>''''''''''''''''''''''''</w:t>
            </w:r>
          </w:p>
        </w:tc>
        <w:tc>
          <w:tcPr>
            <w:tcW w:w="650" w:type="pct"/>
            <w:tcBorders>
              <w:bottom w:val="nil"/>
            </w:tcBorders>
            <w:vAlign w:val="center"/>
          </w:tcPr>
          <w:p w:rsidR="00217496" w:rsidRPr="00592461" w:rsidRDefault="00217496" w:rsidP="00217496">
            <w:pPr>
              <w:pStyle w:val="TableText"/>
              <w:jc w:val="center"/>
            </w:pPr>
            <w:r w:rsidRPr="00342422">
              <w:t>$</w:t>
            </w:r>
            <w:r w:rsidR="00EB2224">
              <w:rPr>
                <w:noProof/>
                <w:color w:val="000000"/>
                <w:highlight w:val="black"/>
              </w:rPr>
              <w:t>'''''''''''''''''''''''''</w:t>
            </w:r>
          </w:p>
        </w:tc>
      </w:tr>
      <w:tr w:rsidR="00217496" w:rsidRPr="003639A6" w:rsidTr="00342422">
        <w:tc>
          <w:tcPr>
            <w:tcW w:w="1115" w:type="pct"/>
            <w:tcBorders>
              <w:bottom w:val="single" w:sz="4" w:space="0" w:color="auto"/>
            </w:tcBorders>
            <w:shd w:val="clear" w:color="auto" w:fill="auto"/>
            <w:vAlign w:val="center"/>
          </w:tcPr>
          <w:p w:rsidR="00217496" w:rsidRPr="003639A6" w:rsidRDefault="00217496" w:rsidP="00217496">
            <w:pPr>
              <w:pStyle w:val="TableText"/>
              <w:rPr>
                <w:sz w:val="19"/>
                <w:szCs w:val="19"/>
              </w:rPr>
            </w:pPr>
            <w:r>
              <w:rPr>
                <w:sz w:val="19"/>
                <w:szCs w:val="19"/>
              </w:rPr>
              <w:t>Net cost to PBS/RPBS/MBS</w:t>
            </w:r>
          </w:p>
        </w:tc>
        <w:tc>
          <w:tcPr>
            <w:tcW w:w="647" w:type="pct"/>
            <w:tcBorders>
              <w:bottom w:val="single" w:sz="4" w:space="0" w:color="auto"/>
            </w:tcBorders>
            <w:shd w:val="clear" w:color="auto" w:fill="auto"/>
            <w:vAlign w:val="center"/>
          </w:tcPr>
          <w:p w:rsidR="00217496" w:rsidRPr="00592461" w:rsidRDefault="00217496" w:rsidP="00217496">
            <w:pPr>
              <w:pStyle w:val="TableText"/>
              <w:jc w:val="center"/>
            </w:pPr>
            <w:r w:rsidRPr="00342422">
              <w:rPr>
                <w:rFonts w:cs="Arial"/>
                <w:color w:val="000000"/>
                <w:szCs w:val="20"/>
              </w:rPr>
              <w:t>$</w:t>
            </w:r>
            <w:r w:rsidR="00EB2224">
              <w:rPr>
                <w:rFonts w:cs="Arial"/>
                <w:noProof/>
                <w:color w:val="000000"/>
                <w:szCs w:val="20"/>
                <w:highlight w:val="black"/>
              </w:rPr>
              <w:t>'''''''''''''''''''''''</w:t>
            </w:r>
          </w:p>
        </w:tc>
        <w:tc>
          <w:tcPr>
            <w:tcW w:w="647" w:type="pct"/>
            <w:tcBorders>
              <w:bottom w:val="single" w:sz="4" w:space="0" w:color="auto"/>
            </w:tcBorders>
            <w:shd w:val="clear" w:color="auto" w:fill="auto"/>
            <w:vAlign w:val="center"/>
          </w:tcPr>
          <w:p w:rsidR="00217496" w:rsidRPr="00592461" w:rsidRDefault="00217496" w:rsidP="00217496">
            <w:pPr>
              <w:pStyle w:val="TableText"/>
              <w:jc w:val="center"/>
            </w:pPr>
            <w:r w:rsidRPr="00342422">
              <w:rPr>
                <w:rFonts w:cs="Arial"/>
                <w:color w:val="000000"/>
                <w:szCs w:val="20"/>
              </w:rPr>
              <w:t>$</w:t>
            </w:r>
            <w:r w:rsidR="00EB2224">
              <w:rPr>
                <w:rFonts w:cs="Arial"/>
                <w:noProof/>
                <w:color w:val="000000"/>
                <w:szCs w:val="20"/>
                <w:highlight w:val="black"/>
              </w:rPr>
              <w:t>'''''''''''''''''''''''''''''</w:t>
            </w:r>
          </w:p>
        </w:tc>
        <w:tc>
          <w:tcPr>
            <w:tcW w:w="647" w:type="pct"/>
            <w:tcBorders>
              <w:bottom w:val="single" w:sz="4" w:space="0" w:color="auto"/>
            </w:tcBorders>
            <w:shd w:val="clear" w:color="auto" w:fill="auto"/>
            <w:vAlign w:val="center"/>
          </w:tcPr>
          <w:p w:rsidR="00217496" w:rsidRPr="00592461" w:rsidRDefault="00217496" w:rsidP="00217496">
            <w:pPr>
              <w:pStyle w:val="TableText"/>
              <w:jc w:val="center"/>
            </w:pPr>
            <w:r w:rsidRPr="00342422">
              <w:rPr>
                <w:rFonts w:cs="Arial"/>
                <w:color w:val="000000"/>
                <w:szCs w:val="20"/>
              </w:rPr>
              <w:t>$</w:t>
            </w:r>
            <w:r w:rsidR="00EB2224">
              <w:rPr>
                <w:rFonts w:cs="Arial"/>
                <w:noProof/>
                <w:color w:val="000000"/>
                <w:szCs w:val="20"/>
                <w:highlight w:val="black"/>
              </w:rPr>
              <w:t>'''''''''''''''''''''''''</w:t>
            </w:r>
          </w:p>
        </w:tc>
        <w:tc>
          <w:tcPr>
            <w:tcW w:w="647" w:type="pct"/>
            <w:tcBorders>
              <w:bottom w:val="single" w:sz="4" w:space="0" w:color="auto"/>
            </w:tcBorders>
            <w:shd w:val="clear" w:color="auto" w:fill="auto"/>
            <w:vAlign w:val="center"/>
          </w:tcPr>
          <w:p w:rsidR="00217496" w:rsidRPr="00592461" w:rsidRDefault="00217496" w:rsidP="00217496">
            <w:pPr>
              <w:pStyle w:val="TableText"/>
              <w:jc w:val="center"/>
            </w:pPr>
            <w:r w:rsidRPr="00342422">
              <w:rPr>
                <w:rFonts w:cs="Arial"/>
                <w:color w:val="000000"/>
                <w:szCs w:val="20"/>
              </w:rPr>
              <w:t>$</w:t>
            </w:r>
            <w:r w:rsidR="00EB2224">
              <w:rPr>
                <w:rFonts w:cs="Arial"/>
                <w:noProof/>
                <w:color w:val="000000"/>
                <w:szCs w:val="20"/>
                <w:highlight w:val="black"/>
              </w:rPr>
              <w:t>''''''''''''''''''''''''''</w:t>
            </w:r>
          </w:p>
        </w:tc>
        <w:tc>
          <w:tcPr>
            <w:tcW w:w="647" w:type="pct"/>
            <w:tcBorders>
              <w:bottom w:val="single" w:sz="4" w:space="0" w:color="auto"/>
            </w:tcBorders>
            <w:shd w:val="clear" w:color="auto" w:fill="auto"/>
            <w:vAlign w:val="center"/>
          </w:tcPr>
          <w:p w:rsidR="00217496" w:rsidRPr="00592461" w:rsidRDefault="00217496" w:rsidP="00217496">
            <w:pPr>
              <w:pStyle w:val="TableText"/>
              <w:jc w:val="center"/>
            </w:pPr>
            <w:r w:rsidRPr="00342422">
              <w:rPr>
                <w:rFonts w:cs="Arial"/>
                <w:color w:val="000000"/>
                <w:szCs w:val="20"/>
              </w:rPr>
              <w:t>$</w:t>
            </w:r>
            <w:r w:rsidR="00EB2224">
              <w:rPr>
                <w:rFonts w:cs="Arial"/>
                <w:noProof/>
                <w:color w:val="000000"/>
                <w:szCs w:val="20"/>
                <w:highlight w:val="black"/>
              </w:rPr>
              <w:t>'''''''''''''''''''''''''''''</w:t>
            </w:r>
          </w:p>
        </w:tc>
        <w:tc>
          <w:tcPr>
            <w:tcW w:w="650" w:type="pct"/>
            <w:tcBorders>
              <w:bottom w:val="single" w:sz="4" w:space="0" w:color="auto"/>
            </w:tcBorders>
            <w:vAlign w:val="center"/>
          </w:tcPr>
          <w:p w:rsidR="00217496" w:rsidRPr="00592461" w:rsidRDefault="00217496" w:rsidP="00217496">
            <w:pPr>
              <w:pStyle w:val="TableText"/>
              <w:jc w:val="center"/>
            </w:pPr>
            <w:r w:rsidRPr="00342422">
              <w:rPr>
                <w:rFonts w:cs="Arial"/>
                <w:color w:val="000000"/>
                <w:szCs w:val="20"/>
              </w:rPr>
              <w:t>$</w:t>
            </w:r>
            <w:r w:rsidR="00EB2224">
              <w:rPr>
                <w:rFonts w:cs="Arial"/>
                <w:noProof/>
                <w:color w:val="000000"/>
                <w:szCs w:val="20"/>
                <w:highlight w:val="black"/>
              </w:rPr>
              <w:t>''''''''''''''''''''''''</w:t>
            </w:r>
          </w:p>
        </w:tc>
      </w:tr>
    </w:tbl>
    <w:p w:rsidR="00434533" w:rsidRPr="001D2B84" w:rsidRDefault="00434533" w:rsidP="00434533">
      <w:pPr>
        <w:pStyle w:val="TableFooter"/>
        <w:rPr>
          <w:rStyle w:val="CommentReference"/>
          <w:b w:val="0"/>
          <w:sz w:val="18"/>
          <w:szCs w:val="22"/>
        </w:rPr>
      </w:pPr>
      <w:r w:rsidRPr="001D2B84">
        <w:t>Source: Table 4.3.2, Table 4.6.3, Table 4.3.10, Table 4.3.13, Table 4.4.3, Table 4.6.2, Table 4.6.9, and Table 4.7.8 of the submission</w:t>
      </w:r>
      <w:r w:rsidR="00B508C1">
        <w:t>.</w:t>
      </w:r>
    </w:p>
    <w:p w:rsidR="00217496" w:rsidRDefault="00217496" w:rsidP="00434533">
      <w:pPr>
        <w:pStyle w:val="TableFooter"/>
      </w:pPr>
      <w:r>
        <w:t>Revisions to the financial estimates applied during the evaluation included:</w:t>
      </w:r>
    </w:p>
    <w:p w:rsidR="00434533" w:rsidRDefault="00434533" w:rsidP="00342422">
      <w:pPr>
        <w:pStyle w:val="TableFooter"/>
        <w:numPr>
          <w:ilvl w:val="1"/>
          <w:numId w:val="20"/>
        </w:numPr>
        <w:ind w:left="426" w:hanging="142"/>
      </w:pPr>
      <w:r>
        <w:t>The submission inappropriately included the cost of the MBS test to grandfathe</w:t>
      </w:r>
      <w:r w:rsidR="004B7914">
        <w:t>red patients in the first year.</w:t>
      </w:r>
    </w:p>
    <w:p w:rsidR="00434533" w:rsidRDefault="00434533" w:rsidP="00342422">
      <w:pPr>
        <w:pStyle w:val="TableFooter"/>
        <w:numPr>
          <w:ilvl w:val="1"/>
          <w:numId w:val="20"/>
        </w:numPr>
        <w:ind w:left="426" w:hanging="142"/>
      </w:pPr>
      <w:r>
        <w:t>Assuming all patients receive the test</w:t>
      </w:r>
      <w:r w:rsidR="00217496">
        <w:t xml:space="preserve"> and treatment monitoring</w:t>
      </w:r>
      <w:r>
        <w:t xml:space="preserve"> in an outpatient setting, and therefore pay a 15% co-payment.</w:t>
      </w:r>
    </w:p>
    <w:p w:rsidR="00434533" w:rsidRPr="005F79FA" w:rsidRDefault="00434533" w:rsidP="00342422">
      <w:pPr>
        <w:pStyle w:val="TableFooter"/>
        <w:numPr>
          <w:ilvl w:val="1"/>
          <w:numId w:val="20"/>
        </w:numPr>
        <w:ind w:left="426" w:hanging="142"/>
      </w:pPr>
      <w:r>
        <w:t xml:space="preserve">Assuming 41% of </w:t>
      </w:r>
      <w:r w:rsidRPr="005F79FA">
        <w:t>pa</w:t>
      </w:r>
      <w:r w:rsidR="004B7914" w:rsidRPr="005F79FA">
        <w:t>tients test positive for PD-L1.</w:t>
      </w:r>
    </w:p>
    <w:p w:rsidR="00434533" w:rsidRPr="005F79FA" w:rsidRDefault="00434533" w:rsidP="00342422">
      <w:pPr>
        <w:pStyle w:val="TableFooter"/>
        <w:numPr>
          <w:ilvl w:val="1"/>
          <w:numId w:val="20"/>
        </w:numPr>
        <w:ind w:left="426" w:hanging="142"/>
      </w:pPr>
      <w:r w:rsidRPr="005F79FA">
        <w:t xml:space="preserve">Assuming 27.37 scripts per patient per course </w:t>
      </w:r>
      <w:r w:rsidR="00217496" w:rsidRPr="005F79FA">
        <w:t xml:space="preserve">of atezolizumab </w:t>
      </w:r>
      <w:r w:rsidRPr="005F79FA">
        <w:t>as estimated by the submission</w:t>
      </w:r>
      <w:r w:rsidR="00B508C1" w:rsidRPr="005F79FA">
        <w:t>.</w:t>
      </w:r>
    </w:p>
    <w:p w:rsidR="00434533" w:rsidRPr="005F79FA" w:rsidRDefault="00434533" w:rsidP="00342422">
      <w:pPr>
        <w:pStyle w:val="TableFooter"/>
        <w:numPr>
          <w:ilvl w:val="1"/>
          <w:numId w:val="20"/>
        </w:numPr>
        <w:ind w:left="426" w:hanging="142"/>
      </w:pPr>
      <w:r w:rsidRPr="005F79FA">
        <w:t xml:space="preserve">Assuming </w:t>
      </w:r>
      <w:r w:rsidR="00EB2224">
        <w:rPr>
          <w:noProof/>
          <w:color w:val="000000"/>
          <w:highlight w:val="black"/>
        </w:rPr>
        <w:t>'''''''''''</w:t>
      </w:r>
      <w:r w:rsidRPr="005F79FA">
        <w:t xml:space="preserve"> scripts </w:t>
      </w:r>
      <w:r w:rsidR="00217496" w:rsidRPr="005F79FA">
        <w:t xml:space="preserve">of nab-P </w:t>
      </w:r>
      <w:r w:rsidRPr="005F79FA">
        <w:t xml:space="preserve">in the current scenario would be replaced by </w:t>
      </w:r>
      <w:r w:rsidR="00EB2224">
        <w:rPr>
          <w:noProof/>
          <w:color w:val="000000"/>
          <w:highlight w:val="black"/>
        </w:rPr>
        <w:t>''''''''''''''</w:t>
      </w:r>
      <w:r w:rsidRPr="005F79FA">
        <w:t xml:space="preserve"> scripts in the proposed scenario</w:t>
      </w:r>
      <w:r w:rsidR="00B508C1" w:rsidRPr="005F79FA">
        <w:t>.</w:t>
      </w:r>
    </w:p>
    <w:p w:rsidR="00E209B2" w:rsidRPr="005F79FA" w:rsidRDefault="00434533" w:rsidP="00E209B2">
      <w:pPr>
        <w:pStyle w:val="TableFooter"/>
        <w:numPr>
          <w:ilvl w:val="1"/>
          <w:numId w:val="20"/>
        </w:numPr>
        <w:ind w:left="426" w:hanging="142"/>
      </w:pPr>
      <w:r w:rsidRPr="005F79FA">
        <w:t>The submission inappropriately halved the number of administrations required per tr</w:t>
      </w:r>
      <w:r w:rsidR="00B508C1" w:rsidRPr="005F79FA">
        <w:t>eatment course for patients in both arms.</w:t>
      </w:r>
    </w:p>
    <w:p w:rsidR="00E209B2" w:rsidRDefault="00E209B2" w:rsidP="00E209B2">
      <w:pPr>
        <w:pStyle w:val="TableFooter"/>
      </w:pPr>
    </w:p>
    <w:p w:rsidR="00E209B2" w:rsidRPr="00804D40" w:rsidRDefault="00E209B2" w:rsidP="00E209B2">
      <w:pPr>
        <w:pStyle w:val="TableFooter"/>
        <w:rPr>
          <w:rFonts w:asciiTheme="minorHAnsi" w:hAnsiTheme="minorHAnsi"/>
          <w:i/>
          <w:sz w:val="24"/>
          <w:szCs w:val="24"/>
        </w:rPr>
      </w:pPr>
      <w:r w:rsidRPr="00804D40">
        <w:rPr>
          <w:rFonts w:asciiTheme="minorHAnsi" w:hAnsiTheme="minorHAnsi"/>
          <w:i/>
          <w:sz w:val="24"/>
          <w:szCs w:val="24"/>
        </w:rPr>
        <w:t xml:space="preserve">The redacted table shows that at Year 6, the estimated </w:t>
      </w:r>
      <w:r w:rsidR="004716E5">
        <w:rPr>
          <w:rFonts w:asciiTheme="minorHAnsi" w:hAnsiTheme="minorHAnsi"/>
          <w:i/>
          <w:sz w:val="24"/>
          <w:szCs w:val="24"/>
        </w:rPr>
        <w:t xml:space="preserve">number of patients tested was 500 to &lt; 5000; the estimated number of patients treated with atezolizumab was &lt; 500; and the estimated </w:t>
      </w:r>
      <w:r w:rsidRPr="00804D40">
        <w:rPr>
          <w:rFonts w:asciiTheme="minorHAnsi" w:hAnsiTheme="minorHAnsi"/>
          <w:i/>
          <w:sz w:val="24"/>
          <w:szCs w:val="24"/>
        </w:rPr>
        <w:t>number of scripts for atezolizumab was 10,000 to &lt;</w:t>
      </w:r>
      <w:r w:rsidR="00704F10">
        <w:rPr>
          <w:rFonts w:asciiTheme="minorHAnsi" w:hAnsiTheme="minorHAnsi"/>
          <w:i/>
          <w:sz w:val="24"/>
          <w:szCs w:val="24"/>
        </w:rPr>
        <w:t> </w:t>
      </w:r>
      <w:r w:rsidRPr="00804D40">
        <w:rPr>
          <w:rFonts w:asciiTheme="minorHAnsi" w:hAnsiTheme="minorHAnsi"/>
          <w:i/>
          <w:sz w:val="24"/>
          <w:szCs w:val="24"/>
        </w:rPr>
        <w:t xml:space="preserve">20,000. </w:t>
      </w:r>
    </w:p>
    <w:p w:rsidR="00434533" w:rsidRPr="00D94BD9" w:rsidRDefault="00434533" w:rsidP="00434533">
      <w:pPr>
        <w:pStyle w:val="ListParagraph"/>
        <w:numPr>
          <w:ilvl w:val="4"/>
          <w:numId w:val="1"/>
        </w:numPr>
        <w:rPr>
          <w:color w:val="auto"/>
        </w:rPr>
      </w:pPr>
      <w:r w:rsidRPr="00D94BD9">
        <w:rPr>
          <w:color w:val="auto"/>
        </w:rPr>
        <w:t xml:space="preserve">The total cost to the PBS/RPBS of listing </w:t>
      </w:r>
      <w:r>
        <w:rPr>
          <w:color w:val="auto"/>
        </w:rPr>
        <w:t xml:space="preserve">atezolizumab in combination with nab-paclitaxel </w:t>
      </w:r>
      <w:r w:rsidRPr="00D94BD9">
        <w:rPr>
          <w:color w:val="auto"/>
        </w:rPr>
        <w:t xml:space="preserve">was estimated </w:t>
      </w:r>
      <w:r w:rsidR="00071A1F">
        <w:rPr>
          <w:color w:val="auto"/>
        </w:rPr>
        <w:t xml:space="preserve">(in the submission) </w:t>
      </w:r>
      <w:r w:rsidRPr="00D94BD9">
        <w:rPr>
          <w:color w:val="auto"/>
        </w:rPr>
        <w:t xml:space="preserve">to be </w:t>
      </w:r>
      <w:r>
        <w:rPr>
          <w:color w:val="auto"/>
        </w:rPr>
        <w:t>$</w:t>
      </w:r>
      <w:r w:rsidR="00EE2BDD">
        <w:rPr>
          <w:color w:val="auto"/>
        </w:rPr>
        <w:t>20 to &lt;</w:t>
      </w:r>
      <w:r w:rsidR="001951F5">
        <w:rPr>
          <w:color w:val="auto"/>
        </w:rPr>
        <w:t> </w:t>
      </w:r>
      <w:r w:rsidR="00EE2BDD">
        <w:rPr>
          <w:color w:val="auto"/>
        </w:rPr>
        <w:t>$30</w:t>
      </w:r>
      <w:r>
        <w:rPr>
          <w:color w:val="auto"/>
        </w:rPr>
        <w:t xml:space="preserve"> million</w:t>
      </w:r>
      <w:r w:rsidRPr="001D2B84">
        <w:rPr>
          <w:color w:val="auto"/>
        </w:rPr>
        <w:t xml:space="preserve"> </w:t>
      </w:r>
      <w:r w:rsidRPr="00D94BD9">
        <w:rPr>
          <w:color w:val="auto"/>
        </w:rPr>
        <w:t xml:space="preserve">in Year 6, and a total of </w:t>
      </w:r>
      <w:r>
        <w:rPr>
          <w:color w:val="auto"/>
        </w:rPr>
        <w:t>$</w:t>
      </w:r>
      <w:r w:rsidR="00EE2BDD">
        <w:rPr>
          <w:color w:val="auto"/>
        </w:rPr>
        <w:t>100 to &lt;</w:t>
      </w:r>
      <w:r w:rsidR="001951F5">
        <w:rPr>
          <w:color w:val="auto"/>
        </w:rPr>
        <w:t> </w:t>
      </w:r>
      <w:r w:rsidR="00EE2BDD">
        <w:rPr>
          <w:color w:val="auto"/>
        </w:rPr>
        <w:t>$200</w:t>
      </w:r>
      <w:r>
        <w:rPr>
          <w:color w:val="auto"/>
        </w:rPr>
        <w:t xml:space="preserve"> million</w:t>
      </w:r>
      <w:r w:rsidRPr="00D94BD9">
        <w:rPr>
          <w:color w:val="auto"/>
        </w:rPr>
        <w:t xml:space="preserve"> in the first 6 years of listing. </w:t>
      </w:r>
      <w:r>
        <w:rPr>
          <w:color w:val="auto"/>
        </w:rPr>
        <w:t>This included the increased usage of nab-paclitaxel in the pr</w:t>
      </w:r>
      <w:r w:rsidR="00B508C1">
        <w:rPr>
          <w:color w:val="auto"/>
        </w:rPr>
        <w:t>oposed test/treatment scenario.</w:t>
      </w:r>
    </w:p>
    <w:p w:rsidR="00434533" w:rsidRPr="0045743C" w:rsidRDefault="00434533" w:rsidP="00A20C6B">
      <w:pPr>
        <w:pStyle w:val="ListParagraph"/>
      </w:pPr>
      <w:r>
        <w:t xml:space="preserve">The submission assumed that </w:t>
      </w:r>
      <w:r w:rsidR="00EE2BDD">
        <w:t>&lt;</w:t>
      </w:r>
      <w:r w:rsidR="001951F5">
        <w:t> </w:t>
      </w:r>
      <w:r w:rsidR="00EE2BDD">
        <w:t>500</w:t>
      </w:r>
      <w:r>
        <w:t xml:space="preserve"> patients will be grandfathered. </w:t>
      </w:r>
      <w:r w:rsidRPr="00FB2270">
        <w:t xml:space="preserve">The submission stated that a patient access program for atezolizumab is planned for commencement in November 2019, immediately following TGA approval, for the first-line treatment of patients with unresectable locally advanced or metastatic TNBC. </w:t>
      </w:r>
      <w:r w:rsidR="001F4586">
        <w:t>The submission stated that e</w:t>
      </w:r>
      <w:r w:rsidRPr="00FB2270">
        <w:t>ligibility for the access program will be aligned with the proposed initial treatment restriction for PBS listing.</w:t>
      </w:r>
      <w:r w:rsidR="00A20C6B">
        <w:t xml:space="preserve"> </w:t>
      </w:r>
      <w:r w:rsidR="00A20C6B" w:rsidRPr="00A20C6B">
        <w:rPr>
          <w:color w:val="auto"/>
        </w:rPr>
        <w:t>As no actual patient numbers were provided by the sponsor, DUSC questioned whether uptake to the access program would be this high</w:t>
      </w:r>
      <w:r w:rsidR="004155FD">
        <w:rPr>
          <w:color w:val="auto"/>
        </w:rPr>
        <w:t>.</w:t>
      </w:r>
    </w:p>
    <w:p w:rsidR="0045743C" w:rsidRPr="00FB2270" w:rsidRDefault="0045743C" w:rsidP="00FB2270">
      <w:pPr>
        <w:pStyle w:val="ListParagraph"/>
        <w:numPr>
          <w:ilvl w:val="4"/>
          <w:numId w:val="1"/>
        </w:numPr>
        <w:rPr>
          <w:color w:val="auto"/>
        </w:rPr>
      </w:pPr>
      <w:r w:rsidRPr="00FB2270">
        <w:rPr>
          <w:color w:val="auto"/>
        </w:rPr>
        <w:t>DUSC</w:t>
      </w:r>
      <w:r w:rsidR="00FB2270">
        <w:rPr>
          <w:color w:val="auto"/>
        </w:rPr>
        <w:t xml:space="preserve"> considered</w:t>
      </w:r>
      <w:r w:rsidRPr="00FB2270">
        <w:rPr>
          <w:color w:val="auto"/>
        </w:rPr>
        <w:t xml:space="preserve"> the estimates presented in the submission to be significantly underestimated. The main issues </w:t>
      </w:r>
      <w:r w:rsidR="00515BED">
        <w:rPr>
          <w:color w:val="auto"/>
        </w:rPr>
        <w:t>identified were</w:t>
      </w:r>
      <w:r w:rsidRPr="00FB2270">
        <w:rPr>
          <w:color w:val="auto"/>
        </w:rPr>
        <w:t>:</w:t>
      </w:r>
    </w:p>
    <w:p w:rsidR="0045743C" w:rsidRPr="00515BED" w:rsidRDefault="0045743C" w:rsidP="00B508C1">
      <w:pPr>
        <w:pStyle w:val="ListParagraph"/>
        <w:numPr>
          <w:ilvl w:val="0"/>
          <w:numId w:val="20"/>
        </w:numPr>
        <w:tabs>
          <w:tab w:val="left" w:pos="1078"/>
        </w:tabs>
        <w:ind w:left="1092" w:hanging="392"/>
      </w:pPr>
      <w:r w:rsidRPr="00515BED">
        <w:t>The submission substantially underestimated the number of patients diagnosed at earlier stages of TNBC who then progress to advanced disease</w:t>
      </w:r>
      <w:r w:rsidR="00D70D26">
        <w:t>,</w:t>
      </w:r>
      <w:r w:rsidR="00BF6544">
        <w:t xml:space="preserve"> and t</w:t>
      </w:r>
      <w:r w:rsidR="00BF6544" w:rsidRPr="00515BED">
        <w:t xml:space="preserve">here were methodological concerns regarding the base population used to calculate the number of patients with recurrent disease. </w:t>
      </w:r>
      <w:r w:rsidR="00FA1546">
        <w:t xml:space="preserve">The pre-PBAC response </w:t>
      </w:r>
      <w:r w:rsidR="00B508C1">
        <w:t xml:space="preserve">revised this </w:t>
      </w:r>
      <w:r w:rsidR="00FA1546">
        <w:t xml:space="preserve">by </w:t>
      </w:r>
      <w:r w:rsidR="00FA1546" w:rsidRPr="003D6B19">
        <w:rPr>
          <w:rFonts w:ascii="Calibri" w:eastAsia="Times New Roman" w:hAnsi="Calibri" w:cs="Calibri"/>
          <w:color w:val="000000"/>
        </w:rPr>
        <w:t xml:space="preserve">applying a recurrence rate of 10% to the cumulative incident population from the </w:t>
      </w:r>
      <w:r w:rsidR="00FA1546" w:rsidRPr="003D6B19">
        <w:rPr>
          <w:rFonts w:ascii="Calibri" w:eastAsia="Times New Roman" w:hAnsi="Calibri" w:cs="Calibri"/>
          <w:color w:val="000000"/>
        </w:rPr>
        <w:lastRenderedPageBreak/>
        <w:t>five years</w:t>
      </w:r>
      <w:r w:rsidR="00FA1546" w:rsidRPr="00136067">
        <w:rPr>
          <w:rFonts w:ascii="Calibri" w:eastAsia="Times New Roman" w:hAnsi="Calibri" w:cs="Calibri"/>
          <w:color w:val="000000"/>
        </w:rPr>
        <w:t xml:space="preserve"> preceding listing.</w:t>
      </w:r>
      <w:r w:rsidR="00BF6544" w:rsidRPr="00801135">
        <w:rPr>
          <w:rFonts w:ascii="Calibri" w:eastAsia="Times New Roman" w:hAnsi="Calibri" w:cs="Calibri"/>
          <w:color w:val="000000"/>
        </w:rPr>
        <w:t xml:space="preserve"> An estimate of 5</w:t>
      </w:r>
      <w:r w:rsidR="00B508C1">
        <w:rPr>
          <w:rFonts w:ascii="Calibri" w:eastAsia="Times New Roman" w:hAnsi="Calibri" w:cs="Calibri"/>
          <w:color w:val="000000"/>
        </w:rPr>
        <w:t>-</w:t>
      </w:r>
      <w:r w:rsidR="00BF6544" w:rsidRPr="00801135">
        <w:rPr>
          <w:rFonts w:ascii="Calibri" w:eastAsia="Times New Roman" w:hAnsi="Calibri" w:cs="Calibri"/>
          <w:color w:val="000000"/>
        </w:rPr>
        <w:t>year survival of TNBC of 77% was also applied to account for mortality over the same 5</w:t>
      </w:r>
      <w:r w:rsidR="00B508C1">
        <w:rPr>
          <w:rFonts w:ascii="Calibri" w:eastAsia="Times New Roman" w:hAnsi="Calibri" w:cs="Calibri"/>
          <w:color w:val="000000"/>
        </w:rPr>
        <w:t>-</w:t>
      </w:r>
      <w:r w:rsidR="00BF6544" w:rsidRPr="00801135">
        <w:rPr>
          <w:rFonts w:ascii="Calibri" w:eastAsia="Times New Roman" w:hAnsi="Calibri" w:cs="Calibri"/>
          <w:color w:val="000000"/>
        </w:rPr>
        <w:t>year period.</w:t>
      </w:r>
    </w:p>
    <w:p w:rsidR="0045743C" w:rsidRPr="00515BED" w:rsidRDefault="0045743C" w:rsidP="00B508C1">
      <w:pPr>
        <w:pStyle w:val="ListParagraph"/>
        <w:numPr>
          <w:ilvl w:val="0"/>
          <w:numId w:val="20"/>
        </w:numPr>
        <w:tabs>
          <w:tab w:val="left" w:pos="1078"/>
        </w:tabs>
        <w:ind w:left="1092" w:hanging="392"/>
      </w:pPr>
      <w:r w:rsidRPr="00515BED">
        <w:t xml:space="preserve">The proportion of patients who elect to have the PD-L1 test was underestimated based on US data which were not applicable to the Australian setting. </w:t>
      </w:r>
      <w:r w:rsidR="00B508C1">
        <w:t>T</w:t>
      </w:r>
      <w:r w:rsidR="00FA1546">
        <w:t xml:space="preserve">he pre-PBAC </w:t>
      </w:r>
      <w:r w:rsidR="00D70D26">
        <w:t xml:space="preserve">response </w:t>
      </w:r>
      <w:r w:rsidR="00FA1546">
        <w:t>revised this estimate from 82% to 95% as recommended by DUSC.</w:t>
      </w:r>
    </w:p>
    <w:p w:rsidR="0045743C" w:rsidRPr="00515BED" w:rsidRDefault="0045743C" w:rsidP="00B508C1">
      <w:pPr>
        <w:pStyle w:val="ListParagraph"/>
        <w:numPr>
          <w:ilvl w:val="0"/>
          <w:numId w:val="20"/>
        </w:numPr>
        <w:tabs>
          <w:tab w:val="left" w:pos="1078"/>
        </w:tabs>
        <w:ind w:left="1092" w:hanging="392"/>
        <w:rPr>
          <w:rFonts w:cstheme="minorHAnsi"/>
        </w:rPr>
      </w:pPr>
      <w:r w:rsidRPr="00515BED">
        <w:t>The number of PD-</w:t>
      </w:r>
      <w:r w:rsidRPr="00515BED">
        <w:rPr>
          <w:rFonts w:cstheme="minorHAnsi"/>
        </w:rPr>
        <w:t xml:space="preserve">L1 tests was underestimated as the submission did not account for retesting. </w:t>
      </w:r>
      <w:r w:rsidR="00B508C1">
        <w:rPr>
          <w:rFonts w:cstheme="minorHAnsi"/>
        </w:rPr>
        <w:t>T</w:t>
      </w:r>
      <w:r w:rsidR="00FA1546">
        <w:rPr>
          <w:rFonts w:cstheme="minorHAnsi"/>
        </w:rPr>
        <w:t xml:space="preserve">he pre-PBAC response </w:t>
      </w:r>
      <w:r w:rsidR="009B5901">
        <w:rPr>
          <w:rFonts w:cstheme="minorHAnsi"/>
        </w:rPr>
        <w:t>assumed a 4% re-testing rate.</w:t>
      </w:r>
    </w:p>
    <w:p w:rsidR="0045743C" w:rsidRPr="00515BED" w:rsidRDefault="0045743C" w:rsidP="00B508C1">
      <w:pPr>
        <w:pStyle w:val="ListParagraph"/>
        <w:numPr>
          <w:ilvl w:val="0"/>
          <w:numId w:val="20"/>
        </w:numPr>
        <w:tabs>
          <w:tab w:val="left" w:pos="1078"/>
        </w:tabs>
        <w:ind w:left="1092" w:hanging="392"/>
      </w:pPr>
      <w:r w:rsidRPr="00515BED">
        <w:t xml:space="preserve">The number of patients eligible for treatment may differ in Australian practice given that testing strategies, other than the evidentiary standard, are available in Australian clinical practice. The performance of these testing strategies was not concordant and so the number of test-positive results will differ depending on the test used. The submission applied the lowest test-positive rate, so the test-positive </w:t>
      </w:r>
      <w:r w:rsidR="00B508C1">
        <w:t>rate in practice may be higher.</w:t>
      </w:r>
    </w:p>
    <w:p w:rsidR="00C0368B" w:rsidRDefault="00C0368B" w:rsidP="00C0368B">
      <w:pPr>
        <w:pStyle w:val="ListParagraph"/>
      </w:pPr>
      <w:r w:rsidRPr="00C0368B">
        <w:t xml:space="preserve">DUSC considered that the </w:t>
      </w:r>
      <w:r w:rsidR="001F4586">
        <w:t xml:space="preserve">average </w:t>
      </w:r>
      <w:r w:rsidRPr="00C0368B">
        <w:t>number of atezolizumab doses used in the financial estimates (27.37</w:t>
      </w:r>
      <w:r w:rsidR="001F4586">
        <w:t xml:space="preserve"> doses</w:t>
      </w:r>
      <w:r w:rsidRPr="00C0368B">
        <w:t>, 12.6 month duration) was an overestimate</w:t>
      </w:r>
      <w:r w:rsidR="000328C6">
        <w:t>,</w:t>
      </w:r>
      <w:r w:rsidR="0069677E">
        <w:t xml:space="preserve"> </w:t>
      </w:r>
      <w:r w:rsidR="000328C6">
        <w:t>and that</w:t>
      </w:r>
      <w:r w:rsidRPr="00C0368B">
        <w:t xml:space="preserve"> it would be reasonable to assume </w:t>
      </w:r>
      <w:r w:rsidR="00EB2224">
        <w:rPr>
          <w:noProof/>
          <w:color w:val="000000"/>
          <w:highlight w:val="black"/>
        </w:rPr>
        <w:t>'''''</w:t>
      </w:r>
      <w:r w:rsidRPr="00C0368B">
        <w:t xml:space="preserve"> doses of atezolizumab per patient. As noted above,</w:t>
      </w:r>
      <w:r>
        <w:t xml:space="preserve"> the </w:t>
      </w:r>
      <w:r w:rsidR="00C44E8D">
        <w:rPr>
          <w:snapToGrid w:val="0"/>
          <w:lang w:val="en-GB"/>
        </w:rPr>
        <w:t xml:space="preserve">pre-PBAC response proposed an episode of care cap </w:t>
      </w:r>
      <w:r w:rsidR="00C44E8D" w:rsidRPr="003C55E2">
        <w:rPr>
          <w:snapToGrid w:val="0"/>
          <w:lang w:val="en-GB"/>
        </w:rPr>
        <w:t xml:space="preserve">of </w:t>
      </w:r>
      <w:r w:rsidR="00EB2224">
        <w:rPr>
          <w:noProof/>
          <w:snapToGrid w:val="0"/>
          <w:color w:val="000000"/>
          <w:highlight w:val="black"/>
          <w:lang w:val="en-GB"/>
        </w:rPr>
        <w:t>''''''</w:t>
      </w:r>
      <w:r w:rsidR="00C44E8D">
        <w:rPr>
          <w:snapToGrid w:val="0"/>
          <w:lang w:val="en-GB"/>
        </w:rPr>
        <w:t xml:space="preserve"> doses per patient treated with atezolizumab, beyond which it would fully rebate the cost of atezolizumab in its proposed RSA. The calculations provided with the pre-PBAC response applied an average of </w:t>
      </w:r>
      <w:r w:rsidR="00EB2224">
        <w:rPr>
          <w:noProof/>
          <w:snapToGrid w:val="0"/>
          <w:color w:val="000000"/>
          <w:highlight w:val="black"/>
          <w:lang w:val="en-GB"/>
        </w:rPr>
        <w:t>''''''</w:t>
      </w:r>
      <w:r w:rsidR="00C44E8D">
        <w:rPr>
          <w:snapToGrid w:val="0"/>
          <w:lang w:val="en-GB"/>
        </w:rPr>
        <w:t xml:space="preserve"> doses, rather than a cap of </w:t>
      </w:r>
      <w:r w:rsidR="00EB2224">
        <w:rPr>
          <w:noProof/>
          <w:snapToGrid w:val="0"/>
          <w:color w:val="000000"/>
          <w:highlight w:val="black"/>
          <w:lang w:val="en-GB"/>
        </w:rPr>
        <w:t>'''''</w:t>
      </w:r>
      <w:r w:rsidR="00C44E8D">
        <w:rPr>
          <w:snapToGrid w:val="0"/>
          <w:lang w:val="en-GB"/>
        </w:rPr>
        <w:t xml:space="preserve"> doses. </w:t>
      </w:r>
    </w:p>
    <w:p w:rsidR="00C0368B" w:rsidRDefault="00515BED" w:rsidP="00C0368B">
      <w:pPr>
        <w:pStyle w:val="ListParagraph"/>
      </w:pPr>
      <w:r w:rsidRPr="00C0368B">
        <w:t>DUSC</w:t>
      </w:r>
      <w:r w:rsidR="00C0368B">
        <w:t xml:space="preserve"> also</w:t>
      </w:r>
      <w:r w:rsidRPr="00C0368B">
        <w:t xml:space="preserve"> noted that the typical maximum duration of nab-P in the metastatic setting is 10-12 treatments, limited by neuropathy. In patients who had prior taxane (51% in the trial population), dose-limiting toxicity would occur much earlier. DUSC considered 28 doses of nab-P (as assumed in the economic model and the commentary</w:t>
      </w:r>
      <w:r w:rsidR="004155FD">
        <w:t>-</w:t>
      </w:r>
      <w:r w:rsidRPr="00C0368B">
        <w:t>corrected financial estimates) was an overestimate and</w:t>
      </w:r>
      <w:r w:rsidR="001E3F5C">
        <w:t xml:space="preserve"> that</w:t>
      </w:r>
      <w:r w:rsidRPr="00C0368B">
        <w:t xml:space="preserve"> </w:t>
      </w:r>
      <w:r w:rsidR="000328C6">
        <w:t xml:space="preserve">an average of </w:t>
      </w:r>
      <w:r w:rsidRPr="00C0368B">
        <w:t>10 doses would be a more reasonable estimate.</w:t>
      </w:r>
      <w:r w:rsidR="00C0368B" w:rsidRPr="00C0368B">
        <w:t xml:space="preserve"> </w:t>
      </w:r>
      <w:r w:rsidR="001E3F5C">
        <w:t>This was corrected in the pre-PBAC response, which assumed an average of 10 doses of nab-P per patient in the economic model and financi</w:t>
      </w:r>
      <w:r w:rsidR="00B508C1">
        <w:t>al estimates.</w:t>
      </w:r>
    </w:p>
    <w:p w:rsidR="009B5901" w:rsidRPr="00C0368B" w:rsidRDefault="009B5901" w:rsidP="00C0368B">
      <w:pPr>
        <w:pStyle w:val="ListParagraph"/>
      </w:pPr>
      <w:r>
        <w:t xml:space="preserve">The revised financial estimates presented in the pre-PBAC response estimated a net cost to the PBS/RPBS for listing of atezolizumab of </w:t>
      </w:r>
      <w:r w:rsidR="00217496">
        <w:t>$</w:t>
      </w:r>
      <w:r w:rsidR="00EE2BDD">
        <w:t>20 to &lt;</w:t>
      </w:r>
      <w:r w:rsidR="001951F5">
        <w:t> </w:t>
      </w:r>
      <w:r w:rsidR="00EE2BDD">
        <w:t>$30</w:t>
      </w:r>
      <w:r w:rsidR="00217496">
        <w:t xml:space="preserve"> million in year 6 of listing and </w:t>
      </w:r>
      <w:r>
        <w:t>$</w:t>
      </w:r>
      <w:r w:rsidR="00EE2BDD">
        <w:t>100 to &lt;</w:t>
      </w:r>
      <w:r w:rsidR="001951F5">
        <w:t> </w:t>
      </w:r>
      <w:r w:rsidR="00EE2BDD">
        <w:t>$200</w:t>
      </w:r>
      <w:r>
        <w:t xml:space="preserve"> million over the first 6 years of listing</w:t>
      </w:r>
      <w:r w:rsidR="00D07889">
        <w:t xml:space="preserve">, however these estimates have not been </w:t>
      </w:r>
      <w:r w:rsidR="00B508C1">
        <w:t xml:space="preserve">independently </w:t>
      </w:r>
      <w:r w:rsidR="00D07889">
        <w:t>verified</w:t>
      </w:r>
      <w:r w:rsidR="00B508C1">
        <w:t>.</w:t>
      </w:r>
    </w:p>
    <w:p w:rsidR="0045743C" w:rsidRPr="00515BED" w:rsidRDefault="0045743C" w:rsidP="0045743C">
      <w:pPr>
        <w:pStyle w:val="PBACESHeading2"/>
      </w:pPr>
      <w:r w:rsidRPr="00515BED">
        <w:t>Quality use of medicines</w:t>
      </w:r>
    </w:p>
    <w:p w:rsidR="0045743C" w:rsidRPr="00515BED" w:rsidRDefault="0045743C" w:rsidP="0045743C">
      <w:pPr>
        <w:pStyle w:val="ListParagraph"/>
      </w:pPr>
      <w:r w:rsidRPr="00515BED">
        <w:t xml:space="preserve">TNBC patients have a high risk of recurrent disease and may have received a taxane in the early breast cancer setting. Requiring these patients to retrial a taxane after treatment failure would not be clinically appropriate due to a low response rate. </w:t>
      </w:r>
      <w:r w:rsidR="00515BED" w:rsidRPr="00515BED">
        <w:t xml:space="preserve">The PBAC considered that the listing should require that patients treated with taxanes in </w:t>
      </w:r>
      <w:r w:rsidR="00515BED" w:rsidRPr="00515BED">
        <w:lastRenderedPageBreak/>
        <w:t>the neoadjuvant or adjuvant setting must have completed taxane treatment at least 12 months prior to relapse.</w:t>
      </w:r>
    </w:p>
    <w:p w:rsidR="002838EB" w:rsidRPr="006F58DC" w:rsidRDefault="002838EB" w:rsidP="00434533">
      <w:pPr>
        <w:pStyle w:val="PBACESHeading2"/>
      </w:pPr>
      <w:bookmarkStart w:id="47" w:name="_Toc497226195"/>
      <w:bookmarkStart w:id="48" w:name="_Toc30411841"/>
      <w:bookmarkEnd w:id="44"/>
      <w:bookmarkEnd w:id="45"/>
      <w:r w:rsidRPr="006F58DC">
        <w:t>Financial management – risk sharing arrangements</w:t>
      </w:r>
      <w:bookmarkEnd w:id="47"/>
      <w:bookmarkEnd w:id="48"/>
    </w:p>
    <w:p w:rsidR="00ED3A9C" w:rsidRDefault="002838EB" w:rsidP="002838EB">
      <w:pPr>
        <w:pStyle w:val="ListParagraph"/>
        <w:numPr>
          <w:ilvl w:val="4"/>
          <w:numId w:val="1"/>
        </w:numPr>
        <w:rPr>
          <w:color w:val="auto"/>
        </w:rPr>
      </w:pPr>
      <w:r w:rsidRPr="00A3490A">
        <w:rPr>
          <w:color w:val="auto"/>
        </w:rPr>
        <w:t xml:space="preserve">No subsidisation cap has been proposed. However, the </w:t>
      </w:r>
      <w:r w:rsidR="001E3F5C">
        <w:rPr>
          <w:color w:val="auto"/>
        </w:rPr>
        <w:t>s</w:t>
      </w:r>
      <w:r w:rsidRPr="00A3490A">
        <w:rPr>
          <w:color w:val="auto"/>
        </w:rPr>
        <w:t>ponsor indicated that it is willing to work with the PBAC and the Department to explore risk</w:t>
      </w:r>
      <w:r w:rsidR="001E3F5C">
        <w:rPr>
          <w:color w:val="auto"/>
        </w:rPr>
        <w:t xml:space="preserve"> </w:t>
      </w:r>
      <w:r w:rsidRPr="00A3490A">
        <w:rPr>
          <w:color w:val="auto"/>
        </w:rPr>
        <w:t xml:space="preserve">sharing arrangements </w:t>
      </w:r>
      <w:r w:rsidR="001E3F5C">
        <w:rPr>
          <w:color w:val="auto"/>
        </w:rPr>
        <w:t xml:space="preserve">(RSAs) </w:t>
      </w:r>
      <w:r w:rsidRPr="00A3490A">
        <w:rPr>
          <w:color w:val="auto"/>
        </w:rPr>
        <w:t>in order to reduce sources of uncertainty to Government and expedite patient access in this area of high unmet need</w:t>
      </w:r>
      <w:r w:rsidR="001B4B0B">
        <w:rPr>
          <w:color w:val="auto"/>
        </w:rPr>
        <w:t>.</w:t>
      </w:r>
    </w:p>
    <w:p w:rsidR="00434533" w:rsidRPr="00434533" w:rsidRDefault="00434533" w:rsidP="00434533">
      <w:pPr>
        <w:pStyle w:val="ListParagraph"/>
        <w:numPr>
          <w:ilvl w:val="0"/>
          <w:numId w:val="0"/>
        </w:numPr>
        <w:ind w:left="720"/>
        <w:rPr>
          <w:i/>
        </w:rPr>
      </w:pPr>
      <w:r w:rsidRPr="00434533">
        <w:rPr>
          <w:i/>
        </w:rPr>
        <w:t>For more detail on PBAC’s view, see section 7 PBAC outcome.</w:t>
      </w:r>
    </w:p>
    <w:p w:rsidR="0045743C" w:rsidRPr="007B0451" w:rsidRDefault="0045743C" w:rsidP="007B0451">
      <w:pPr>
        <w:pStyle w:val="PBACESHeading1"/>
        <w:numPr>
          <w:ilvl w:val="0"/>
          <w:numId w:val="1"/>
        </w:numPr>
      </w:pPr>
      <w:r w:rsidRPr="007B0451">
        <w:t xml:space="preserve">PBAC </w:t>
      </w:r>
      <w:r w:rsidR="00F67BEF" w:rsidRPr="007B0451">
        <w:t>o</w:t>
      </w:r>
      <w:r w:rsidRPr="007B0451">
        <w:t>utcome</w:t>
      </w:r>
    </w:p>
    <w:p w:rsidR="002D06D0" w:rsidRPr="002D06D0" w:rsidRDefault="002D06D0" w:rsidP="002D06D0">
      <w:pPr>
        <w:pStyle w:val="ListParagraph"/>
        <w:rPr>
          <w:color w:val="auto"/>
          <w:sz w:val="22"/>
        </w:rPr>
      </w:pPr>
      <w:r>
        <w:t xml:space="preserve">The PBAC did not recommend atezolizumab for the first line treatment of patients with unresectable locally advanced or metastatic triple-negative breast cancer who are PD-L1 positive. The PBAC considered that there was a high clinical need for effective treatments for these patients, but considered that the applicability of the clinical evidence to the relevant patient population was limited and the </w:t>
      </w:r>
      <w:r w:rsidR="00AD37C7">
        <w:t xml:space="preserve">magnitude of the </w:t>
      </w:r>
      <w:r>
        <w:t>overall survival benefit claimed was uncertain. The PBAC also noted that the incremental cost-effectiveness ratio was high and likely to be underestimated due to reliance on optimistic assumptions regarding overall survival, which were not sufficiently supported by the clinical evidence. The PBAC also noted that the</w:t>
      </w:r>
      <w:r>
        <w:rPr>
          <w:color w:val="FF0000"/>
        </w:rPr>
        <w:t xml:space="preserve"> </w:t>
      </w:r>
      <w:r>
        <w:t xml:space="preserve">cost-effectiveness of atezolizumab was likely to be affected by the choice of PD-L1 </w:t>
      </w:r>
      <w:r w:rsidR="009E1162">
        <w:t xml:space="preserve">assay </w:t>
      </w:r>
      <w:r>
        <w:t>used to determine eligibility to treatment.</w:t>
      </w:r>
    </w:p>
    <w:p w:rsidR="002D06D0" w:rsidRDefault="002D06D0" w:rsidP="002D06D0">
      <w:pPr>
        <w:pStyle w:val="ListParagraph"/>
      </w:pPr>
      <w:r>
        <w:t xml:space="preserve">The PBAC </w:t>
      </w:r>
      <w:r w:rsidR="003248F5">
        <w:t xml:space="preserve">noted that the submission was an integrated co-dependent submission and </w:t>
      </w:r>
      <w:r>
        <w:t>sought advice from MSAC on the following issues</w:t>
      </w:r>
      <w:r w:rsidR="003248F5">
        <w:t xml:space="preserve"> relevant to </w:t>
      </w:r>
      <w:r w:rsidR="003248F5" w:rsidRPr="006D388C">
        <w:t>IHC testing for PD-L1 expression on IC</w:t>
      </w:r>
      <w:r>
        <w:t>:</w:t>
      </w:r>
    </w:p>
    <w:p w:rsidR="002D06D0" w:rsidRDefault="002D06D0" w:rsidP="00EF5451">
      <w:pPr>
        <w:pStyle w:val="PBACESParagraphBulletPoint"/>
        <w:ind w:left="1077" w:hanging="357"/>
      </w:pPr>
      <w:r>
        <w:t>The concordance of the Ventana PD-L1 IHC (SP142) assay with other available tests and advice on the implications of this to estimates of the incremental effectiveness of atezolizumab.</w:t>
      </w:r>
    </w:p>
    <w:p w:rsidR="002D06D0" w:rsidRDefault="002D06D0" w:rsidP="00EF5451">
      <w:pPr>
        <w:pStyle w:val="PBACESParagraphBulletPoint"/>
        <w:ind w:left="1077"/>
      </w:pPr>
      <w:r>
        <w:t>Given the impact of different test assays on (likely higher) PD-L1</w:t>
      </w:r>
      <w:r w:rsidR="004B7914">
        <w:t>-</w:t>
      </w:r>
      <w:r>
        <w:t>positive rates and consequent higher ICERs, the PBAC signalled a preference to limit testing to the Ventana PD-L1 IHC (SP142) assay. What would be the consequences, including for rates of false positives, of limiting to this assay versus being agnostic to the choice of assay for the purpose of helping determine eligibility for atezolizumab? How should this issue best be addressed in the MBS item descriptor and/or PBS restriction?</w:t>
      </w:r>
    </w:p>
    <w:p w:rsidR="002D06D0" w:rsidRDefault="002D06D0" w:rsidP="00EF5451">
      <w:pPr>
        <w:pStyle w:val="PBACESParagraphBulletPoint"/>
        <w:ind w:left="1077"/>
      </w:pPr>
      <w:r>
        <w:t>In the context of potential future applications for targeted treatments for PD-L1</w:t>
      </w:r>
      <w:r w:rsidR="004B7914">
        <w:t>-</w:t>
      </w:r>
      <w:r>
        <w:t>positive TNBC, what are the potential consequences for these treatments of limiting testing to the V</w:t>
      </w:r>
      <w:r w:rsidR="009E1162">
        <w:t>entana PD-L1 IHC (SP142) assay?</w:t>
      </w:r>
    </w:p>
    <w:p w:rsidR="002D06D0" w:rsidRDefault="002D06D0" w:rsidP="00EF5451">
      <w:pPr>
        <w:pStyle w:val="PBACESParagraphBulletPoint"/>
        <w:ind w:left="1077"/>
      </w:pPr>
      <w:r>
        <w:lastRenderedPageBreak/>
        <w:t>Given the differences between archival and recent biopsies with respect to positive PD-L1 expression, should recent biopsies be required when available and should this be included in the MBS item descriptor and/or PBS restriction?</w:t>
      </w:r>
    </w:p>
    <w:p w:rsidR="0045743C" w:rsidRPr="0034280B" w:rsidRDefault="00FB75F3" w:rsidP="00AD645F">
      <w:pPr>
        <w:pStyle w:val="ListParagraph"/>
        <w:rPr>
          <w:rFonts w:cs="Arial"/>
          <w:bCs/>
          <w:snapToGrid w:val="0"/>
          <w:lang w:val="en-GB"/>
        </w:rPr>
      </w:pPr>
      <w:r>
        <w:rPr>
          <w:rFonts w:cs="Arial"/>
          <w:bCs/>
          <w:snapToGrid w:val="0"/>
          <w:lang w:val="en-GB"/>
        </w:rPr>
        <w:t xml:space="preserve">The PBAC acknowledged the high clinical need </w:t>
      </w:r>
      <w:r w:rsidR="00136067">
        <w:rPr>
          <w:rFonts w:cs="Arial"/>
          <w:bCs/>
          <w:snapToGrid w:val="0"/>
          <w:lang w:val="en-GB"/>
        </w:rPr>
        <w:t>for effective therapies for</w:t>
      </w:r>
      <w:r>
        <w:rPr>
          <w:rFonts w:cs="Arial"/>
          <w:bCs/>
          <w:snapToGrid w:val="0"/>
          <w:lang w:val="en-GB"/>
        </w:rPr>
        <w:t xml:space="preserve"> patients with TNBC, who have higher rates of disease recurrence and </w:t>
      </w:r>
      <w:r w:rsidR="003248F5">
        <w:rPr>
          <w:rFonts w:cs="Arial"/>
          <w:bCs/>
          <w:snapToGrid w:val="0"/>
          <w:lang w:val="en-GB"/>
        </w:rPr>
        <w:t>poorer</w:t>
      </w:r>
      <w:r>
        <w:rPr>
          <w:rFonts w:cs="Arial"/>
          <w:bCs/>
          <w:snapToGrid w:val="0"/>
          <w:lang w:val="en-GB"/>
        </w:rPr>
        <w:t xml:space="preserve"> survival</w:t>
      </w:r>
      <w:r w:rsidR="00FE65EA">
        <w:rPr>
          <w:rFonts w:cs="Arial"/>
          <w:bCs/>
          <w:snapToGrid w:val="0"/>
          <w:lang w:val="en-GB"/>
        </w:rPr>
        <w:t xml:space="preserve"> outcomes</w:t>
      </w:r>
      <w:r>
        <w:rPr>
          <w:rFonts w:cs="Arial"/>
          <w:bCs/>
          <w:snapToGrid w:val="0"/>
          <w:lang w:val="en-GB"/>
        </w:rPr>
        <w:t xml:space="preserve"> than</w:t>
      </w:r>
      <w:r w:rsidR="009E1162">
        <w:rPr>
          <w:rFonts w:cs="Arial"/>
          <w:bCs/>
          <w:snapToGrid w:val="0"/>
          <w:lang w:val="en-GB"/>
        </w:rPr>
        <w:t xml:space="preserve"> other breast cancer subtypes.</w:t>
      </w:r>
    </w:p>
    <w:p w:rsidR="00136067" w:rsidRPr="00136067" w:rsidRDefault="000028A0" w:rsidP="00BE69E1">
      <w:pPr>
        <w:pStyle w:val="ListParagraph"/>
        <w:rPr>
          <w:rFonts w:cs="Arial"/>
          <w:bCs/>
          <w:snapToGrid w:val="0"/>
          <w:lang w:val="en-GB"/>
        </w:rPr>
      </w:pPr>
      <w:r w:rsidRPr="005E2FD4">
        <w:rPr>
          <w:rFonts w:cs="Arial"/>
          <w:bCs/>
          <w:snapToGrid w:val="0"/>
          <w:lang w:val="en-GB"/>
        </w:rPr>
        <w:t>The PBAC noted that the proposed listing for atezolizumab in combination with taxane chemotherapy is broader than the intervention in the IMpassion130 trial and that approved by the TGA</w:t>
      </w:r>
      <w:r w:rsidR="00C46685" w:rsidRPr="005E2FD4">
        <w:rPr>
          <w:rFonts w:cs="Arial"/>
          <w:bCs/>
          <w:snapToGrid w:val="0"/>
          <w:lang w:val="en-GB"/>
        </w:rPr>
        <w:t>,</w:t>
      </w:r>
      <w:r w:rsidRPr="005E2FD4">
        <w:rPr>
          <w:rFonts w:cs="Arial"/>
          <w:bCs/>
          <w:snapToGrid w:val="0"/>
          <w:lang w:val="en-GB"/>
        </w:rPr>
        <w:t xml:space="preserve"> which </w:t>
      </w:r>
      <w:r w:rsidR="00DA605F">
        <w:rPr>
          <w:rFonts w:cs="Arial"/>
          <w:bCs/>
          <w:snapToGrid w:val="0"/>
          <w:lang w:val="en-GB"/>
        </w:rPr>
        <w:t xml:space="preserve">have atezolizumab used only </w:t>
      </w:r>
      <w:r w:rsidRPr="005E2FD4">
        <w:rPr>
          <w:rFonts w:cs="Arial"/>
          <w:bCs/>
          <w:snapToGrid w:val="0"/>
          <w:lang w:val="en-GB"/>
        </w:rPr>
        <w:t>in combination with nab-P. The PBAC considered that</w:t>
      </w:r>
      <w:r w:rsidR="008B3BBA">
        <w:rPr>
          <w:rFonts w:cs="Arial"/>
          <w:bCs/>
          <w:snapToGrid w:val="0"/>
          <w:lang w:val="en-GB"/>
        </w:rPr>
        <w:t>,</w:t>
      </w:r>
      <w:r w:rsidRPr="005E2FD4">
        <w:rPr>
          <w:rFonts w:cs="Arial"/>
          <w:bCs/>
          <w:snapToGrid w:val="0"/>
          <w:lang w:val="en-GB"/>
        </w:rPr>
        <w:t xml:space="preserve"> </w:t>
      </w:r>
      <w:r w:rsidR="008B3BBA">
        <w:rPr>
          <w:rFonts w:cs="Arial"/>
          <w:bCs/>
          <w:snapToGrid w:val="0"/>
          <w:lang w:val="en-GB"/>
        </w:rPr>
        <w:t>given</w:t>
      </w:r>
      <w:r w:rsidR="008B3BBA" w:rsidRPr="005E2FD4">
        <w:rPr>
          <w:rFonts w:cs="Arial"/>
          <w:bCs/>
          <w:snapToGrid w:val="0"/>
          <w:lang w:val="en-GB"/>
        </w:rPr>
        <w:t xml:space="preserve"> </w:t>
      </w:r>
      <w:r w:rsidRPr="005E2FD4">
        <w:rPr>
          <w:rFonts w:cs="Arial"/>
          <w:bCs/>
          <w:snapToGrid w:val="0"/>
          <w:lang w:val="en-GB"/>
        </w:rPr>
        <w:t>the absence of clinical data in combination with other taxanes</w:t>
      </w:r>
      <w:r w:rsidR="008B3BBA">
        <w:rPr>
          <w:rFonts w:cs="Arial"/>
          <w:bCs/>
          <w:snapToGrid w:val="0"/>
          <w:lang w:val="en-GB"/>
        </w:rPr>
        <w:t>,</w:t>
      </w:r>
      <w:r w:rsidRPr="005E2FD4">
        <w:rPr>
          <w:rFonts w:cs="Arial"/>
          <w:bCs/>
          <w:snapToGrid w:val="0"/>
          <w:lang w:val="en-GB"/>
        </w:rPr>
        <w:t xml:space="preserve"> </w:t>
      </w:r>
      <w:r w:rsidR="00C46685" w:rsidRPr="005E2FD4">
        <w:rPr>
          <w:rFonts w:cs="Arial"/>
          <w:bCs/>
          <w:snapToGrid w:val="0"/>
          <w:lang w:val="en-GB"/>
        </w:rPr>
        <w:t xml:space="preserve">the </w:t>
      </w:r>
      <w:r w:rsidRPr="005E2FD4">
        <w:rPr>
          <w:rFonts w:cs="Arial"/>
          <w:bCs/>
          <w:snapToGrid w:val="0"/>
          <w:lang w:val="en-GB"/>
        </w:rPr>
        <w:t xml:space="preserve">listing </w:t>
      </w:r>
      <w:r w:rsidR="00C46685" w:rsidRPr="005E2FD4">
        <w:rPr>
          <w:rFonts w:cs="Arial"/>
          <w:bCs/>
          <w:snapToGrid w:val="0"/>
          <w:lang w:val="en-GB"/>
        </w:rPr>
        <w:t xml:space="preserve">should be limited </w:t>
      </w:r>
      <w:r w:rsidRPr="005E2FD4">
        <w:rPr>
          <w:rFonts w:cs="Arial"/>
          <w:bCs/>
          <w:snapToGrid w:val="0"/>
          <w:lang w:val="en-GB"/>
        </w:rPr>
        <w:t xml:space="preserve">to treatment in combination with nab-P. </w:t>
      </w:r>
      <w:r w:rsidR="002F6C75">
        <w:rPr>
          <w:rFonts w:cs="Arial"/>
          <w:bCs/>
          <w:snapToGrid w:val="0"/>
          <w:lang w:val="en-GB"/>
        </w:rPr>
        <w:t xml:space="preserve">The PBAC noted the pre-PBAC </w:t>
      </w:r>
      <w:r w:rsidR="008B3BBA">
        <w:rPr>
          <w:rFonts w:cs="Arial"/>
          <w:bCs/>
          <w:snapToGrid w:val="0"/>
          <w:lang w:val="en-GB"/>
        </w:rPr>
        <w:t xml:space="preserve">response </w:t>
      </w:r>
      <w:r w:rsidR="00620BE7">
        <w:rPr>
          <w:rFonts w:cs="Arial"/>
          <w:bCs/>
          <w:snapToGrid w:val="0"/>
          <w:lang w:val="en-GB"/>
        </w:rPr>
        <w:t>requested that</w:t>
      </w:r>
      <w:r w:rsidR="002F6C75">
        <w:rPr>
          <w:rFonts w:cs="Arial"/>
          <w:bCs/>
          <w:snapToGrid w:val="0"/>
          <w:lang w:val="en-GB"/>
        </w:rPr>
        <w:t xml:space="preserve"> </w:t>
      </w:r>
      <w:r w:rsidR="00620BE7">
        <w:rPr>
          <w:rFonts w:cs="Arial"/>
          <w:bCs/>
          <w:snapToGrid w:val="0"/>
          <w:lang w:val="en-GB"/>
        </w:rPr>
        <w:t xml:space="preserve">concomitant </w:t>
      </w:r>
      <w:r w:rsidR="00AD37C7">
        <w:rPr>
          <w:rFonts w:cs="Arial"/>
          <w:bCs/>
          <w:snapToGrid w:val="0"/>
          <w:lang w:val="en-GB"/>
        </w:rPr>
        <w:t xml:space="preserve">therapy </w:t>
      </w:r>
      <w:r w:rsidR="00620BE7">
        <w:rPr>
          <w:rFonts w:cs="Arial"/>
          <w:bCs/>
          <w:snapToGrid w:val="0"/>
          <w:lang w:val="en-GB"/>
        </w:rPr>
        <w:t xml:space="preserve">should only be required at initiation of </w:t>
      </w:r>
      <w:r w:rsidR="002F6C75">
        <w:rPr>
          <w:rFonts w:cs="Arial"/>
          <w:bCs/>
          <w:snapToGrid w:val="0"/>
          <w:lang w:val="en-GB"/>
        </w:rPr>
        <w:t>treatment and considered this was appropriate</w:t>
      </w:r>
      <w:r w:rsidR="00620BE7">
        <w:rPr>
          <w:rFonts w:cs="Arial"/>
          <w:bCs/>
          <w:snapToGrid w:val="0"/>
          <w:lang w:val="en-GB"/>
        </w:rPr>
        <w:t xml:space="preserve"> (i.e. a requirement for on-going use of concomitant nab-P may not be appropriate in the event of dose-limiting toxicities)</w:t>
      </w:r>
      <w:r w:rsidR="002F6C75">
        <w:rPr>
          <w:rFonts w:cs="Arial"/>
          <w:bCs/>
          <w:snapToGrid w:val="0"/>
          <w:lang w:val="en-GB"/>
        </w:rPr>
        <w:t xml:space="preserve">. </w:t>
      </w:r>
      <w:r w:rsidRPr="005E2FD4">
        <w:rPr>
          <w:rFonts w:cs="Arial"/>
          <w:bCs/>
          <w:snapToGrid w:val="0"/>
          <w:lang w:val="en-GB"/>
        </w:rPr>
        <w:t xml:space="preserve">The PBAC </w:t>
      </w:r>
      <w:r w:rsidR="008428E6">
        <w:rPr>
          <w:rFonts w:cs="Arial"/>
          <w:bCs/>
          <w:snapToGrid w:val="0"/>
          <w:lang w:val="en-GB"/>
        </w:rPr>
        <w:t>considered</w:t>
      </w:r>
      <w:r w:rsidRPr="005E2FD4">
        <w:rPr>
          <w:rFonts w:cs="Arial"/>
          <w:bCs/>
          <w:snapToGrid w:val="0"/>
          <w:lang w:val="en-GB"/>
        </w:rPr>
        <w:t xml:space="preserve"> that the </w:t>
      </w:r>
      <w:r w:rsidRPr="005E2FD4">
        <w:rPr>
          <w:rFonts w:cstheme="minorHAnsi"/>
          <w:bCs/>
          <w:snapToGrid w:val="0"/>
          <w:szCs w:val="24"/>
          <w:lang w:val="en-GB"/>
        </w:rPr>
        <w:t xml:space="preserve">IMpassion131 trial of atezolizumab </w:t>
      </w:r>
      <w:r w:rsidR="00C46685" w:rsidRPr="005E2FD4">
        <w:rPr>
          <w:rFonts w:cstheme="minorHAnsi"/>
          <w:bCs/>
          <w:snapToGrid w:val="0"/>
          <w:szCs w:val="24"/>
          <w:lang w:val="en-GB"/>
        </w:rPr>
        <w:t>in combination with</w:t>
      </w:r>
      <w:r w:rsidRPr="005E2FD4">
        <w:rPr>
          <w:rFonts w:cstheme="minorHAnsi"/>
          <w:bCs/>
          <w:snapToGrid w:val="0"/>
          <w:szCs w:val="24"/>
          <w:lang w:val="en-GB"/>
        </w:rPr>
        <w:t xml:space="preserve"> paclitaxel may provide support for </w:t>
      </w:r>
      <w:r w:rsidR="00B92DD8">
        <w:rPr>
          <w:rFonts w:cstheme="minorHAnsi"/>
          <w:bCs/>
          <w:snapToGrid w:val="0"/>
          <w:szCs w:val="24"/>
          <w:lang w:val="en-GB"/>
        </w:rPr>
        <w:t>a</w:t>
      </w:r>
      <w:r w:rsidR="00B92DD8" w:rsidRPr="005E2FD4">
        <w:rPr>
          <w:rFonts w:cstheme="minorHAnsi"/>
          <w:bCs/>
          <w:snapToGrid w:val="0"/>
          <w:szCs w:val="24"/>
          <w:lang w:val="en-GB"/>
        </w:rPr>
        <w:t xml:space="preserve"> </w:t>
      </w:r>
      <w:r w:rsidRPr="005E2FD4">
        <w:rPr>
          <w:rFonts w:cstheme="minorHAnsi"/>
          <w:bCs/>
          <w:snapToGrid w:val="0"/>
          <w:szCs w:val="24"/>
          <w:lang w:val="en-GB"/>
        </w:rPr>
        <w:t xml:space="preserve">broader listing once </w:t>
      </w:r>
      <w:r w:rsidR="00DA605F">
        <w:rPr>
          <w:rFonts w:cstheme="minorHAnsi"/>
          <w:bCs/>
          <w:snapToGrid w:val="0"/>
          <w:szCs w:val="24"/>
          <w:lang w:val="en-GB"/>
        </w:rPr>
        <w:t xml:space="preserve">its </w:t>
      </w:r>
      <w:r w:rsidRPr="005E2FD4">
        <w:rPr>
          <w:rFonts w:cstheme="minorHAnsi"/>
          <w:bCs/>
          <w:snapToGrid w:val="0"/>
          <w:szCs w:val="24"/>
          <w:lang w:val="en-GB"/>
        </w:rPr>
        <w:t xml:space="preserve">results </w:t>
      </w:r>
      <w:r w:rsidR="00C46685" w:rsidRPr="005E2FD4">
        <w:rPr>
          <w:rFonts w:cstheme="minorHAnsi"/>
          <w:bCs/>
          <w:snapToGrid w:val="0"/>
          <w:szCs w:val="24"/>
          <w:lang w:val="en-GB"/>
        </w:rPr>
        <w:t>become</w:t>
      </w:r>
      <w:r w:rsidR="00DA605F">
        <w:rPr>
          <w:rFonts w:cstheme="minorHAnsi"/>
          <w:bCs/>
          <w:snapToGrid w:val="0"/>
          <w:szCs w:val="24"/>
          <w:lang w:val="en-GB"/>
        </w:rPr>
        <w:t xml:space="preserve"> available.</w:t>
      </w:r>
    </w:p>
    <w:p w:rsidR="0045743C" w:rsidRPr="005E2FD4" w:rsidRDefault="000028A0" w:rsidP="00BE69E1">
      <w:pPr>
        <w:pStyle w:val="ListParagraph"/>
        <w:rPr>
          <w:rFonts w:cs="Arial"/>
          <w:bCs/>
          <w:snapToGrid w:val="0"/>
          <w:lang w:val="en-GB"/>
        </w:rPr>
      </w:pPr>
      <w:r w:rsidRPr="005E2FD4">
        <w:rPr>
          <w:rFonts w:cstheme="minorHAnsi"/>
          <w:bCs/>
          <w:snapToGrid w:val="0"/>
          <w:szCs w:val="24"/>
          <w:lang w:val="en-GB"/>
        </w:rPr>
        <w:t xml:space="preserve">The </w:t>
      </w:r>
      <w:r w:rsidR="00C46685" w:rsidRPr="005E2FD4">
        <w:rPr>
          <w:rFonts w:cstheme="minorHAnsi"/>
          <w:bCs/>
          <w:snapToGrid w:val="0"/>
          <w:szCs w:val="24"/>
          <w:lang w:val="en-GB"/>
        </w:rPr>
        <w:t>inclusion criteria in</w:t>
      </w:r>
      <w:r w:rsidRPr="005E2FD4">
        <w:rPr>
          <w:rFonts w:cstheme="minorHAnsi"/>
          <w:bCs/>
          <w:snapToGrid w:val="0"/>
          <w:szCs w:val="24"/>
          <w:lang w:val="en-GB"/>
        </w:rPr>
        <w:t xml:space="preserve"> the I</w:t>
      </w:r>
      <w:r w:rsidR="00D55157">
        <w:rPr>
          <w:rFonts w:cstheme="minorHAnsi"/>
          <w:bCs/>
          <w:snapToGrid w:val="0"/>
          <w:szCs w:val="24"/>
          <w:lang w:val="en-GB"/>
        </w:rPr>
        <w:t>M</w:t>
      </w:r>
      <w:r w:rsidR="00FE65EA">
        <w:rPr>
          <w:rFonts w:cstheme="minorHAnsi"/>
          <w:bCs/>
          <w:snapToGrid w:val="0"/>
          <w:szCs w:val="24"/>
          <w:lang w:val="en-GB"/>
        </w:rPr>
        <w:t>passion130</w:t>
      </w:r>
      <w:r w:rsidRPr="005E2FD4">
        <w:rPr>
          <w:rFonts w:cstheme="minorHAnsi"/>
          <w:bCs/>
          <w:snapToGrid w:val="0"/>
          <w:szCs w:val="24"/>
          <w:lang w:val="en-GB"/>
        </w:rPr>
        <w:t xml:space="preserve"> trial </w:t>
      </w:r>
      <w:r w:rsidR="00C46685" w:rsidRPr="005E2FD4">
        <w:rPr>
          <w:rFonts w:cstheme="minorHAnsi"/>
          <w:bCs/>
          <w:snapToGrid w:val="0"/>
          <w:szCs w:val="24"/>
          <w:lang w:val="en-GB"/>
        </w:rPr>
        <w:t xml:space="preserve">required </w:t>
      </w:r>
      <w:r w:rsidR="005E2FD4">
        <w:rPr>
          <w:rFonts w:cstheme="minorHAnsi"/>
          <w:bCs/>
          <w:snapToGrid w:val="0"/>
          <w:szCs w:val="24"/>
          <w:lang w:val="en-GB"/>
        </w:rPr>
        <w:t xml:space="preserve">that patients who received taxanes in </w:t>
      </w:r>
      <w:r w:rsidR="005E2FD4" w:rsidRPr="005E2FD4">
        <w:rPr>
          <w:rFonts w:cstheme="minorHAnsi"/>
          <w:bCs/>
          <w:snapToGrid w:val="0"/>
          <w:szCs w:val="24"/>
          <w:lang w:val="en-GB"/>
        </w:rPr>
        <w:t xml:space="preserve">the neoadjuvant or adjuvant setting </w:t>
      </w:r>
      <w:r w:rsidR="005E2FD4">
        <w:rPr>
          <w:rFonts w:cstheme="minorHAnsi"/>
          <w:bCs/>
          <w:snapToGrid w:val="0"/>
          <w:szCs w:val="24"/>
          <w:lang w:val="en-GB"/>
        </w:rPr>
        <w:t>must have</w:t>
      </w:r>
      <w:r w:rsidR="005E2FD4" w:rsidRPr="005E2FD4">
        <w:rPr>
          <w:rFonts w:cstheme="minorHAnsi"/>
          <w:bCs/>
          <w:snapToGrid w:val="0"/>
          <w:szCs w:val="24"/>
          <w:lang w:val="en-GB"/>
        </w:rPr>
        <w:t xml:space="preserve"> completed </w:t>
      </w:r>
      <w:r w:rsidR="005E2FD4">
        <w:rPr>
          <w:rFonts w:cstheme="minorHAnsi"/>
          <w:bCs/>
          <w:snapToGrid w:val="0"/>
          <w:szCs w:val="24"/>
          <w:lang w:val="en-GB"/>
        </w:rPr>
        <w:t xml:space="preserve">treatment at least </w:t>
      </w:r>
      <w:r w:rsidR="005E2FD4" w:rsidRPr="005E2FD4">
        <w:rPr>
          <w:rFonts w:cstheme="minorHAnsi"/>
          <w:bCs/>
          <w:snapToGrid w:val="0"/>
          <w:szCs w:val="24"/>
          <w:lang w:val="en-GB"/>
        </w:rPr>
        <w:t xml:space="preserve">12 months prior to </w:t>
      </w:r>
      <w:r w:rsidR="005E2FD4" w:rsidRPr="005E2FD4">
        <w:rPr>
          <w:rFonts w:cstheme="minorHAnsi"/>
          <w:color w:val="auto"/>
          <w:szCs w:val="24"/>
        </w:rPr>
        <w:t>randomization</w:t>
      </w:r>
      <w:r w:rsidR="005E2FD4">
        <w:rPr>
          <w:rFonts w:cstheme="minorHAnsi"/>
          <w:color w:val="auto"/>
          <w:szCs w:val="24"/>
        </w:rPr>
        <w:t xml:space="preserve">. </w:t>
      </w:r>
      <w:r w:rsidRPr="005E2FD4">
        <w:rPr>
          <w:rFonts w:cstheme="minorHAnsi"/>
          <w:bCs/>
          <w:snapToGrid w:val="0"/>
          <w:szCs w:val="24"/>
          <w:lang w:val="en-GB"/>
        </w:rPr>
        <w:t xml:space="preserve">The PBAC considered that </w:t>
      </w:r>
      <w:r w:rsidR="00AD37C7">
        <w:rPr>
          <w:rFonts w:cstheme="minorHAnsi"/>
          <w:bCs/>
          <w:snapToGrid w:val="0"/>
          <w:szCs w:val="24"/>
          <w:lang w:val="en-GB"/>
        </w:rPr>
        <w:t>a corresponding requirement should be included in the restriction</w:t>
      </w:r>
      <w:r w:rsidR="00DA605F">
        <w:rPr>
          <w:rFonts w:cstheme="minorHAnsi"/>
          <w:bCs/>
          <w:snapToGrid w:val="0"/>
          <w:szCs w:val="24"/>
          <w:lang w:val="en-GB"/>
        </w:rPr>
        <w:t>,</w:t>
      </w:r>
      <w:r w:rsidR="00AD37C7">
        <w:rPr>
          <w:rFonts w:cstheme="minorHAnsi"/>
          <w:bCs/>
          <w:snapToGrid w:val="0"/>
          <w:szCs w:val="24"/>
          <w:lang w:val="en-GB"/>
        </w:rPr>
        <w:t xml:space="preserve"> i.e. to require</w:t>
      </w:r>
      <w:r w:rsidR="005E2FD4">
        <w:rPr>
          <w:rFonts w:cstheme="minorHAnsi"/>
          <w:bCs/>
          <w:snapToGrid w:val="0"/>
          <w:szCs w:val="24"/>
          <w:lang w:val="en-GB"/>
        </w:rPr>
        <w:t xml:space="preserve"> patients treated with taxanes to have completed their taxane treatment at least 12 months prior to</w:t>
      </w:r>
      <w:r w:rsidR="00F152F8">
        <w:rPr>
          <w:rFonts w:cstheme="minorHAnsi"/>
          <w:bCs/>
          <w:snapToGrid w:val="0"/>
          <w:szCs w:val="24"/>
          <w:lang w:val="en-GB"/>
        </w:rPr>
        <w:t xml:space="preserve"> initiation of atezolizumab</w:t>
      </w:r>
      <w:r w:rsidR="0045743C" w:rsidRPr="005E2FD4">
        <w:rPr>
          <w:rFonts w:cstheme="minorHAnsi"/>
          <w:bCs/>
          <w:snapToGrid w:val="0"/>
          <w:szCs w:val="24"/>
          <w:lang w:val="en-GB"/>
        </w:rPr>
        <w:t>.</w:t>
      </w:r>
    </w:p>
    <w:p w:rsidR="00203785" w:rsidRPr="00203785" w:rsidRDefault="00532FF6" w:rsidP="00B7254A">
      <w:pPr>
        <w:pStyle w:val="ListParagraph"/>
        <w:rPr>
          <w:snapToGrid w:val="0"/>
          <w:lang w:val="en-GB"/>
        </w:rPr>
      </w:pPr>
      <w:r w:rsidRPr="00086398">
        <w:rPr>
          <w:snapToGrid w:val="0"/>
          <w:lang w:val="en-GB"/>
        </w:rPr>
        <w:t xml:space="preserve">The PBAC noted that the submission nominated nab-P as the comparator. Although nab-P + placebo was the comparator in the </w:t>
      </w:r>
      <w:r w:rsidR="00DA605F">
        <w:rPr>
          <w:snapToGrid w:val="0"/>
          <w:lang w:val="en-GB"/>
        </w:rPr>
        <w:t>key</w:t>
      </w:r>
      <w:r w:rsidRPr="00086398">
        <w:rPr>
          <w:snapToGrid w:val="0"/>
          <w:lang w:val="en-GB"/>
        </w:rPr>
        <w:t xml:space="preserve"> trial, the PBAC agreed with the ESCs and the commentary that nab-P may not represent optimal evidence-based treatment in the majority of the proposed population, including: patients who have received previous taxane therapy; patients who are chemotherapy naïve, including those with </w:t>
      </w:r>
      <w:r w:rsidRPr="00172239">
        <w:rPr>
          <w:i/>
          <w:snapToGrid w:val="0"/>
          <w:lang w:val="en-GB"/>
        </w:rPr>
        <w:t>de novo</w:t>
      </w:r>
      <w:r w:rsidRPr="00086398">
        <w:rPr>
          <w:snapToGrid w:val="0"/>
          <w:lang w:val="en-GB"/>
        </w:rPr>
        <w:t xml:space="preserve"> metastatic disease or some patients with previously untreated locally advanced disease; and patients with BRCA1/2 deleterious mutations.</w:t>
      </w:r>
      <w:r w:rsidR="00B7254A" w:rsidRPr="00086398">
        <w:rPr>
          <w:snapToGrid w:val="0"/>
          <w:lang w:val="en-GB"/>
        </w:rPr>
        <w:t xml:space="preserve"> T</w:t>
      </w:r>
      <w:r w:rsidRPr="00086398">
        <w:rPr>
          <w:iCs/>
          <w:color w:val="auto"/>
          <w:lang w:val="en-US"/>
        </w:rPr>
        <w:t xml:space="preserve">he </w:t>
      </w:r>
      <w:r w:rsidR="00B7254A" w:rsidRPr="00086398">
        <w:rPr>
          <w:iCs/>
          <w:color w:val="auto"/>
          <w:lang w:val="en-US"/>
        </w:rPr>
        <w:t xml:space="preserve">PBAC considered the </w:t>
      </w:r>
      <w:r w:rsidRPr="00086398">
        <w:rPr>
          <w:iCs/>
          <w:lang w:val="en-US"/>
        </w:rPr>
        <w:t>most appropriate comparator for this heterogeneous population would be physician choice</w:t>
      </w:r>
      <w:r w:rsidR="00CF4FE3">
        <w:rPr>
          <w:iCs/>
          <w:lang w:val="en-US"/>
        </w:rPr>
        <w:t xml:space="preserve">, but noted that there are </w:t>
      </w:r>
      <w:r w:rsidR="00AD37C7">
        <w:rPr>
          <w:iCs/>
          <w:lang w:val="en-US"/>
        </w:rPr>
        <w:t xml:space="preserve">various </w:t>
      </w:r>
      <w:r w:rsidR="00CF4FE3">
        <w:rPr>
          <w:iCs/>
          <w:lang w:val="en-US"/>
        </w:rPr>
        <w:t xml:space="preserve">treatment pathways and the </w:t>
      </w:r>
      <w:r w:rsidR="00A84AA3" w:rsidRPr="00086398">
        <w:rPr>
          <w:iCs/>
          <w:lang w:val="en-US"/>
        </w:rPr>
        <w:t xml:space="preserve">available evidence was limited to </w:t>
      </w:r>
      <w:r w:rsidR="00203785">
        <w:rPr>
          <w:iCs/>
          <w:lang w:val="en-US"/>
        </w:rPr>
        <w:t xml:space="preserve">the </w:t>
      </w:r>
      <w:r w:rsidR="00CF4FE3">
        <w:rPr>
          <w:iCs/>
          <w:lang w:val="en-US"/>
        </w:rPr>
        <w:t xml:space="preserve">comparison with </w:t>
      </w:r>
      <w:r w:rsidR="00A84AA3" w:rsidRPr="00086398">
        <w:rPr>
          <w:iCs/>
          <w:lang w:val="en-US"/>
        </w:rPr>
        <w:t>nab</w:t>
      </w:r>
      <w:r w:rsidR="00A84AA3" w:rsidRPr="00086398">
        <w:rPr>
          <w:iCs/>
          <w:lang w:val="en-US"/>
        </w:rPr>
        <w:noBreakHyphen/>
        <w:t>P</w:t>
      </w:r>
      <w:r w:rsidR="00DA605F">
        <w:rPr>
          <w:iCs/>
          <w:lang w:val="en-US"/>
        </w:rPr>
        <w:t>.</w:t>
      </w:r>
    </w:p>
    <w:p w:rsidR="00A84AA3" w:rsidRPr="00086398" w:rsidRDefault="001D4D2E" w:rsidP="00B7254A">
      <w:pPr>
        <w:pStyle w:val="ListParagraph"/>
        <w:rPr>
          <w:snapToGrid w:val="0"/>
          <w:lang w:val="en-GB"/>
        </w:rPr>
      </w:pPr>
      <w:r w:rsidRPr="00AE3F1D">
        <w:rPr>
          <w:iCs/>
          <w:lang w:val="en-US"/>
        </w:rPr>
        <w:t>The PBAC considered that</w:t>
      </w:r>
      <w:r w:rsidR="00AD37C7">
        <w:rPr>
          <w:iCs/>
          <w:lang w:val="en-US"/>
        </w:rPr>
        <w:t>, given the current evidence,</w:t>
      </w:r>
      <w:r w:rsidRPr="00AE3F1D">
        <w:rPr>
          <w:iCs/>
          <w:lang w:val="en-US"/>
        </w:rPr>
        <w:t xml:space="preserve"> </w:t>
      </w:r>
      <w:r w:rsidR="00AE3F1D" w:rsidRPr="00AE3F1D">
        <w:rPr>
          <w:iCs/>
          <w:lang w:val="en-US"/>
        </w:rPr>
        <w:t xml:space="preserve">the appropriate clinical place for atezolizumab is in addition to a nab-P, </w:t>
      </w:r>
      <w:r w:rsidR="007E30AA">
        <w:rPr>
          <w:iCs/>
          <w:lang w:val="en-US"/>
        </w:rPr>
        <w:t xml:space="preserve">in patients who are PD-L1 positive, </w:t>
      </w:r>
      <w:r w:rsidRPr="00AE3F1D">
        <w:rPr>
          <w:iCs/>
          <w:lang w:val="en-US"/>
        </w:rPr>
        <w:t xml:space="preserve">where a taxane would </w:t>
      </w:r>
      <w:r w:rsidR="00AE3F1D" w:rsidRPr="00AE3F1D">
        <w:rPr>
          <w:iCs/>
          <w:lang w:val="en-US"/>
        </w:rPr>
        <w:t xml:space="preserve">otherwise </w:t>
      </w:r>
      <w:r w:rsidRPr="00AE3F1D">
        <w:rPr>
          <w:iCs/>
          <w:lang w:val="en-US"/>
        </w:rPr>
        <w:t>be used</w:t>
      </w:r>
      <w:r w:rsidR="00AE3F1D" w:rsidRPr="00AE3F1D">
        <w:rPr>
          <w:iCs/>
          <w:lang w:val="en-US"/>
        </w:rPr>
        <w:t>.</w:t>
      </w:r>
    </w:p>
    <w:p w:rsidR="00575564" w:rsidRDefault="00086398" w:rsidP="00575564">
      <w:pPr>
        <w:pStyle w:val="ListParagraph"/>
        <w:rPr>
          <w:snapToGrid w:val="0"/>
          <w:lang w:val="en-GB"/>
        </w:rPr>
      </w:pPr>
      <w:r>
        <w:rPr>
          <w:snapToGrid w:val="0"/>
          <w:lang w:val="en-GB"/>
        </w:rPr>
        <w:t xml:space="preserve">The PBAC noted that the </w:t>
      </w:r>
      <w:r w:rsidR="00DA605F">
        <w:rPr>
          <w:snapToGrid w:val="0"/>
          <w:lang w:val="en-GB"/>
        </w:rPr>
        <w:t>main</w:t>
      </w:r>
      <w:r>
        <w:rPr>
          <w:snapToGrid w:val="0"/>
          <w:lang w:val="en-GB"/>
        </w:rPr>
        <w:t xml:space="preserve"> evidence for atezolizumab was based on the </w:t>
      </w:r>
      <w:r w:rsidR="001331EC">
        <w:rPr>
          <w:snapToGrid w:val="0"/>
          <w:lang w:val="en-GB"/>
        </w:rPr>
        <w:t>second interim analysis (</w:t>
      </w:r>
      <w:r>
        <w:rPr>
          <w:snapToGrid w:val="0"/>
          <w:lang w:val="en-GB"/>
        </w:rPr>
        <w:t>January 2019 cut-off</w:t>
      </w:r>
      <w:r w:rsidR="001331EC">
        <w:rPr>
          <w:snapToGrid w:val="0"/>
          <w:lang w:val="en-GB"/>
        </w:rPr>
        <w:t>)</w:t>
      </w:r>
      <w:r>
        <w:rPr>
          <w:snapToGrid w:val="0"/>
          <w:lang w:val="en-GB"/>
        </w:rPr>
        <w:t xml:space="preserve"> of the I</w:t>
      </w:r>
      <w:r w:rsidR="00124F87">
        <w:rPr>
          <w:snapToGrid w:val="0"/>
          <w:lang w:val="en-GB"/>
        </w:rPr>
        <w:t>M</w:t>
      </w:r>
      <w:r>
        <w:rPr>
          <w:snapToGrid w:val="0"/>
          <w:lang w:val="en-GB"/>
        </w:rPr>
        <w:t>passion130 trial, whe</w:t>
      </w:r>
      <w:r w:rsidR="001D4D2E">
        <w:rPr>
          <w:snapToGrid w:val="0"/>
          <w:lang w:val="en-GB"/>
        </w:rPr>
        <w:t xml:space="preserve">re the median </w:t>
      </w:r>
      <w:r w:rsidR="00DA605F">
        <w:rPr>
          <w:snapToGrid w:val="0"/>
          <w:lang w:val="en-GB"/>
        </w:rPr>
        <w:t xml:space="preserve">duration of </w:t>
      </w:r>
      <w:r w:rsidR="001D4D2E">
        <w:rPr>
          <w:snapToGrid w:val="0"/>
          <w:lang w:val="en-GB"/>
        </w:rPr>
        <w:t>follow-up was 18</w:t>
      </w:r>
      <w:r>
        <w:rPr>
          <w:snapToGrid w:val="0"/>
          <w:lang w:val="en-GB"/>
        </w:rPr>
        <w:t xml:space="preserve"> months in the </w:t>
      </w:r>
      <w:r w:rsidR="001D4D2E">
        <w:rPr>
          <w:snapToGrid w:val="0"/>
          <w:lang w:val="en-GB"/>
        </w:rPr>
        <w:t>ITT</w:t>
      </w:r>
      <w:r>
        <w:rPr>
          <w:snapToGrid w:val="0"/>
          <w:lang w:val="en-GB"/>
        </w:rPr>
        <w:t xml:space="preserve"> population and 15.5 months in the PD-</w:t>
      </w:r>
      <w:r>
        <w:rPr>
          <w:snapToGrid w:val="0"/>
          <w:lang w:val="en-GB"/>
        </w:rPr>
        <w:lastRenderedPageBreak/>
        <w:t>L1</w:t>
      </w:r>
      <w:r w:rsidR="004B7914">
        <w:rPr>
          <w:snapToGrid w:val="0"/>
          <w:lang w:val="en-GB"/>
        </w:rPr>
        <w:t>-</w:t>
      </w:r>
      <w:r w:rsidR="001D4D2E">
        <w:rPr>
          <w:snapToGrid w:val="0"/>
          <w:lang w:val="en-GB"/>
        </w:rPr>
        <w:t xml:space="preserve">positive </w:t>
      </w:r>
      <w:r>
        <w:rPr>
          <w:snapToGrid w:val="0"/>
          <w:lang w:val="en-GB"/>
        </w:rPr>
        <w:t>population.</w:t>
      </w:r>
      <w:r w:rsidR="001D4D2E">
        <w:rPr>
          <w:snapToGrid w:val="0"/>
          <w:lang w:val="en-GB"/>
        </w:rPr>
        <w:t xml:space="preserve"> The PBAC noted that results from the next </w:t>
      </w:r>
      <w:r w:rsidR="00DA605F">
        <w:rPr>
          <w:snapToGrid w:val="0"/>
          <w:lang w:val="en-GB"/>
        </w:rPr>
        <w:t xml:space="preserve">data </w:t>
      </w:r>
      <w:r w:rsidR="001D4D2E">
        <w:rPr>
          <w:snapToGrid w:val="0"/>
          <w:lang w:val="en-GB"/>
        </w:rPr>
        <w:t>cut-off</w:t>
      </w:r>
      <w:r w:rsidR="00FD0BEF">
        <w:rPr>
          <w:snapToGrid w:val="0"/>
          <w:lang w:val="en-GB"/>
        </w:rPr>
        <w:t>, with more mature OS data</w:t>
      </w:r>
      <w:r w:rsidR="001D4D2E">
        <w:rPr>
          <w:snapToGrid w:val="0"/>
          <w:lang w:val="en-GB"/>
        </w:rPr>
        <w:t xml:space="preserve"> </w:t>
      </w:r>
      <w:r w:rsidR="007D0418">
        <w:rPr>
          <w:snapToGrid w:val="0"/>
          <w:lang w:val="en-GB"/>
        </w:rPr>
        <w:t xml:space="preserve">(final OS analysis) </w:t>
      </w:r>
      <w:r w:rsidR="001D4D2E">
        <w:rPr>
          <w:snapToGrid w:val="0"/>
          <w:lang w:val="en-GB"/>
        </w:rPr>
        <w:t xml:space="preserve">are </w:t>
      </w:r>
      <w:r w:rsidR="00136067">
        <w:rPr>
          <w:snapToGrid w:val="0"/>
          <w:lang w:val="en-GB"/>
        </w:rPr>
        <w:t xml:space="preserve">expected to be available later </w:t>
      </w:r>
      <w:r w:rsidR="00010E78">
        <w:rPr>
          <w:snapToGrid w:val="0"/>
          <w:lang w:val="en-GB"/>
        </w:rPr>
        <w:t>in 2020</w:t>
      </w:r>
      <w:r w:rsidR="00DA605F">
        <w:rPr>
          <w:snapToGrid w:val="0"/>
          <w:lang w:val="en-GB"/>
        </w:rPr>
        <w:t>.</w:t>
      </w:r>
    </w:p>
    <w:p w:rsidR="007E30AA" w:rsidRDefault="00575564" w:rsidP="00575564">
      <w:pPr>
        <w:pStyle w:val="ListParagraph"/>
        <w:rPr>
          <w:snapToGrid w:val="0"/>
          <w:lang w:val="en-GB"/>
        </w:rPr>
      </w:pPr>
      <w:r>
        <w:rPr>
          <w:snapToGrid w:val="0"/>
          <w:lang w:val="en-GB"/>
        </w:rPr>
        <w:t xml:space="preserve">The PBAC noted that </w:t>
      </w:r>
      <w:r w:rsidRPr="006D388C">
        <w:rPr>
          <w:color w:val="auto"/>
        </w:rPr>
        <w:t xml:space="preserve">ATZ+nab-P demonstrated a statistically significant benefit in prolonging PFS, compared with nab-P. However, the </w:t>
      </w:r>
      <w:r w:rsidR="007E30AA">
        <w:rPr>
          <w:color w:val="auto"/>
        </w:rPr>
        <w:t xml:space="preserve">PBAC considered </w:t>
      </w:r>
      <w:r w:rsidR="004E6163">
        <w:rPr>
          <w:color w:val="auto"/>
        </w:rPr>
        <w:t xml:space="preserve">that </w:t>
      </w:r>
      <w:r w:rsidR="007E30AA">
        <w:rPr>
          <w:color w:val="auto"/>
        </w:rPr>
        <w:t xml:space="preserve">the </w:t>
      </w:r>
      <w:r w:rsidR="007D0418">
        <w:rPr>
          <w:color w:val="auto"/>
        </w:rPr>
        <w:t xml:space="preserve">small </w:t>
      </w:r>
      <w:r w:rsidR="007E30AA">
        <w:rPr>
          <w:color w:val="auto"/>
        </w:rPr>
        <w:t xml:space="preserve">difference in </w:t>
      </w:r>
      <w:r w:rsidR="00377329">
        <w:rPr>
          <w:color w:val="auto"/>
        </w:rPr>
        <w:t xml:space="preserve">median </w:t>
      </w:r>
      <w:r w:rsidR="007E30AA">
        <w:rPr>
          <w:color w:val="auto"/>
        </w:rPr>
        <w:t xml:space="preserve">PFS </w:t>
      </w:r>
      <w:r w:rsidR="00FD0BEF">
        <w:rPr>
          <w:color w:val="auto"/>
        </w:rPr>
        <w:t xml:space="preserve">of </w:t>
      </w:r>
      <w:r w:rsidRPr="006D388C">
        <w:rPr>
          <w:color w:val="auto"/>
        </w:rPr>
        <w:t>2</w:t>
      </w:r>
      <w:r w:rsidR="007E30AA">
        <w:rPr>
          <w:color w:val="auto"/>
        </w:rPr>
        <w:t>.2</w:t>
      </w:r>
      <w:r w:rsidRPr="006D388C">
        <w:rPr>
          <w:color w:val="auto"/>
        </w:rPr>
        <w:t xml:space="preserve"> months</w:t>
      </w:r>
      <w:r w:rsidR="007E30AA">
        <w:rPr>
          <w:color w:val="auto"/>
        </w:rPr>
        <w:t xml:space="preserve"> for the PD-L1 population</w:t>
      </w:r>
      <w:r>
        <w:rPr>
          <w:snapToGrid w:val="0"/>
          <w:lang w:val="en-GB"/>
        </w:rPr>
        <w:t xml:space="preserve"> </w:t>
      </w:r>
      <w:r w:rsidR="004E6163">
        <w:rPr>
          <w:snapToGrid w:val="0"/>
          <w:lang w:val="en-GB"/>
        </w:rPr>
        <w:t xml:space="preserve">was </w:t>
      </w:r>
      <w:r w:rsidR="007E30AA">
        <w:rPr>
          <w:snapToGrid w:val="0"/>
          <w:lang w:val="en-GB"/>
        </w:rPr>
        <w:t xml:space="preserve">of </w:t>
      </w:r>
      <w:r w:rsidR="00591635">
        <w:rPr>
          <w:snapToGrid w:val="0"/>
          <w:lang w:val="en-GB"/>
        </w:rPr>
        <w:t xml:space="preserve">unclear </w:t>
      </w:r>
      <w:r w:rsidR="00DA605F">
        <w:rPr>
          <w:snapToGrid w:val="0"/>
          <w:lang w:val="en-GB"/>
        </w:rPr>
        <w:t>clinical significance.</w:t>
      </w:r>
    </w:p>
    <w:p w:rsidR="00086398" w:rsidRDefault="00BE69E1" w:rsidP="00575564">
      <w:pPr>
        <w:pStyle w:val="ListParagraph"/>
        <w:rPr>
          <w:snapToGrid w:val="0"/>
          <w:lang w:val="en-GB"/>
        </w:rPr>
      </w:pPr>
      <w:r w:rsidRPr="00BE69E1">
        <w:rPr>
          <w:rFonts w:eastAsia="Times New Roman"/>
          <w:iCs/>
          <w:color w:val="auto"/>
          <w:szCs w:val="24"/>
        </w:rPr>
        <w:t>The hierarchical design of the key trial meant that, because there was a non-statistically significant OS result in the ITT population, formal testing of OS for the PD-L1</w:t>
      </w:r>
      <w:r w:rsidR="004B7914">
        <w:rPr>
          <w:rFonts w:eastAsia="Times New Roman"/>
          <w:iCs/>
          <w:color w:val="auto"/>
          <w:szCs w:val="24"/>
        </w:rPr>
        <w:t>-</w:t>
      </w:r>
      <w:r w:rsidRPr="00BE69E1">
        <w:rPr>
          <w:rFonts w:eastAsia="Times New Roman"/>
          <w:iCs/>
          <w:color w:val="auto"/>
          <w:szCs w:val="24"/>
        </w:rPr>
        <w:t xml:space="preserve">positive subgroup could not be performed whilst controlling type I error (α) at the nominal level. </w:t>
      </w:r>
      <w:r w:rsidR="00CF4FE3" w:rsidRPr="00BE69E1">
        <w:rPr>
          <w:snapToGrid w:val="0"/>
          <w:lang w:val="en-GB"/>
        </w:rPr>
        <w:t>The</w:t>
      </w:r>
      <w:r w:rsidR="00CF4FE3">
        <w:rPr>
          <w:snapToGrid w:val="0"/>
          <w:lang w:val="en-GB"/>
        </w:rPr>
        <w:t xml:space="preserve"> PBAC considered that</w:t>
      </w:r>
      <w:r w:rsidR="007E30AA">
        <w:rPr>
          <w:snapToGrid w:val="0"/>
          <w:lang w:val="en-GB"/>
        </w:rPr>
        <w:t>, as a result,</w:t>
      </w:r>
      <w:r w:rsidR="00CF4FE3">
        <w:rPr>
          <w:snapToGrid w:val="0"/>
          <w:lang w:val="en-GB"/>
        </w:rPr>
        <w:t xml:space="preserve"> the claim of </w:t>
      </w:r>
      <w:r w:rsidR="00AE3F1D">
        <w:rPr>
          <w:snapToGrid w:val="0"/>
          <w:lang w:val="en-GB"/>
        </w:rPr>
        <w:t>a survival benefit</w:t>
      </w:r>
      <w:r w:rsidR="00CF4FE3">
        <w:rPr>
          <w:snapToGrid w:val="0"/>
          <w:lang w:val="en-GB"/>
        </w:rPr>
        <w:t xml:space="preserve"> for </w:t>
      </w:r>
      <w:r w:rsidR="00575564">
        <w:rPr>
          <w:snapToGrid w:val="0"/>
          <w:lang w:val="en-GB"/>
        </w:rPr>
        <w:t>ATZ</w:t>
      </w:r>
      <w:r w:rsidR="00FD0BEF">
        <w:rPr>
          <w:snapToGrid w:val="0"/>
          <w:lang w:val="en-GB"/>
        </w:rPr>
        <w:t>+</w:t>
      </w:r>
      <w:r w:rsidR="00CF4FE3">
        <w:rPr>
          <w:snapToGrid w:val="0"/>
          <w:lang w:val="en-GB"/>
        </w:rPr>
        <w:t>nab-P compared with nab</w:t>
      </w:r>
      <w:r w:rsidR="00CF4FE3">
        <w:rPr>
          <w:snapToGrid w:val="0"/>
          <w:lang w:val="en-GB"/>
        </w:rPr>
        <w:noBreakHyphen/>
        <w:t>P was plausible, but not robust</w:t>
      </w:r>
      <w:r w:rsidR="00DA605F">
        <w:rPr>
          <w:snapToGrid w:val="0"/>
          <w:lang w:val="en-GB"/>
        </w:rPr>
        <w:t>,</w:t>
      </w:r>
      <w:r w:rsidR="00370CD7">
        <w:rPr>
          <w:snapToGrid w:val="0"/>
          <w:lang w:val="en-GB"/>
        </w:rPr>
        <w:t xml:space="preserve"> and consequently the magnitude of any OS gain was uncertain</w:t>
      </w:r>
      <w:r w:rsidR="00CF4FE3">
        <w:rPr>
          <w:snapToGrid w:val="0"/>
          <w:lang w:val="en-GB"/>
        </w:rPr>
        <w:t>.</w:t>
      </w:r>
      <w:r w:rsidR="000A1FBE">
        <w:rPr>
          <w:snapToGrid w:val="0"/>
          <w:lang w:val="en-GB"/>
        </w:rPr>
        <w:t xml:space="preserve"> </w:t>
      </w:r>
      <w:r w:rsidR="00FD0BEF">
        <w:rPr>
          <w:snapToGrid w:val="0"/>
          <w:lang w:val="en-GB"/>
        </w:rPr>
        <w:t xml:space="preserve">The PBAC considered that more mature OS data may provide </w:t>
      </w:r>
      <w:r w:rsidR="00DA605F">
        <w:rPr>
          <w:snapToGrid w:val="0"/>
          <w:lang w:val="en-GB"/>
        </w:rPr>
        <w:t xml:space="preserve">more </w:t>
      </w:r>
      <w:r w:rsidR="00FD0BEF">
        <w:rPr>
          <w:snapToGrid w:val="0"/>
          <w:lang w:val="en-GB"/>
        </w:rPr>
        <w:t xml:space="preserve">confidence </w:t>
      </w:r>
      <w:r w:rsidR="00AD37C7">
        <w:rPr>
          <w:snapToGrid w:val="0"/>
          <w:lang w:val="en-GB"/>
        </w:rPr>
        <w:t>regarding</w:t>
      </w:r>
      <w:r w:rsidR="00FD0BEF">
        <w:rPr>
          <w:snapToGrid w:val="0"/>
          <w:lang w:val="en-GB"/>
        </w:rPr>
        <w:t xml:space="preserve"> the </w:t>
      </w:r>
      <w:r w:rsidR="00AD37C7">
        <w:rPr>
          <w:snapToGrid w:val="0"/>
          <w:lang w:val="en-GB"/>
        </w:rPr>
        <w:t xml:space="preserve">magnitude of </w:t>
      </w:r>
      <w:r w:rsidR="00C435E1">
        <w:rPr>
          <w:snapToGrid w:val="0"/>
          <w:lang w:val="en-GB"/>
        </w:rPr>
        <w:t>any OS</w:t>
      </w:r>
      <w:r w:rsidR="00AD37C7">
        <w:rPr>
          <w:snapToGrid w:val="0"/>
          <w:lang w:val="en-GB"/>
        </w:rPr>
        <w:t xml:space="preserve"> </w:t>
      </w:r>
      <w:r w:rsidR="00FD0BEF">
        <w:rPr>
          <w:snapToGrid w:val="0"/>
          <w:lang w:val="en-GB"/>
        </w:rPr>
        <w:t>benefit.</w:t>
      </w:r>
    </w:p>
    <w:p w:rsidR="0067368F" w:rsidRPr="00DA605F" w:rsidRDefault="0067368F" w:rsidP="0067368F">
      <w:pPr>
        <w:pStyle w:val="ListParagraph"/>
      </w:pPr>
      <w:r>
        <w:t xml:space="preserve">The PBAC noted that there was evidence </w:t>
      </w:r>
      <w:r w:rsidR="00DA605F">
        <w:t>suggesting</w:t>
      </w:r>
      <w:r>
        <w:t xml:space="preserve"> a difference in OS between PD-L1</w:t>
      </w:r>
      <w:r w:rsidR="004B7914">
        <w:t>-</w:t>
      </w:r>
      <w:r>
        <w:t>positive and PD-L1</w:t>
      </w:r>
      <w:r w:rsidR="004B7914">
        <w:t>-</w:t>
      </w:r>
      <w:r>
        <w:t>negative patients receiving nab-P monotherapy, favouring patients with no PD-L1 expression on IC. The PBAC agreed with the ESC</w:t>
      </w:r>
      <w:r w:rsidR="00377329">
        <w:t>s</w:t>
      </w:r>
      <w:r>
        <w:t xml:space="preserve"> that this difference contributes to the variation in hazard ratios across the two arms in the I</w:t>
      </w:r>
      <w:r w:rsidR="00591635">
        <w:t>M</w:t>
      </w:r>
      <w:r>
        <w:t>passion130 trial, and thus to the related tests for interaction. The PBAC considered there is some evidence that PD-L1 status may predict variation in the treatment effect of atezolizumab, but the evidence for this is uncertain.</w:t>
      </w:r>
    </w:p>
    <w:p w:rsidR="00086398" w:rsidRPr="00086398" w:rsidRDefault="00A84AA3" w:rsidP="00B7254A">
      <w:pPr>
        <w:pStyle w:val="ListParagraph"/>
        <w:rPr>
          <w:snapToGrid w:val="0"/>
          <w:lang w:val="en-GB"/>
        </w:rPr>
      </w:pPr>
      <w:r w:rsidRPr="00086398">
        <w:rPr>
          <w:iCs/>
          <w:lang w:val="en-US"/>
        </w:rPr>
        <w:t xml:space="preserve">The PBAC noted that the Australian population who would be </w:t>
      </w:r>
      <w:r w:rsidR="00591635">
        <w:rPr>
          <w:iCs/>
          <w:lang w:val="en-US"/>
        </w:rPr>
        <w:t>appropriate</w:t>
      </w:r>
      <w:r w:rsidR="00591635" w:rsidRPr="00086398">
        <w:rPr>
          <w:iCs/>
          <w:lang w:val="en-US"/>
        </w:rPr>
        <w:t xml:space="preserve"> </w:t>
      </w:r>
      <w:r w:rsidRPr="00086398">
        <w:rPr>
          <w:iCs/>
          <w:lang w:val="en-US"/>
        </w:rPr>
        <w:t xml:space="preserve">for nab-P under the current guidelines </w:t>
      </w:r>
      <w:r w:rsidR="00DA605F">
        <w:rPr>
          <w:iCs/>
          <w:lang w:val="en-US"/>
        </w:rPr>
        <w:t xml:space="preserve">reflects </w:t>
      </w:r>
      <w:r w:rsidRPr="00086398">
        <w:rPr>
          <w:iCs/>
          <w:lang w:val="en-US"/>
        </w:rPr>
        <w:t>approximately 10% of the I</w:t>
      </w:r>
      <w:r w:rsidR="00591635">
        <w:rPr>
          <w:iCs/>
          <w:lang w:val="en-US"/>
        </w:rPr>
        <w:t>M</w:t>
      </w:r>
      <w:r w:rsidRPr="00086398">
        <w:rPr>
          <w:iCs/>
          <w:lang w:val="en-US"/>
        </w:rPr>
        <w:t>passion130 trial population. The PBAC considered that the limited applicability of the I</w:t>
      </w:r>
      <w:r w:rsidR="00591635">
        <w:rPr>
          <w:iCs/>
          <w:lang w:val="en-US"/>
        </w:rPr>
        <w:t>M</w:t>
      </w:r>
      <w:r w:rsidRPr="00086398">
        <w:rPr>
          <w:iCs/>
          <w:lang w:val="en-US"/>
        </w:rPr>
        <w:t>passion130 trial data to the Australian populati</w:t>
      </w:r>
      <w:r w:rsidR="00086398" w:rsidRPr="00086398">
        <w:rPr>
          <w:iCs/>
          <w:lang w:val="en-US"/>
        </w:rPr>
        <w:t xml:space="preserve">on </w:t>
      </w:r>
      <w:r w:rsidR="00CF4FE3">
        <w:rPr>
          <w:iCs/>
          <w:lang w:val="en-US"/>
        </w:rPr>
        <w:t>made the comparison difficult to interpret</w:t>
      </w:r>
      <w:r w:rsidRPr="00086398">
        <w:rPr>
          <w:iCs/>
          <w:lang w:val="en-US"/>
        </w:rPr>
        <w:t xml:space="preserve">. </w:t>
      </w:r>
      <w:r w:rsidR="00575564">
        <w:rPr>
          <w:iCs/>
          <w:lang w:val="en-US"/>
        </w:rPr>
        <w:t>The PBAC also considered that</w:t>
      </w:r>
      <w:r w:rsidR="00DA605F">
        <w:rPr>
          <w:iCs/>
          <w:lang w:val="en-US"/>
        </w:rPr>
        <w:t>,</w:t>
      </w:r>
      <w:r w:rsidR="00575564">
        <w:rPr>
          <w:iCs/>
          <w:lang w:val="en-US"/>
        </w:rPr>
        <w:t xml:space="preserve"> a</w:t>
      </w:r>
      <w:r w:rsidR="00575564" w:rsidRPr="00575564">
        <w:rPr>
          <w:iCs/>
          <w:lang w:val="en-US"/>
        </w:rPr>
        <w:t xml:space="preserve">s nab-P monotherapy is likely to be an inferior treatment for the majority of patients in the comparator arm of the key trial, the treatment effect of ATZ+nab-P is likely to be overestimated relative to </w:t>
      </w:r>
      <w:r w:rsidR="00CE6A6D">
        <w:rPr>
          <w:iCs/>
          <w:lang w:val="en-US"/>
        </w:rPr>
        <w:t xml:space="preserve">current </w:t>
      </w:r>
      <w:r w:rsidR="00575564" w:rsidRPr="00575564">
        <w:rPr>
          <w:iCs/>
          <w:lang w:val="en-US"/>
        </w:rPr>
        <w:t>clinical practice.</w:t>
      </w:r>
    </w:p>
    <w:p w:rsidR="008B4136" w:rsidRPr="008B4136" w:rsidRDefault="008B4136" w:rsidP="00AD645F">
      <w:pPr>
        <w:pStyle w:val="ListParagraph"/>
        <w:rPr>
          <w:snapToGrid w:val="0"/>
          <w:lang w:val="en-GB"/>
        </w:rPr>
      </w:pPr>
      <w:r>
        <w:rPr>
          <w:snapToGrid w:val="0"/>
          <w:lang w:val="en-GB"/>
        </w:rPr>
        <w:t>T</w:t>
      </w:r>
      <w:r w:rsidR="00575564">
        <w:rPr>
          <w:snapToGrid w:val="0"/>
          <w:lang w:val="en-GB"/>
        </w:rPr>
        <w:t xml:space="preserve">he PBAC considered that the </w:t>
      </w:r>
      <w:r>
        <w:rPr>
          <w:snapToGrid w:val="0"/>
          <w:lang w:val="en-GB"/>
        </w:rPr>
        <w:t xml:space="preserve">clinical claim of superior </w:t>
      </w:r>
      <w:r>
        <w:rPr>
          <w:color w:val="auto"/>
        </w:rPr>
        <w:t xml:space="preserve">effectiveness compared with nab-P alone in the </w:t>
      </w:r>
      <w:r w:rsidR="004E6163">
        <w:rPr>
          <w:color w:val="auto"/>
        </w:rPr>
        <w:t>requested population</w:t>
      </w:r>
      <w:r>
        <w:rPr>
          <w:color w:val="auto"/>
        </w:rPr>
        <w:t xml:space="preserve"> was not adequately supported by the clinical evidence as the difference in PFS may not be clinically meaning</w:t>
      </w:r>
      <w:r w:rsidR="000A1FBE">
        <w:rPr>
          <w:color w:val="auto"/>
        </w:rPr>
        <w:t>ful</w:t>
      </w:r>
      <w:r w:rsidR="00D90F7C">
        <w:rPr>
          <w:color w:val="auto"/>
        </w:rPr>
        <w:t xml:space="preserve">, </w:t>
      </w:r>
      <w:r>
        <w:rPr>
          <w:color w:val="auto"/>
        </w:rPr>
        <w:t xml:space="preserve">the OS benefit was </w:t>
      </w:r>
      <w:r w:rsidR="00D90F7C">
        <w:rPr>
          <w:color w:val="auto"/>
        </w:rPr>
        <w:t>not robust</w:t>
      </w:r>
      <w:r>
        <w:rPr>
          <w:color w:val="auto"/>
        </w:rPr>
        <w:t xml:space="preserve"> as formal statistical testing could not be conducted, </w:t>
      </w:r>
      <w:r w:rsidR="000A1FBE">
        <w:rPr>
          <w:color w:val="auto"/>
        </w:rPr>
        <w:t>there was uncertainty regarding the test for interaction with PD-L1</w:t>
      </w:r>
      <w:r w:rsidR="009E05FF">
        <w:rPr>
          <w:color w:val="auto"/>
        </w:rPr>
        <w:t xml:space="preserve"> status</w:t>
      </w:r>
      <w:r w:rsidR="000A1FBE">
        <w:rPr>
          <w:color w:val="auto"/>
        </w:rPr>
        <w:t xml:space="preserve">, </w:t>
      </w:r>
      <w:r w:rsidR="00D90F7C">
        <w:rPr>
          <w:color w:val="auto"/>
        </w:rPr>
        <w:t>nab-P was</w:t>
      </w:r>
      <w:r w:rsidR="000A1FBE">
        <w:rPr>
          <w:color w:val="auto"/>
        </w:rPr>
        <w:t xml:space="preserve"> a potentially inferior comparator in many patients </w:t>
      </w:r>
      <w:r w:rsidR="002C1079">
        <w:rPr>
          <w:color w:val="auto"/>
        </w:rPr>
        <w:t xml:space="preserve">in IMpassion130 </w:t>
      </w:r>
      <w:r w:rsidR="000A1FBE">
        <w:rPr>
          <w:color w:val="auto"/>
        </w:rPr>
        <w:t xml:space="preserve">and </w:t>
      </w:r>
      <w:r w:rsidR="004E6163">
        <w:rPr>
          <w:color w:val="auto"/>
        </w:rPr>
        <w:t xml:space="preserve">the </w:t>
      </w:r>
      <w:r w:rsidR="000A1FBE">
        <w:rPr>
          <w:color w:val="auto"/>
        </w:rPr>
        <w:t xml:space="preserve">applicability of the trial to Australian </w:t>
      </w:r>
      <w:r w:rsidR="00CE6A6D">
        <w:rPr>
          <w:color w:val="auto"/>
        </w:rPr>
        <w:t xml:space="preserve">current </w:t>
      </w:r>
      <w:r w:rsidR="000A1FBE">
        <w:rPr>
          <w:color w:val="auto"/>
        </w:rPr>
        <w:t>clinical practice</w:t>
      </w:r>
      <w:r w:rsidR="00D90F7C">
        <w:rPr>
          <w:color w:val="auto"/>
        </w:rPr>
        <w:t xml:space="preserve"> was limited</w:t>
      </w:r>
      <w:r w:rsidR="00CE6A6D">
        <w:rPr>
          <w:color w:val="auto"/>
        </w:rPr>
        <w:t>.</w:t>
      </w:r>
    </w:p>
    <w:p w:rsidR="0045743C" w:rsidRPr="00EC7602" w:rsidRDefault="00D90F7C" w:rsidP="00AD645F">
      <w:pPr>
        <w:pStyle w:val="ListParagraph"/>
        <w:rPr>
          <w:color w:val="auto"/>
        </w:rPr>
      </w:pPr>
      <w:r>
        <w:rPr>
          <w:color w:val="auto"/>
        </w:rPr>
        <w:t xml:space="preserve">The PBAC considered that the claim of </w:t>
      </w:r>
      <w:r w:rsidR="008B4136">
        <w:rPr>
          <w:color w:val="auto"/>
        </w:rPr>
        <w:t>inferior but clinically manageable safety compared to nab-paclitaxel alone</w:t>
      </w:r>
      <w:r>
        <w:rPr>
          <w:color w:val="auto"/>
        </w:rPr>
        <w:t xml:space="preserve"> was reasonable</w:t>
      </w:r>
      <w:r w:rsidR="008B4136">
        <w:rPr>
          <w:color w:val="auto"/>
        </w:rPr>
        <w:t>.</w:t>
      </w:r>
    </w:p>
    <w:p w:rsidR="004E6163" w:rsidRPr="007F3037" w:rsidRDefault="004E6163" w:rsidP="00801135">
      <w:pPr>
        <w:pStyle w:val="ListParagraph"/>
      </w:pPr>
      <w:r w:rsidRPr="006E7022">
        <w:t xml:space="preserve">The submission used different parametric functions to extrapolate OS in the proposed scenario </w:t>
      </w:r>
      <w:r>
        <w:t xml:space="preserve">(log-logistic function) </w:t>
      </w:r>
      <w:r w:rsidR="00877942">
        <w:t>versus</w:t>
      </w:r>
      <w:r w:rsidRPr="006E7022">
        <w:t xml:space="preserve"> the current scenario</w:t>
      </w:r>
      <w:r>
        <w:t xml:space="preserve"> (Weibull function</w:t>
      </w:r>
      <w:r w:rsidR="009B72CC">
        <w:t>)</w:t>
      </w:r>
      <w:r w:rsidRPr="006E7022">
        <w:t xml:space="preserve">. </w:t>
      </w:r>
      <w:r>
        <w:t xml:space="preserve">The pre-PBAC response </w:t>
      </w:r>
      <w:r w:rsidR="009E05FF">
        <w:t xml:space="preserve">acknowledged that it was inappropriate to </w:t>
      </w:r>
      <w:r w:rsidR="000B5F65">
        <w:t>use a different</w:t>
      </w:r>
      <w:r w:rsidR="009E05FF">
        <w:t xml:space="preserve"> parametric </w:t>
      </w:r>
      <w:r w:rsidR="009E05FF">
        <w:lastRenderedPageBreak/>
        <w:t xml:space="preserve">function for </w:t>
      </w:r>
      <w:r w:rsidR="009E05FF" w:rsidRPr="00EC7602">
        <w:t>PD</w:t>
      </w:r>
      <w:r w:rsidR="009E05FF" w:rsidRPr="00EC7602">
        <w:noBreakHyphen/>
        <w:t>L1</w:t>
      </w:r>
      <w:r w:rsidR="000B5F65">
        <w:t xml:space="preserve"> </w:t>
      </w:r>
      <w:r w:rsidR="009E05FF">
        <w:t>negative patients who do not receive ATZ+nab-P in the proposed scenario.</w:t>
      </w:r>
      <w:r w:rsidR="00A56C01">
        <w:t xml:space="preserve"> T</w:t>
      </w:r>
      <w:r w:rsidR="009E05FF">
        <w:t>he pre-PBAC response</w:t>
      </w:r>
      <w:r w:rsidR="00A56C01">
        <w:t xml:space="preserve"> also</w:t>
      </w:r>
      <w:r w:rsidR="009E05FF">
        <w:t xml:space="preserve"> </w:t>
      </w:r>
      <w:r>
        <w:t xml:space="preserve">argued that </w:t>
      </w:r>
      <w:r w:rsidRPr="00EC7602">
        <w:t>the log-logistic function is app</w:t>
      </w:r>
      <w:r w:rsidR="00D42EED">
        <w:t>ropriate to extrapolate OS for</w:t>
      </w:r>
      <w:r w:rsidRPr="00EC7602">
        <w:t xml:space="preserve"> t</w:t>
      </w:r>
      <w:r w:rsidR="00D42EED">
        <w:t>rue</w:t>
      </w:r>
      <w:r w:rsidRPr="00EC7602">
        <w:t xml:space="preserve"> PD</w:t>
      </w:r>
      <w:r w:rsidRPr="00EC7602">
        <w:noBreakHyphen/>
        <w:t>L1</w:t>
      </w:r>
      <w:r w:rsidR="004B7914">
        <w:t>-</w:t>
      </w:r>
      <w:r w:rsidRPr="00EC7602">
        <w:t>positive p</w:t>
      </w:r>
      <w:r w:rsidR="00D42EED">
        <w:t>atients</w:t>
      </w:r>
      <w:r w:rsidRPr="00EC7602">
        <w:t xml:space="preserve"> </w:t>
      </w:r>
      <w:r w:rsidR="009B72CC">
        <w:t>who</w:t>
      </w:r>
      <w:r w:rsidRPr="00EC7602">
        <w:t xml:space="preserve"> </w:t>
      </w:r>
      <w:r w:rsidR="009E05FF">
        <w:t xml:space="preserve">do </w:t>
      </w:r>
      <w:r w:rsidRPr="00EC7602">
        <w:t xml:space="preserve">receive </w:t>
      </w:r>
      <w:r>
        <w:t>ATZ+nab-P and “t</w:t>
      </w:r>
      <w:r>
        <w:rPr>
          <w:rFonts w:ascii="Calibri" w:eastAsia="Times New Roman" w:hAnsi="Calibri" w:cs="Calibri"/>
          <w:color w:val="000000"/>
        </w:rPr>
        <w:t>he potential for ongoing and durable response is further supported by clinical data from other immunotherapy trials and is consistent with expectations of clinicians who are experts in this field”</w:t>
      </w:r>
      <w:r>
        <w:t xml:space="preserve">. </w:t>
      </w:r>
      <w:r w:rsidR="00877942">
        <w:t xml:space="preserve">However, the PBAC considered that the use of different parametric functions </w:t>
      </w:r>
      <w:r w:rsidR="00FE3B8B">
        <w:t xml:space="preserve">between arms </w:t>
      </w:r>
      <w:r w:rsidR="007571C5">
        <w:t xml:space="preserve">to extrapolate OS </w:t>
      </w:r>
      <w:r w:rsidR="00877942">
        <w:t xml:space="preserve">was not adequately justified and </w:t>
      </w:r>
      <w:r w:rsidR="00877942" w:rsidRPr="00C02007">
        <w:rPr>
          <w:color w:val="auto"/>
        </w:rPr>
        <w:t xml:space="preserve">resulted in an </w:t>
      </w:r>
      <w:r w:rsidR="009E05FF">
        <w:rPr>
          <w:color w:val="auto"/>
        </w:rPr>
        <w:t xml:space="preserve">extrapolated </w:t>
      </w:r>
      <w:r w:rsidR="00877942" w:rsidRPr="00C02007">
        <w:rPr>
          <w:color w:val="auto"/>
        </w:rPr>
        <w:t>OS advantage</w:t>
      </w:r>
      <w:r w:rsidR="00877942">
        <w:rPr>
          <w:color w:val="auto"/>
        </w:rPr>
        <w:t xml:space="preserve"> that was not supported by the clinical trial data</w:t>
      </w:r>
      <w:r w:rsidR="007571C5">
        <w:rPr>
          <w:color w:val="auto"/>
        </w:rPr>
        <w:t xml:space="preserve"> (noting the magnitude of any OS gains were uncertain given the OS gain observed in the trial w</w:t>
      </w:r>
      <w:r w:rsidR="00801135">
        <w:rPr>
          <w:color w:val="auto"/>
        </w:rPr>
        <w:t>as</w:t>
      </w:r>
      <w:r w:rsidR="007571C5">
        <w:rPr>
          <w:color w:val="auto"/>
        </w:rPr>
        <w:t xml:space="preserve"> not statistically significant when adjusted for multiplicity and w</w:t>
      </w:r>
      <w:r w:rsidR="00801135">
        <w:rPr>
          <w:color w:val="auto"/>
        </w:rPr>
        <w:t>as</w:t>
      </w:r>
      <w:r w:rsidR="007571C5">
        <w:rPr>
          <w:color w:val="auto"/>
        </w:rPr>
        <w:t xml:space="preserve"> likely overestimated due to the use of a sub-optimal comparator)</w:t>
      </w:r>
      <w:r w:rsidR="00877942">
        <w:t xml:space="preserve">. The PBAC considered that </w:t>
      </w:r>
      <w:r w:rsidR="00010E78">
        <w:t xml:space="preserve">using </w:t>
      </w:r>
      <w:r w:rsidR="00877942">
        <w:t>the Weibull function</w:t>
      </w:r>
      <w:r w:rsidR="007571C5">
        <w:t xml:space="preserve"> (in all arms) </w:t>
      </w:r>
      <w:r w:rsidR="00877942">
        <w:t xml:space="preserve">resulted in OS estimates that were more clinically plausible. </w:t>
      </w:r>
      <w:r>
        <w:t xml:space="preserve">The PBAC noted </w:t>
      </w:r>
      <w:r w:rsidR="009B72CC">
        <w:t xml:space="preserve">this would increase the ICER from </w:t>
      </w:r>
      <w:r w:rsidR="009B72CC" w:rsidRPr="006E7022">
        <w:t>$</w:t>
      </w:r>
      <w:r w:rsidR="00EE2BDD">
        <w:t>55,000 to &lt;</w:t>
      </w:r>
      <w:r w:rsidR="001951F5">
        <w:t> </w:t>
      </w:r>
      <w:r w:rsidR="00EE2BDD">
        <w:t>$75,000</w:t>
      </w:r>
      <w:r w:rsidR="009B72CC" w:rsidRPr="006E7022">
        <w:t>/QALY</w:t>
      </w:r>
      <w:r w:rsidRPr="006E7022">
        <w:t xml:space="preserve"> to $</w:t>
      </w:r>
      <w:r w:rsidR="00EE2BDD">
        <w:t>155,000 &lt;</w:t>
      </w:r>
      <w:r w:rsidR="001951F5">
        <w:t> </w:t>
      </w:r>
      <w:r w:rsidR="00EE2BDD">
        <w:t>$255,000</w:t>
      </w:r>
      <w:r w:rsidRPr="006E7022">
        <w:t>/QALY</w:t>
      </w:r>
      <w:r w:rsidR="009B72CC">
        <w:t xml:space="preserve"> (using the submission’s</w:t>
      </w:r>
      <w:r w:rsidRPr="006E7022">
        <w:t xml:space="preserve"> base case</w:t>
      </w:r>
      <w:r w:rsidR="00D42EED">
        <w:t>)</w:t>
      </w:r>
      <w:r w:rsidRPr="006E7022">
        <w:t>.</w:t>
      </w:r>
    </w:p>
    <w:p w:rsidR="00EE6799" w:rsidRPr="00253A24" w:rsidRDefault="00EE6799" w:rsidP="00EE6799">
      <w:pPr>
        <w:pStyle w:val="ListParagraph"/>
        <w:rPr>
          <w:snapToGrid w:val="0"/>
          <w:lang w:val="en-GB"/>
        </w:rPr>
      </w:pPr>
      <w:r w:rsidRPr="003B2916">
        <w:rPr>
          <w:snapToGrid w:val="0"/>
          <w:lang w:val="en-GB"/>
        </w:rPr>
        <w:t xml:space="preserve">The </w:t>
      </w:r>
      <w:r>
        <w:rPr>
          <w:snapToGrid w:val="0"/>
          <w:lang w:val="en-GB"/>
        </w:rPr>
        <w:t>PBAC</w:t>
      </w:r>
      <w:r w:rsidRPr="003B2916">
        <w:rPr>
          <w:snapToGrid w:val="0"/>
          <w:lang w:val="en-GB"/>
        </w:rPr>
        <w:t xml:space="preserve"> noted that it is likely that the cost-effectiveness of ATZ+nab-P in the Australian population would differ depending on the assays used</w:t>
      </w:r>
      <w:r>
        <w:rPr>
          <w:snapToGrid w:val="0"/>
          <w:lang w:val="en-GB"/>
        </w:rPr>
        <w:t xml:space="preserve"> and considered that this would be a significant issue in terms of assessing the cost-effectiveness of atezolizumab. The PBAC requested that the MSAC consider the issues relevant to testing as </w:t>
      </w:r>
      <w:r w:rsidRPr="00253A24">
        <w:rPr>
          <w:snapToGrid w:val="0"/>
          <w:lang w:val="en-GB"/>
        </w:rPr>
        <w:t>outlined in paragraph 7.2</w:t>
      </w:r>
      <w:r w:rsidR="004B7914" w:rsidRPr="00253A24">
        <w:rPr>
          <w:snapToGrid w:val="0"/>
          <w:lang w:val="en-GB"/>
        </w:rPr>
        <w:t>.</w:t>
      </w:r>
    </w:p>
    <w:p w:rsidR="00EE6799" w:rsidRDefault="00DB0259" w:rsidP="00D05005">
      <w:pPr>
        <w:pStyle w:val="ListParagraph"/>
      </w:pPr>
      <w:r>
        <w:t xml:space="preserve">The PBAC </w:t>
      </w:r>
      <w:r w:rsidR="00243122">
        <w:t xml:space="preserve">considered </w:t>
      </w:r>
      <w:r w:rsidR="00801135">
        <w:t>that t</w:t>
      </w:r>
      <w:r w:rsidR="00EE6799">
        <w:t xml:space="preserve">he </w:t>
      </w:r>
      <w:r w:rsidR="00D05005" w:rsidRPr="00322371">
        <w:rPr>
          <w:lang w:val="en-US"/>
        </w:rPr>
        <w:t xml:space="preserve">the rationale for the approaches used to estimate utility values in the submission and </w:t>
      </w:r>
      <w:r w:rsidR="00200ACB">
        <w:rPr>
          <w:lang w:val="en-US"/>
        </w:rPr>
        <w:t xml:space="preserve">also in the </w:t>
      </w:r>
      <w:r w:rsidR="00D05005" w:rsidRPr="00322371">
        <w:rPr>
          <w:lang w:val="en-US"/>
        </w:rPr>
        <w:t>pre-PBAC response were not adequately justified</w:t>
      </w:r>
      <w:r w:rsidR="00D05005">
        <w:rPr>
          <w:lang w:val="en-US"/>
        </w:rPr>
        <w:t>. Further, the</w:t>
      </w:r>
      <w:r w:rsidR="00D05005" w:rsidDel="009E3A64">
        <w:t xml:space="preserve"> </w:t>
      </w:r>
      <w:r w:rsidR="00EE6799" w:rsidRPr="00416A2D">
        <w:rPr>
          <w:lang w:val="en-US"/>
        </w:rPr>
        <w:t xml:space="preserve">utility values </w:t>
      </w:r>
      <w:r w:rsidR="00EE6799" w:rsidRPr="00D05005">
        <w:rPr>
          <w:lang w:val="en-US"/>
        </w:rPr>
        <w:t xml:space="preserve">were not </w:t>
      </w:r>
      <w:r w:rsidR="00EE6799" w:rsidRPr="00416A2D">
        <w:rPr>
          <w:lang w:val="en-US"/>
        </w:rPr>
        <w:t>conservative compared with values that have been used in other economic evaluat</w:t>
      </w:r>
      <w:r w:rsidR="004B7914">
        <w:rPr>
          <w:lang w:val="en-US"/>
        </w:rPr>
        <w:t>ions of advanced breast cancer.</w:t>
      </w:r>
    </w:p>
    <w:p w:rsidR="00096B61" w:rsidRPr="00416A2D" w:rsidRDefault="009E3A64" w:rsidP="0000195B">
      <w:pPr>
        <w:pStyle w:val="ListParagraph"/>
        <w:rPr>
          <w:snapToGrid w:val="0"/>
          <w:lang w:val="en-GB"/>
        </w:rPr>
      </w:pPr>
      <w:r w:rsidRPr="009E3A64">
        <w:t xml:space="preserve">The </w:t>
      </w:r>
      <w:r>
        <w:t>pre-PBAC response provided a revised base case that</w:t>
      </w:r>
      <w:r w:rsidR="00801135">
        <w:t xml:space="preserve"> attempted to address many of the issues raised by the ESCs, however</w:t>
      </w:r>
      <w:r>
        <w:t xml:space="preserve"> </w:t>
      </w:r>
      <w:r w:rsidR="00D05005">
        <w:t xml:space="preserve">a </w:t>
      </w:r>
      <w:r w:rsidR="00D05005" w:rsidRPr="009E3A64">
        <w:t xml:space="preserve">significant </w:t>
      </w:r>
      <w:r w:rsidR="00D05005">
        <w:t xml:space="preserve">number of </w:t>
      </w:r>
      <w:r w:rsidR="00D05005" w:rsidRPr="009E3A64">
        <w:t xml:space="preserve">changes </w:t>
      </w:r>
      <w:r w:rsidR="00D05005">
        <w:t xml:space="preserve">were made </w:t>
      </w:r>
      <w:r w:rsidR="00D05005" w:rsidRPr="009E3A64">
        <w:t>to the economic model</w:t>
      </w:r>
      <w:r w:rsidR="00D05005">
        <w:t xml:space="preserve"> which </w:t>
      </w:r>
      <w:r w:rsidR="00D05005" w:rsidRPr="009E3A64">
        <w:t xml:space="preserve">could not be </w:t>
      </w:r>
      <w:r w:rsidR="009E05FF">
        <w:t xml:space="preserve">independently verified or </w:t>
      </w:r>
      <w:r w:rsidR="00D05005" w:rsidRPr="009E3A64">
        <w:t>evaluated in the context of a pre-PBAC response</w:t>
      </w:r>
      <w:r w:rsidRPr="009E3A64">
        <w:t>.</w:t>
      </w:r>
    </w:p>
    <w:p w:rsidR="003D6B19" w:rsidRDefault="005368D5" w:rsidP="00AD645F">
      <w:pPr>
        <w:pStyle w:val="ListParagraph"/>
        <w:rPr>
          <w:snapToGrid w:val="0"/>
          <w:lang w:val="en-GB"/>
        </w:rPr>
      </w:pPr>
      <w:r>
        <w:rPr>
          <w:snapToGrid w:val="0"/>
          <w:lang w:val="en-GB"/>
        </w:rPr>
        <w:t>The PBAC noted that DUSC considered the financial estimates to be significantly underestimated</w:t>
      </w:r>
      <w:r w:rsidR="00F41B94">
        <w:rPr>
          <w:snapToGrid w:val="0"/>
          <w:lang w:val="en-GB"/>
        </w:rPr>
        <w:t xml:space="preserve">. </w:t>
      </w:r>
      <w:r w:rsidR="003D6B19">
        <w:rPr>
          <w:snapToGrid w:val="0"/>
          <w:lang w:val="en-GB"/>
        </w:rPr>
        <w:t xml:space="preserve">The PBAC </w:t>
      </w:r>
      <w:r w:rsidR="003A6250">
        <w:rPr>
          <w:snapToGrid w:val="0"/>
          <w:lang w:val="en-GB"/>
        </w:rPr>
        <w:t xml:space="preserve">noted </w:t>
      </w:r>
      <w:r w:rsidR="003D6B19">
        <w:rPr>
          <w:snapToGrid w:val="0"/>
          <w:lang w:val="en-GB"/>
        </w:rPr>
        <w:t xml:space="preserve">that </w:t>
      </w:r>
      <w:r w:rsidR="008428E6">
        <w:rPr>
          <w:snapToGrid w:val="0"/>
          <w:lang w:val="en-GB"/>
        </w:rPr>
        <w:t xml:space="preserve">any </w:t>
      </w:r>
      <w:r w:rsidR="003D6B19">
        <w:rPr>
          <w:snapToGrid w:val="0"/>
          <w:lang w:val="en-GB"/>
        </w:rPr>
        <w:t xml:space="preserve">underestimation of the number of treated patients would be conservative in the context of an RSA with </w:t>
      </w:r>
      <w:r w:rsidR="001E3F5C">
        <w:rPr>
          <w:snapToGrid w:val="0"/>
          <w:lang w:val="en-GB"/>
        </w:rPr>
        <w:t xml:space="preserve">a </w:t>
      </w:r>
      <w:r w:rsidR="00EB2224">
        <w:rPr>
          <w:noProof/>
          <w:snapToGrid w:val="0"/>
          <w:color w:val="000000"/>
          <w:highlight w:val="black"/>
          <w:lang w:val="en-GB"/>
        </w:rPr>
        <w:t>''''''''</w:t>
      </w:r>
      <w:r w:rsidR="003D6B19" w:rsidRPr="00201382">
        <w:rPr>
          <w:snapToGrid w:val="0"/>
          <w:lang w:val="en-GB"/>
        </w:rPr>
        <w:t>%</w:t>
      </w:r>
      <w:r w:rsidR="003D6B19">
        <w:rPr>
          <w:snapToGrid w:val="0"/>
          <w:lang w:val="en-GB"/>
        </w:rPr>
        <w:t xml:space="preserve"> rebate above the caps. </w:t>
      </w:r>
      <w:r w:rsidR="003A6250">
        <w:rPr>
          <w:snapToGrid w:val="0"/>
          <w:lang w:val="en-GB"/>
        </w:rPr>
        <w:t>T</w:t>
      </w:r>
      <w:r w:rsidR="001E3F5C">
        <w:rPr>
          <w:snapToGrid w:val="0"/>
          <w:lang w:val="en-GB"/>
        </w:rPr>
        <w:t xml:space="preserve">he PBAC considered that the patient numbers estimated in the </w:t>
      </w:r>
      <w:r w:rsidR="003A6250">
        <w:rPr>
          <w:snapToGrid w:val="0"/>
          <w:lang w:val="en-GB"/>
        </w:rPr>
        <w:t>pre-PBAC response</w:t>
      </w:r>
      <w:r w:rsidR="001E3F5C">
        <w:rPr>
          <w:snapToGrid w:val="0"/>
          <w:lang w:val="en-GB"/>
        </w:rPr>
        <w:t xml:space="preserve"> were more reasonable than those estimated in the </w:t>
      </w:r>
      <w:r w:rsidR="003A6250">
        <w:rPr>
          <w:snapToGrid w:val="0"/>
          <w:lang w:val="en-GB"/>
        </w:rPr>
        <w:t>submission</w:t>
      </w:r>
      <w:r w:rsidR="001E3F5C">
        <w:rPr>
          <w:snapToGrid w:val="0"/>
          <w:lang w:val="en-GB"/>
        </w:rPr>
        <w:t>.</w:t>
      </w:r>
    </w:p>
    <w:p w:rsidR="00096B61" w:rsidRPr="00096B61" w:rsidRDefault="00077519" w:rsidP="00AD645F">
      <w:pPr>
        <w:pStyle w:val="ListParagraph"/>
        <w:rPr>
          <w:snapToGrid w:val="0"/>
          <w:lang w:val="en-GB"/>
        </w:rPr>
      </w:pPr>
      <w:r>
        <w:rPr>
          <w:snapToGrid w:val="0"/>
          <w:lang w:val="en-GB"/>
        </w:rPr>
        <w:t>DUSC noted that the number of patients identified as eligible for treatment would depend on the PD-L1 testing assay and would be higher if alternative tests become available</w:t>
      </w:r>
      <w:r w:rsidR="003908B7">
        <w:rPr>
          <w:snapToGrid w:val="0"/>
          <w:lang w:val="en-GB"/>
        </w:rPr>
        <w:t xml:space="preserve">. </w:t>
      </w:r>
      <w:r w:rsidR="00096B61">
        <w:rPr>
          <w:snapToGrid w:val="0"/>
          <w:lang w:val="en-GB"/>
        </w:rPr>
        <w:t>The PBAC also noted that the proportion of PD-L1</w:t>
      </w:r>
      <w:r w:rsidR="004B7914">
        <w:rPr>
          <w:snapToGrid w:val="0"/>
          <w:lang w:val="en-GB"/>
        </w:rPr>
        <w:t>-</w:t>
      </w:r>
      <w:r w:rsidR="00096B61">
        <w:rPr>
          <w:snapToGrid w:val="0"/>
          <w:lang w:val="en-GB"/>
        </w:rPr>
        <w:t xml:space="preserve">positive patients in </w:t>
      </w:r>
      <w:r w:rsidR="00CE6A6D">
        <w:rPr>
          <w:snapToGrid w:val="0"/>
          <w:lang w:val="en-GB"/>
        </w:rPr>
        <w:t xml:space="preserve">current </w:t>
      </w:r>
      <w:r w:rsidR="00096B61">
        <w:rPr>
          <w:snapToGrid w:val="0"/>
          <w:lang w:val="en-GB"/>
        </w:rPr>
        <w:t>Australian clinical practice may differ from the trial and this would impact on t</w:t>
      </w:r>
      <w:r w:rsidR="00CE6A6D">
        <w:rPr>
          <w:snapToGrid w:val="0"/>
          <w:lang w:val="en-GB"/>
        </w:rPr>
        <w:t>he number of eligible patients.</w:t>
      </w:r>
    </w:p>
    <w:p w:rsidR="0045743C" w:rsidRPr="00620921" w:rsidRDefault="00592461" w:rsidP="00760E36">
      <w:pPr>
        <w:pStyle w:val="ListParagraph"/>
      </w:pPr>
      <w:r>
        <w:rPr>
          <w:snapToGrid w:val="0"/>
          <w:lang w:val="en-GB"/>
        </w:rPr>
        <w:t xml:space="preserve">DUSC </w:t>
      </w:r>
      <w:r w:rsidR="00F41B94">
        <w:rPr>
          <w:snapToGrid w:val="0"/>
          <w:lang w:val="en-GB"/>
        </w:rPr>
        <w:t xml:space="preserve">considered </w:t>
      </w:r>
      <w:r>
        <w:rPr>
          <w:snapToGrid w:val="0"/>
          <w:lang w:val="en-GB"/>
        </w:rPr>
        <w:t>that the number of doses of atezolizumab and nab-P were overestimated</w:t>
      </w:r>
      <w:r w:rsidR="00F41B94">
        <w:rPr>
          <w:snapToGrid w:val="0"/>
          <w:lang w:val="en-GB"/>
        </w:rPr>
        <w:t>. The pre-PBAC response proposed a</w:t>
      </w:r>
      <w:r w:rsidR="00C44E8D">
        <w:rPr>
          <w:snapToGrid w:val="0"/>
          <w:lang w:val="en-GB"/>
        </w:rPr>
        <w:t>n episode of care cap</w:t>
      </w:r>
      <w:r w:rsidR="00E23C7C">
        <w:rPr>
          <w:snapToGrid w:val="0"/>
          <w:lang w:val="en-GB"/>
        </w:rPr>
        <w:t xml:space="preserve"> </w:t>
      </w:r>
      <w:r w:rsidR="00890BE8">
        <w:rPr>
          <w:snapToGrid w:val="0"/>
          <w:lang w:val="en-GB"/>
        </w:rPr>
        <w:t>of</w:t>
      </w:r>
      <w:r w:rsidR="00F41B94">
        <w:rPr>
          <w:snapToGrid w:val="0"/>
          <w:lang w:val="en-GB"/>
        </w:rPr>
        <w:t xml:space="preserve"> </w:t>
      </w:r>
      <w:r w:rsidR="00EB2224">
        <w:rPr>
          <w:noProof/>
          <w:snapToGrid w:val="0"/>
          <w:color w:val="000000"/>
          <w:highlight w:val="black"/>
          <w:lang w:val="en-GB"/>
        </w:rPr>
        <w:t>'''''</w:t>
      </w:r>
      <w:r w:rsidR="00F41B94">
        <w:rPr>
          <w:snapToGrid w:val="0"/>
          <w:lang w:val="en-GB"/>
        </w:rPr>
        <w:t xml:space="preserve"> doses </w:t>
      </w:r>
      <w:r w:rsidR="00E23C7C">
        <w:rPr>
          <w:snapToGrid w:val="0"/>
          <w:lang w:val="en-GB"/>
        </w:rPr>
        <w:lastRenderedPageBreak/>
        <w:t xml:space="preserve">per patient treated with </w:t>
      </w:r>
      <w:r w:rsidR="00F41B94">
        <w:rPr>
          <w:snapToGrid w:val="0"/>
          <w:lang w:val="en-GB"/>
        </w:rPr>
        <w:t>atezolizumab</w:t>
      </w:r>
      <w:r w:rsidR="00890BE8">
        <w:rPr>
          <w:snapToGrid w:val="0"/>
          <w:lang w:val="en-GB"/>
        </w:rPr>
        <w:t>,</w:t>
      </w:r>
      <w:r w:rsidR="00E23C7C">
        <w:rPr>
          <w:snapToGrid w:val="0"/>
          <w:lang w:val="en-GB"/>
        </w:rPr>
        <w:t xml:space="preserve"> beyond</w:t>
      </w:r>
      <w:r w:rsidR="00890BE8">
        <w:rPr>
          <w:snapToGrid w:val="0"/>
          <w:lang w:val="en-GB"/>
        </w:rPr>
        <w:t xml:space="preserve"> which </w:t>
      </w:r>
      <w:r w:rsidR="00E23C7C">
        <w:rPr>
          <w:snapToGrid w:val="0"/>
          <w:lang w:val="en-GB"/>
        </w:rPr>
        <w:t>it would</w:t>
      </w:r>
      <w:r w:rsidR="00074BE0">
        <w:rPr>
          <w:snapToGrid w:val="0"/>
          <w:lang w:val="en-GB"/>
        </w:rPr>
        <w:t xml:space="preserve"> fully</w:t>
      </w:r>
      <w:r w:rsidR="00E23C7C">
        <w:rPr>
          <w:snapToGrid w:val="0"/>
          <w:lang w:val="en-GB"/>
        </w:rPr>
        <w:t xml:space="preserve"> rebate the cost of atezolizumab</w:t>
      </w:r>
      <w:r w:rsidR="008428E6">
        <w:rPr>
          <w:snapToGrid w:val="0"/>
          <w:lang w:val="en-GB"/>
        </w:rPr>
        <w:t xml:space="preserve"> in its </w:t>
      </w:r>
      <w:r w:rsidR="00074BE0">
        <w:rPr>
          <w:snapToGrid w:val="0"/>
          <w:lang w:val="en-GB"/>
        </w:rPr>
        <w:t xml:space="preserve">proposed </w:t>
      </w:r>
      <w:r w:rsidR="008428E6">
        <w:rPr>
          <w:snapToGrid w:val="0"/>
          <w:lang w:val="en-GB"/>
        </w:rPr>
        <w:t>RSA</w:t>
      </w:r>
      <w:r w:rsidR="00C44E8D">
        <w:rPr>
          <w:snapToGrid w:val="0"/>
          <w:lang w:val="en-GB"/>
        </w:rPr>
        <w:t>. T</w:t>
      </w:r>
      <w:r w:rsidR="00625416">
        <w:rPr>
          <w:snapToGrid w:val="0"/>
          <w:lang w:val="en-GB"/>
        </w:rPr>
        <w:t>he calculations</w:t>
      </w:r>
      <w:r w:rsidR="002321D5">
        <w:rPr>
          <w:snapToGrid w:val="0"/>
          <w:lang w:val="en-GB"/>
        </w:rPr>
        <w:t xml:space="preserve"> provided with the pre-PBAC response</w:t>
      </w:r>
      <w:r w:rsidR="00625416">
        <w:rPr>
          <w:snapToGrid w:val="0"/>
          <w:lang w:val="en-GB"/>
        </w:rPr>
        <w:t xml:space="preserve"> </w:t>
      </w:r>
      <w:r w:rsidR="002321D5">
        <w:rPr>
          <w:snapToGrid w:val="0"/>
          <w:lang w:val="en-GB"/>
        </w:rPr>
        <w:t>applied</w:t>
      </w:r>
      <w:r w:rsidR="00625416">
        <w:rPr>
          <w:snapToGrid w:val="0"/>
          <w:lang w:val="en-GB"/>
        </w:rPr>
        <w:t xml:space="preserve"> an average o</w:t>
      </w:r>
      <w:r w:rsidR="002321D5">
        <w:rPr>
          <w:snapToGrid w:val="0"/>
          <w:lang w:val="en-GB"/>
        </w:rPr>
        <w:t xml:space="preserve">f </w:t>
      </w:r>
      <w:r w:rsidR="00EB2224">
        <w:rPr>
          <w:noProof/>
          <w:snapToGrid w:val="0"/>
          <w:color w:val="000000"/>
          <w:highlight w:val="black"/>
          <w:lang w:val="en-GB"/>
        </w:rPr>
        <w:t>''''''</w:t>
      </w:r>
      <w:r w:rsidR="002321D5">
        <w:rPr>
          <w:snapToGrid w:val="0"/>
          <w:lang w:val="en-GB"/>
        </w:rPr>
        <w:t xml:space="preserve"> doses, rather than a cap of </w:t>
      </w:r>
      <w:r w:rsidR="00EB2224">
        <w:rPr>
          <w:noProof/>
          <w:snapToGrid w:val="0"/>
          <w:color w:val="000000"/>
          <w:highlight w:val="black"/>
          <w:lang w:val="en-GB"/>
        </w:rPr>
        <w:t>'''''</w:t>
      </w:r>
      <w:r w:rsidR="002321D5">
        <w:rPr>
          <w:snapToGrid w:val="0"/>
          <w:lang w:val="en-GB"/>
        </w:rPr>
        <w:t xml:space="preserve"> doses</w:t>
      </w:r>
      <w:r w:rsidR="00E23C7C">
        <w:rPr>
          <w:snapToGrid w:val="0"/>
          <w:lang w:val="en-GB"/>
        </w:rPr>
        <w:t>. T</w:t>
      </w:r>
      <w:r w:rsidR="00890BE8">
        <w:rPr>
          <w:snapToGrid w:val="0"/>
          <w:lang w:val="en-GB"/>
        </w:rPr>
        <w:t xml:space="preserve">he PBAC considered </w:t>
      </w:r>
      <w:r w:rsidR="00EB2224">
        <w:rPr>
          <w:noProof/>
          <w:snapToGrid w:val="0"/>
          <w:color w:val="000000"/>
          <w:highlight w:val="black"/>
          <w:lang w:val="en-GB"/>
        </w:rPr>
        <w:t xml:space="preserve">'''''' </w:t>
      </w:r>
      <w:r w:rsidR="002321D5">
        <w:rPr>
          <w:snapToGrid w:val="0"/>
          <w:lang w:val="en-GB"/>
        </w:rPr>
        <w:t>doses</w:t>
      </w:r>
      <w:r w:rsidR="00E23C7C">
        <w:rPr>
          <w:snapToGrid w:val="0"/>
          <w:lang w:val="en-GB"/>
        </w:rPr>
        <w:t xml:space="preserve"> </w:t>
      </w:r>
      <w:r w:rsidR="00890BE8">
        <w:rPr>
          <w:snapToGrid w:val="0"/>
          <w:lang w:val="en-GB"/>
        </w:rPr>
        <w:t>to be more reasonable than the average of 27.4 administrations assumed in the submission</w:t>
      </w:r>
      <w:r w:rsidR="00F41B94">
        <w:rPr>
          <w:snapToGrid w:val="0"/>
          <w:lang w:val="en-GB"/>
        </w:rPr>
        <w:t>.</w:t>
      </w:r>
    </w:p>
    <w:p w:rsidR="0077079B" w:rsidRPr="00760E36" w:rsidRDefault="0077079B" w:rsidP="00661EFB">
      <w:pPr>
        <w:pStyle w:val="ListParagraph"/>
      </w:pPr>
      <w:r>
        <w:rPr>
          <w:snapToGrid w:val="0"/>
          <w:lang w:val="en-GB"/>
        </w:rPr>
        <w:t>The PBAC considered that</w:t>
      </w:r>
      <w:r w:rsidR="002F6C75">
        <w:rPr>
          <w:snapToGrid w:val="0"/>
          <w:lang w:val="en-GB"/>
        </w:rPr>
        <w:t xml:space="preserve"> any resubmission </w:t>
      </w:r>
      <w:r w:rsidR="001152A3">
        <w:rPr>
          <w:snapToGrid w:val="0"/>
          <w:lang w:val="en-GB"/>
        </w:rPr>
        <w:t xml:space="preserve">would need to be a major submission and </w:t>
      </w:r>
      <w:r w:rsidR="002A1FEF">
        <w:rPr>
          <w:snapToGrid w:val="0"/>
          <w:lang w:val="en-GB"/>
        </w:rPr>
        <w:t xml:space="preserve">would need to be based on updated </w:t>
      </w:r>
      <w:r w:rsidR="00B1236C">
        <w:rPr>
          <w:snapToGrid w:val="0"/>
          <w:lang w:val="en-GB"/>
        </w:rPr>
        <w:t xml:space="preserve">clinical </w:t>
      </w:r>
      <w:r w:rsidR="002A1FEF">
        <w:rPr>
          <w:snapToGrid w:val="0"/>
          <w:lang w:val="en-GB"/>
        </w:rPr>
        <w:t xml:space="preserve">trial data. In the absence of a statistically significant OS benefit (when adjusted for multiplicity), the economic model would need to be based on conservative assumptions including </w:t>
      </w:r>
      <w:r w:rsidR="00D05005">
        <w:rPr>
          <w:snapToGrid w:val="0"/>
          <w:lang w:val="en-GB"/>
        </w:rPr>
        <w:t>regarding</w:t>
      </w:r>
      <w:r w:rsidR="002A1FEF">
        <w:rPr>
          <w:snapToGrid w:val="0"/>
          <w:lang w:val="en-GB"/>
        </w:rPr>
        <w:t xml:space="preserve"> the magnitude of any </w:t>
      </w:r>
      <w:r w:rsidR="001E3F5C">
        <w:rPr>
          <w:snapToGrid w:val="0"/>
          <w:lang w:val="en-GB"/>
        </w:rPr>
        <w:t xml:space="preserve">modelled </w:t>
      </w:r>
      <w:r w:rsidR="002A1FEF">
        <w:rPr>
          <w:snapToGrid w:val="0"/>
          <w:lang w:val="en-GB"/>
        </w:rPr>
        <w:t xml:space="preserve">OS gains. The PBAC advised that an RSA with a </w:t>
      </w:r>
      <w:r w:rsidR="00EB2224">
        <w:rPr>
          <w:noProof/>
          <w:snapToGrid w:val="0"/>
          <w:color w:val="000000"/>
          <w:highlight w:val="black"/>
          <w:lang w:val="en-GB"/>
        </w:rPr>
        <w:t>'''''''</w:t>
      </w:r>
      <w:r w:rsidR="002A1FEF" w:rsidRPr="009C4D5C">
        <w:rPr>
          <w:snapToGrid w:val="0"/>
          <w:lang w:val="en-GB"/>
        </w:rPr>
        <w:t>%</w:t>
      </w:r>
      <w:r w:rsidR="002A1FEF">
        <w:rPr>
          <w:snapToGrid w:val="0"/>
          <w:lang w:val="en-GB"/>
        </w:rPr>
        <w:t xml:space="preserve"> rebate above the </w:t>
      </w:r>
      <w:r w:rsidR="00074BE0">
        <w:rPr>
          <w:snapToGrid w:val="0"/>
          <w:lang w:val="en-GB"/>
        </w:rPr>
        <w:t xml:space="preserve">expenditure </w:t>
      </w:r>
      <w:r w:rsidR="002A1FEF">
        <w:rPr>
          <w:snapToGrid w:val="0"/>
          <w:lang w:val="en-GB"/>
        </w:rPr>
        <w:t>cap</w:t>
      </w:r>
      <w:r w:rsidR="00074BE0">
        <w:rPr>
          <w:snapToGrid w:val="0"/>
          <w:lang w:val="en-GB"/>
        </w:rPr>
        <w:t>s</w:t>
      </w:r>
      <w:r w:rsidR="002A1FEF">
        <w:rPr>
          <w:snapToGrid w:val="0"/>
          <w:lang w:val="en-GB"/>
        </w:rPr>
        <w:t xml:space="preserve"> would be required, and that this would need to be based on utilisation assumptions</w:t>
      </w:r>
      <w:r w:rsidR="008428E6">
        <w:rPr>
          <w:snapToGrid w:val="0"/>
          <w:lang w:val="en-GB"/>
        </w:rPr>
        <w:t xml:space="preserve"> which did not result in overestimates.</w:t>
      </w:r>
    </w:p>
    <w:p w:rsidR="0045743C" w:rsidRPr="00525B39" w:rsidRDefault="0045743C" w:rsidP="0045743C">
      <w:pPr>
        <w:pStyle w:val="ListParagraph"/>
        <w:rPr>
          <w:rFonts w:cs="Arial"/>
          <w:bCs/>
          <w:snapToGrid w:val="0"/>
          <w:lang w:val="en-GB"/>
        </w:rPr>
      </w:pPr>
      <w:r w:rsidRPr="00525B39">
        <w:rPr>
          <w:rFonts w:cs="Arial"/>
          <w:bCs/>
          <w:snapToGrid w:val="0"/>
          <w:lang w:val="en-GB"/>
        </w:rPr>
        <w:t>The PBAC noted that this submission is</w:t>
      </w:r>
      <w:r w:rsidR="000A690B">
        <w:rPr>
          <w:rFonts w:cs="Arial"/>
          <w:bCs/>
          <w:snapToGrid w:val="0"/>
          <w:lang w:val="en-GB"/>
        </w:rPr>
        <w:t xml:space="preserve"> </w:t>
      </w:r>
      <w:r w:rsidRPr="00525B39">
        <w:rPr>
          <w:rFonts w:cs="Arial"/>
          <w:bCs/>
          <w:snapToGrid w:val="0"/>
          <w:lang w:val="en-GB"/>
        </w:rPr>
        <w:t>eligible for an Independent Review.</w:t>
      </w:r>
    </w:p>
    <w:p w:rsidR="0045743C" w:rsidRPr="00525B39" w:rsidRDefault="0045743C" w:rsidP="0045743C">
      <w:pPr>
        <w:spacing w:before="240" w:after="0"/>
        <w:rPr>
          <w:rFonts w:cs="Arial"/>
          <w:b/>
          <w:bCs/>
          <w:snapToGrid w:val="0"/>
          <w:lang w:val="en-GB"/>
        </w:rPr>
      </w:pPr>
      <w:r w:rsidRPr="00525B39">
        <w:rPr>
          <w:rFonts w:cs="Arial"/>
          <w:b/>
          <w:bCs/>
          <w:snapToGrid w:val="0"/>
          <w:lang w:val="en-GB"/>
        </w:rPr>
        <w:t>Outcome:</w:t>
      </w:r>
    </w:p>
    <w:p w:rsidR="002E596F" w:rsidRDefault="0045743C" w:rsidP="00460B64">
      <w:pPr>
        <w:rPr>
          <w:rFonts w:cs="Arial"/>
          <w:bCs/>
          <w:snapToGrid w:val="0"/>
          <w:lang w:val="en-GB"/>
        </w:rPr>
      </w:pPr>
      <w:r w:rsidRPr="00525B39">
        <w:rPr>
          <w:rFonts w:cs="Arial"/>
          <w:bCs/>
          <w:snapToGrid w:val="0"/>
          <w:lang w:val="en-GB"/>
        </w:rPr>
        <w:t>Rejected</w:t>
      </w:r>
      <w:bookmarkEnd w:id="42"/>
      <w:bookmarkEnd w:id="43"/>
    </w:p>
    <w:p w:rsidR="00AF5DAE" w:rsidRDefault="00AF5DAE" w:rsidP="00460B64">
      <w:pPr>
        <w:rPr>
          <w:rFonts w:cs="Arial"/>
          <w:bCs/>
          <w:snapToGrid w:val="0"/>
          <w:lang w:val="en-GB"/>
        </w:rPr>
      </w:pPr>
    </w:p>
    <w:p w:rsidR="00AF5DAE" w:rsidRPr="00920A65" w:rsidRDefault="00AF5DAE" w:rsidP="00AF5DAE">
      <w:pPr>
        <w:pStyle w:val="PBACHeading1"/>
        <w:numPr>
          <w:ilvl w:val="0"/>
          <w:numId w:val="1"/>
        </w:numPr>
        <w:spacing w:before="240" w:after="120"/>
        <w:ind w:left="709" w:hanging="709"/>
        <w:jc w:val="both"/>
        <w:outlineLvl w:val="0"/>
        <w:rPr>
          <w:rFonts w:asciiTheme="minorHAnsi" w:hAnsiTheme="minorHAnsi"/>
          <w:szCs w:val="32"/>
        </w:rPr>
      </w:pPr>
      <w:r w:rsidRPr="00920A65">
        <w:rPr>
          <w:rFonts w:asciiTheme="minorHAnsi" w:hAnsiTheme="minorHAnsi"/>
          <w:szCs w:val="32"/>
        </w:rPr>
        <w:t>Context for Decision</w:t>
      </w:r>
    </w:p>
    <w:p w:rsidR="00AF5DAE" w:rsidRPr="007129F2" w:rsidRDefault="00AF5DAE" w:rsidP="00AF5DAE">
      <w:pPr>
        <w:rPr>
          <w:bCs/>
          <w:lang w:val="en-GB"/>
        </w:rPr>
      </w:pPr>
      <w:r w:rsidRPr="007129F2">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AF5DAE" w:rsidRDefault="00AF5DAE" w:rsidP="00AF5DAE">
      <w:pPr>
        <w:rPr>
          <w:rFonts w:cs="Calibri"/>
        </w:rPr>
      </w:pPr>
    </w:p>
    <w:p w:rsidR="00AF5DAE" w:rsidRPr="00920A65" w:rsidRDefault="00AF5DAE" w:rsidP="00AF5DAE">
      <w:pPr>
        <w:pStyle w:val="PBACHeading1"/>
        <w:numPr>
          <w:ilvl w:val="0"/>
          <w:numId w:val="1"/>
        </w:numPr>
        <w:spacing w:before="240" w:after="120"/>
        <w:ind w:left="709" w:hanging="709"/>
        <w:jc w:val="both"/>
        <w:outlineLvl w:val="0"/>
        <w:rPr>
          <w:rFonts w:asciiTheme="minorHAnsi" w:hAnsiTheme="minorHAnsi"/>
          <w:szCs w:val="32"/>
        </w:rPr>
      </w:pPr>
      <w:r w:rsidRPr="00920A65">
        <w:rPr>
          <w:rFonts w:asciiTheme="minorHAnsi" w:hAnsiTheme="minorHAnsi"/>
          <w:szCs w:val="32"/>
        </w:rPr>
        <w:t>Sponsor’s Comment</w:t>
      </w:r>
    </w:p>
    <w:p w:rsidR="00AF5DAE" w:rsidRPr="00460B64" w:rsidRDefault="00932D1F" w:rsidP="00460B64">
      <w:pPr>
        <w:rPr>
          <w:rFonts w:cs="Arial"/>
          <w:bCs/>
          <w:snapToGrid w:val="0"/>
          <w:lang w:val="en-GB"/>
        </w:rPr>
      </w:pPr>
      <w:r w:rsidRPr="00CC27BA">
        <w:rPr>
          <w:bCs/>
          <w:lang w:val="en-GB"/>
        </w:rPr>
        <w:t>Roche is disappointed with the outcome given the genuine unmet need for a new treatment option in patients with unresectable locally advanced or metastatic triple-negative breast cancer</w:t>
      </w:r>
      <w:r>
        <w:rPr>
          <w:bCs/>
          <w:lang w:val="en-GB"/>
        </w:rPr>
        <w:t xml:space="preserve">. </w:t>
      </w:r>
      <w:r w:rsidRPr="00CC27BA">
        <w:rPr>
          <w:bCs/>
          <w:lang w:val="en-GB"/>
        </w:rPr>
        <w:t>Roche is committed to working with the PBAC</w:t>
      </w:r>
      <w:r>
        <w:rPr>
          <w:bCs/>
          <w:lang w:val="en-GB"/>
        </w:rPr>
        <w:t xml:space="preserve"> and the Department of Health</w:t>
      </w:r>
      <w:r w:rsidRPr="00CC27BA">
        <w:rPr>
          <w:bCs/>
          <w:lang w:val="en-GB"/>
        </w:rPr>
        <w:t> to ensure that Australian patients with unresectable locally advanced or metastatic triple-negative breast cancer who are PD-L1-positive can access atezolizumab.</w:t>
      </w:r>
    </w:p>
    <w:sectPr w:rsidR="00AF5DAE" w:rsidRPr="00460B64" w:rsidSect="00460B64">
      <w:headerReference w:type="default" r:id="rId14"/>
      <w:footerReference w:type="default" r:id="rId15"/>
      <w:footnotePr>
        <w:numRestart w:val="eachSect"/>
      </w:footnotePr>
      <w:pgSz w:w="11906" w:h="16838"/>
      <w:pgMar w:top="1440" w:right="1440" w:bottom="1440" w:left="1440" w:header="1440" w:footer="144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AB0CE4" w16cid:durableId="21FE35AD"/>
  <w16cid:commentId w16cid:paraId="72132937" w16cid:durableId="21FE39B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4B2" w:rsidRDefault="005F44B2" w:rsidP="00BA3306">
      <w:pPr>
        <w:spacing w:before="0" w:after="0"/>
      </w:pPr>
      <w:r>
        <w:separator/>
      </w:r>
    </w:p>
    <w:p w:rsidR="005F44B2" w:rsidRDefault="005F44B2"/>
  </w:endnote>
  <w:endnote w:type="continuationSeparator" w:id="0">
    <w:p w:rsidR="005F44B2" w:rsidRDefault="005F44B2" w:rsidP="00BA3306">
      <w:pPr>
        <w:spacing w:before="0" w:after="0"/>
      </w:pPr>
      <w:r>
        <w:continuationSeparator/>
      </w:r>
    </w:p>
    <w:p w:rsidR="005F44B2" w:rsidRDefault="005F44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ahnschrift">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Open Sans">
    <w:altName w:val="MS Reference Sans Serif"/>
    <w:charset w:val="00"/>
    <w:family w:val="auto"/>
    <w:pitch w:val="default"/>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4B2" w:rsidRDefault="005F44B2" w:rsidP="00C317F3">
    <w:pPr>
      <w:pStyle w:val="Footer"/>
      <w:jc w:val="center"/>
      <w:rPr>
        <w:b/>
      </w:rPr>
    </w:pPr>
  </w:p>
  <w:p w:rsidR="005F44B2" w:rsidRPr="008F6F21" w:rsidRDefault="005F44B2" w:rsidP="008F6F21">
    <w:pPr>
      <w:pStyle w:val="Footer"/>
      <w:jc w:val="center"/>
      <w:rPr>
        <w:b/>
        <w:noProof/>
      </w:rPr>
    </w:pPr>
    <w:r w:rsidRPr="008F6F21">
      <w:rPr>
        <w:b/>
      </w:rPr>
      <w:fldChar w:fldCharType="begin"/>
    </w:r>
    <w:r w:rsidRPr="008F6F21">
      <w:rPr>
        <w:b/>
      </w:rPr>
      <w:instrText xml:space="preserve"> PAGE   \* MERGEFORMAT </w:instrText>
    </w:r>
    <w:r w:rsidRPr="008F6F21">
      <w:rPr>
        <w:b/>
      </w:rPr>
      <w:fldChar w:fldCharType="separate"/>
    </w:r>
    <w:r w:rsidR="00E965A4">
      <w:rPr>
        <w:b/>
        <w:noProof/>
      </w:rPr>
      <w:t>41</w:t>
    </w:r>
    <w:r w:rsidRPr="008F6F21">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4B2" w:rsidRDefault="005F44B2" w:rsidP="00BA3306">
      <w:pPr>
        <w:spacing w:before="0" w:after="0"/>
      </w:pPr>
      <w:r>
        <w:separator/>
      </w:r>
    </w:p>
    <w:p w:rsidR="005F44B2" w:rsidRDefault="005F44B2"/>
  </w:footnote>
  <w:footnote w:type="continuationSeparator" w:id="0">
    <w:p w:rsidR="005F44B2" w:rsidRDefault="005F44B2" w:rsidP="00BA3306">
      <w:pPr>
        <w:spacing w:before="0" w:after="0"/>
      </w:pPr>
      <w:r>
        <w:continuationSeparator/>
      </w:r>
    </w:p>
    <w:p w:rsidR="005F44B2" w:rsidRDefault="005F44B2"/>
  </w:footnote>
  <w:footnote w:id="1">
    <w:p w:rsidR="005F44B2" w:rsidRDefault="005F44B2">
      <w:pPr>
        <w:pStyle w:val="FootnoteText"/>
      </w:pPr>
      <w:r>
        <w:rPr>
          <w:rStyle w:val="FootnoteReference"/>
        </w:rPr>
        <w:footnoteRef/>
      </w:r>
      <w:r>
        <w:t xml:space="preserve"> </w:t>
      </w:r>
      <w:r w:rsidRPr="00F8289C">
        <w:t>METIS Healthcare Research. Tecentriq in TNBC: Quantitative Marketing Research Report</w:t>
      </w:r>
      <w:r>
        <w:t xml:space="preserve"> </w:t>
      </w:r>
      <w:r w:rsidRPr="00F8289C">
        <w:t>2019.</w:t>
      </w:r>
    </w:p>
  </w:footnote>
  <w:footnote w:id="2">
    <w:p w:rsidR="005F44B2" w:rsidRDefault="005F44B2">
      <w:pPr>
        <w:pStyle w:val="FootnoteText"/>
      </w:pPr>
      <w:r>
        <w:rPr>
          <w:rStyle w:val="FootnoteReference"/>
        </w:rPr>
        <w:footnoteRef/>
      </w:r>
      <w:r>
        <w:t xml:space="preserve"> Rugo HS et al, </w:t>
      </w:r>
      <w:r>
        <w:rPr>
          <w:rFonts w:eastAsia="Times New Roman"/>
        </w:rPr>
        <w:t>Randomized Phase III Trial of Paclitaxel Once Per Week Compared With Nanoparticle Albumin-Bound Nab-Paclitaxel Once Per Week or Ixabepilone With Bevacizumab As First-Line Chemotherapy for Locally Recurrent or Metastatic Breast Cancer: CALGB 40502/NCCTG N063H (Alliance) J Clin Oncol 2015 Jul 20;33(21):2361-9</w:t>
      </w:r>
    </w:p>
  </w:footnote>
  <w:footnote w:id="3">
    <w:p w:rsidR="005F44B2" w:rsidRDefault="005F44B2">
      <w:pPr>
        <w:pStyle w:val="FootnoteText"/>
      </w:pPr>
      <w:r>
        <w:rPr>
          <w:rStyle w:val="FootnoteReference"/>
        </w:rPr>
        <w:footnoteRef/>
      </w:r>
      <w:r>
        <w:t xml:space="preserve"> </w:t>
      </w:r>
      <w:r w:rsidRPr="004A0E21">
        <w:t>Partridge AH, Rumble RB, Carey LA, Come SE, Davidson NE, Di Leo A, et al. Chemotherapy and targeted therapy for women with human epidermal growth factor receptor 2-negative (or unknown) advanced breast cancer: American Society of Clinical Oncology Clinical Practice Guideline. J Clin Oncol. 2014 Oct 10;32(29):3307-29.</w:t>
      </w:r>
    </w:p>
  </w:footnote>
  <w:footnote w:id="4">
    <w:p w:rsidR="005F44B2" w:rsidRPr="004A0E21" w:rsidRDefault="005F44B2" w:rsidP="00A60096">
      <w:pPr>
        <w:pStyle w:val="FootnoteText"/>
        <w:jc w:val="left"/>
        <w:rPr>
          <w:b/>
        </w:rPr>
      </w:pPr>
      <w:r>
        <w:rPr>
          <w:rStyle w:val="FootnoteReference"/>
        </w:rPr>
        <w:footnoteRef/>
      </w:r>
      <w:r>
        <w:t xml:space="preserve"> </w:t>
      </w:r>
      <w:r w:rsidRPr="004A0E21">
        <w:t>Arbeitsgemeinschaft Gynäkologische Onkologie. Diagnosis and Treatment of Patients with early</w:t>
      </w:r>
      <w:r>
        <w:t xml:space="preserve"> and advanced Breast Cancer 2019 (</w:t>
      </w:r>
      <w:r w:rsidRPr="004A0E21">
        <w:t>https://www.ago-online.de/fileadmin/downloads/leitlinien/mamma/2019-03/EN/Updated_Guidelines_2019.pdf</w:t>
      </w:r>
      <w:r>
        <w:rPr>
          <w:b/>
        </w:rPr>
        <w:t>).</w:t>
      </w:r>
    </w:p>
  </w:footnote>
  <w:footnote w:id="5">
    <w:p w:rsidR="005F44B2" w:rsidRDefault="005F44B2">
      <w:pPr>
        <w:pStyle w:val="FootnoteText"/>
      </w:pPr>
      <w:r>
        <w:rPr>
          <w:rStyle w:val="FootnoteReference"/>
        </w:rPr>
        <w:footnoteRef/>
      </w:r>
      <w:r>
        <w:t xml:space="preserve"> National Comprehensive Cancer Network</w:t>
      </w:r>
      <w:r w:rsidRPr="004A0E21">
        <w:t>. NCCN Clinical Practice Guidelines in Oncology: Breast Cancer.2019 Contract No.: Version 3.2019 - September 6, 2019.</w:t>
      </w:r>
    </w:p>
  </w:footnote>
  <w:footnote w:id="6">
    <w:p w:rsidR="005F44B2" w:rsidRDefault="005F44B2">
      <w:pPr>
        <w:pStyle w:val="FootnoteText"/>
      </w:pPr>
      <w:r>
        <w:rPr>
          <w:rStyle w:val="FootnoteReference"/>
        </w:rPr>
        <w:footnoteRef/>
      </w:r>
      <w:r>
        <w:t xml:space="preserve"> </w:t>
      </w:r>
      <w:r w:rsidRPr="004A0E21">
        <w:t>Cardoso F, Senkus E, Costa A, Papadopoulos E, Aapro M, Andre F, et al. 4th ESO-ESMO International Consensus Guidelines for Advanced Breast Cancer (ABC 4)dagger. Ann Oncol. 2018 Aug 1;29(8):1634-57.</w:t>
      </w:r>
    </w:p>
  </w:footnote>
  <w:footnote w:id="7">
    <w:p w:rsidR="005F44B2" w:rsidRDefault="005F44B2">
      <w:pPr>
        <w:pStyle w:val="FootnoteText"/>
      </w:pPr>
      <w:r>
        <w:rPr>
          <w:rStyle w:val="FootnoteReference"/>
        </w:rPr>
        <w:footnoteRef/>
      </w:r>
      <w:r>
        <w:t xml:space="preserve"> Cardoso et al 2018. 4</w:t>
      </w:r>
      <w:r w:rsidRPr="008F58B7">
        <w:rPr>
          <w:vertAlign w:val="superscript"/>
        </w:rPr>
        <w:t>th</w:t>
      </w:r>
      <w:r>
        <w:t xml:space="preserve"> ESO-ESMO International Consensus Guidelines for Advanced Breast Cancer (ABC 4). Annals of Oncology 29: 1634-1657</w:t>
      </w:r>
    </w:p>
  </w:footnote>
  <w:footnote w:id="8">
    <w:p w:rsidR="005F44B2" w:rsidRDefault="005F44B2">
      <w:pPr>
        <w:pStyle w:val="FootnoteText"/>
      </w:pPr>
      <w:r>
        <w:rPr>
          <w:rStyle w:val="FootnoteReference"/>
        </w:rPr>
        <w:footnoteRef/>
      </w:r>
      <w:r>
        <w:t xml:space="preserve"> </w:t>
      </w:r>
      <w:r w:rsidRPr="00054FFB">
        <w:t>National Comprehensive Cancer Network. NCCN Clinical Practice Guidelines in Oncology: Breast Cancer.2019 Contract No.: Version 3.2019 - September 6, 2019.</w:t>
      </w:r>
    </w:p>
  </w:footnote>
  <w:footnote w:id="9">
    <w:p w:rsidR="005F44B2" w:rsidRDefault="005F44B2">
      <w:pPr>
        <w:pStyle w:val="FootnoteText"/>
      </w:pPr>
      <w:r>
        <w:rPr>
          <w:rStyle w:val="FootnoteReference"/>
        </w:rPr>
        <w:footnoteRef/>
      </w:r>
      <w:r>
        <w:t xml:space="preserve"> </w:t>
      </w:r>
      <w:r w:rsidRPr="00792893">
        <w:t>National Breast and Ovarian Cancer Centre. Recommendations For Use Of Chemotherapy for the treatment of advanced breast cancer</w:t>
      </w:r>
      <w:r>
        <w:t xml:space="preserve">, </w:t>
      </w:r>
      <w:r w:rsidRPr="00792893">
        <w:t>2010.</w:t>
      </w:r>
    </w:p>
  </w:footnote>
  <w:footnote w:id="10">
    <w:p w:rsidR="005F44B2" w:rsidRDefault="005F44B2" w:rsidP="007924A5">
      <w:pPr>
        <w:pStyle w:val="FootnoteText"/>
      </w:pPr>
      <w:r w:rsidRPr="007924A5">
        <w:rPr>
          <w:vertAlign w:val="superscript"/>
        </w:rPr>
        <w:footnoteRef/>
      </w:r>
      <w:r w:rsidRPr="007924A5">
        <w:rPr>
          <w:vertAlign w:val="superscript"/>
        </w:rPr>
        <w:t xml:space="preserve"> </w:t>
      </w:r>
      <w:r>
        <w:t xml:space="preserve">Zeichner et al (2016), </w:t>
      </w:r>
      <w:r w:rsidRPr="00C17B0A">
        <w:t>Zeichner SB, Terawaki H, Gogineni K. A review of systemic treatment in metastatic triple-negative breast cancer. Breast Cancer (Auckl) 2016;10:25–36</w:t>
      </w:r>
      <w:r>
        <w:t>.</w:t>
      </w:r>
    </w:p>
    <w:p w:rsidR="005F44B2" w:rsidRDefault="005F44B2">
      <w:pPr>
        <w:pStyle w:val="FootnoteText"/>
      </w:pPr>
    </w:p>
  </w:footnote>
  <w:footnote w:id="11">
    <w:p w:rsidR="005F44B2" w:rsidRPr="00634E9D" w:rsidRDefault="005F44B2">
      <w:pPr>
        <w:pStyle w:val="FootnoteText"/>
        <w:rPr>
          <w:szCs w:val="18"/>
        </w:rPr>
      </w:pPr>
      <w:r w:rsidRPr="00634E9D">
        <w:rPr>
          <w:rStyle w:val="FootnoteReference"/>
          <w:szCs w:val="18"/>
        </w:rPr>
        <w:footnoteRef/>
      </w:r>
      <w:r w:rsidRPr="00634E9D">
        <w:rPr>
          <w:szCs w:val="18"/>
        </w:rPr>
        <w:t xml:space="preserve"> </w:t>
      </w:r>
      <w:r w:rsidRPr="00634E9D">
        <w:rPr>
          <w:snapToGrid w:val="0"/>
          <w:szCs w:val="18"/>
        </w:rPr>
        <w:t>Cherny NI, Dafni U, Bogaerts J, et al: ESMO-Magnitude of Clinical Benefit Scale version 1.1. Annals of Oncology 28:2340-2366, 2017</w:t>
      </w:r>
    </w:p>
  </w:footnote>
  <w:footnote w:id="12">
    <w:p w:rsidR="005F44B2" w:rsidRDefault="005F44B2">
      <w:pPr>
        <w:pStyle w:val="FootnoteText"/>
      </w:pPr>
      <w:r>
        <w:rPr>
          <w:rStyle w:val="FootnoteReference"/>
        </w:rPr>
        <w:footnoteRef/>
      </w:r>
      <w:r>
        <w:t xml:space="preserve"> </w:t>
      </w:r>
      <w:r w:rsidRPr="00556AE2">
        <w:t>Schmid P, Adams S, Rugo HS, et al. IMpassion130: updated overall survival (OS) from a global, randomized, double-blind, placebo-controlled, Phase III study of atezolizumab (atezo) + nab-paclitaxel (nP) in previously untreated locally advanced or metastatic triple-negative breast cancer (mTNBC). Journal of Clinical Oncology. 2019;37(15_suppl):1003-03.</w:t>
      </w:r>
    </w:p>
  </w:footnote>
  <w:footnote w:id="13">
    <w:p w:rsidR="005F44B2" w:rsidRDefault="005F44B2" w:rsidP="00CC6F77">
      <w:pPr>
        <w:pStyle w:val="FootnoteText"/>
      </w:pPr>
      <w:r>
        <w:rPr>
          <w:rStyle w:val="FootnoteReference"/>
        </w:rPr>
        <w:footnoteRef/>
      </w:r>
      <w:r>
        <w:t xml:space="preserve"> Marra, A., Viale, G., Curigliano, G. (2019) Recent advances in triple negative breast cancer: the immunotherapy era. BMC Med 17, 90 (2019) </w:t>
      </w:r>
      <w:r w:rsidRPr="0096315D">
        <w:t>https://doi.org/10.1186/s12916-019-1326-5</w:t>
      </w:r>
    </w:p>
  </w:footnote>
  <w:footnote w:id="14">
    <w:p w:rsidR="005F44B2" w:rsidRDefault="005F44B2" w:rsidP="0011015D">
      <w:pPr>
        <w:pStyle w:val="FootnoteText"/>
      </w:pPr>
      <w:r>
        <w:rPr>
          <w:rStyle w:val="FootnoteReference"/>
        </w:rPr>
        <w:footnoteRef/>
      </w:r>
      <w:r>
        <w:t xml:space="preserve"> Table 37, p180 of the NICE Committee Papers for Atezolizumab with nab-paclitaxel for treating PD L1-positive, triple-negative, advanced breast cancer [ID1522] available from: </w:t>
      </w:r>
      <w:hyperlink r:id="rId1" w:history="1">
        <w:r w:rsidRPr="00B27E03">
          <w:rPr>
            <w:rStyle w:val="Hyperlink"/>
          </w:rPr>
          <w:t>https://www.nice.org.uk/guidance/GID-TA10433/documents/committee-papers</w:t>
        </w:r>
      </w:hyperlink>
      <w:r>
        <w:t xml:space="preserve"> </w:t>
      </w:r>
    </w:p>
  </w:footnote>
  <w:footnote w:id="15">
    <w:p w:rsidR="005F44B2" w:rsidRDefault="005F44B2">
      <w:pPr>
        <w:pStyle w:val="FootnoteText"/>
      </w:pPr>
      <w:r>
        <w:rPr>
          <w:rStyle w:val="FootnoteReference"/>
        </w:rPr>
        <w:footnoteRef/>
      </w:r>
      <w:r>
        <w:t xml:space="preserve"> </w:t>
      </w:r>
      <w:r>
        <w:rPr>
          <w:rFonts w:ascii="Calibri" w:hAnsi="Calibri" w:cs="Calibri"/>
          <w:color w:val="000000"/>
        </w:rPr>
        <w:t>This ICER corresponds to a 'no-test' scenario, where no patients are tested for PD-L1 expression, and all patients are treated with ATZ+nab-P.</w:t>
      </w:r>
    </w:p>
  </w:footnote>
  <w:footnote w:id="16">
    <w:p w:rsidR="005F44B2" w:rsidRPr="00A61D77" w:rsidRDefault="005F44B2" w:rsidP="00233612">
      <w:pPr>
        <w:pStyle w:val="FootnoteText"/>
      </w:pPr>
      <w:r w:rsidRPr="00A61D77">
        <w:rPr>
          <w:rStyle w:val="FootnoteReference"/>
        </w:rPr>
        <w:footnoteRef/>
      </w:r>
      <w:r w:rsidRPr="00A61D77">
        <w:t xml:space="preserve"> The economic model included a single arm to model both the PD-L1</w:t>
      </w:r>
      <w:r>
        <w:t xml:space="preserve"> </w:t>
      </w:r>
      <w:r w:rsidRPr="00A61D77">
        <w:t>positive and PD-L1</w:t>
      </w:r>
      <w:r>
        <w:t xml:space="preserve"> </w:t>
      </w:r>
      <w:r w:rsidRPr="00A61D77">
        <w:t>negative patients in the submission base case. However, the financial estimates only considered the difference in treatment costs for the PD-L1</w:t>
      </w:r>
      <w:r>
        <w:t xml:space="preserve"> </w:t>
      </w:r>
      <w:r w:rsidRPr="00A61D77">
        <w:t xml:space="preserve">positive population. Therefore, the implied per-treatment cost of PD-L1 </w:t>
      </w:r>
      <w:r>
        <w:t xml:space="preserve">positive </w:t>
      </w:r>
      <w:r w:rsidRPr="00A61D77">
        <w:t>patients treated with nab-P was taken from the ‘false-negative’ sub-population in the economic model. This treatment pathway in the economic model was based on PD-L1</w:t>
      </w:r>
      <w:r>
        <w:t xml:space="preserve"> </w:t>
      </w:r>
      <w:r w:rsidRPr="00A61D77">
        <w:t>positive patients treated with nab-P, and is therefore suitable for comparison.</w:t>
      </w:r>
    </w:p>
  </w:footnote>
  <w:footnote w:id="17">
    <w:p w:rsidR="005F44B2" w:rsidRDefault="005F44B2" w:rsidP="00434533">
      <w:pPr>
        <w:pStyle w:val="FootnoteText"/>
      </w:pPr>
      <w:r w:rsidRPr="009B11C9">
        <w:rPr>
          <w:i/>
        </w:rPr>
        <w:footnoteRef/>
      </w:r>
      <w:r w:rsidRPr="009B11C9">
        <w:rPr>
          <w:i/>
        </w:rPr>
        <w:t xml:space="preserve"> Cancer Council. Breast cancer. 2019; </w:t>
      </w:r>
      <w:hyperlink r:id="rId2" w:history="1">
        <w:r w:rsidRPr="009B11C9">
          <w:rPr>
            <w:i/>
          </w:rPr>
          <w:t>https://www.cancer.org.au/about-cancer/types-of-cancer/breast-cancer/</w:t>
        </w:r>
      </w:hyperlink>
      <w:r w:rsidRPr="009B11C9">
        <w:rPr>
          <w:i/>
        </w:rPr>
        <w:t>. Accessed 28/10/2019.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4B2" w:rsidRPr="008F6F21" w:rsidRDefault="005F44B2" w:rsidP="008F6F21">
    <w:pPr>
      <w:pStyle w:val="Header"/>
      <w:jc w:val="center"/>
      <w:rPr>
        <w:i/>
      </w:rPr>
    </w:pPr>
    <w:r>
      <w:rPr>
        <w:i/>
      </w:rPr>
      <w:t xml:space="preserve">Public Summary Document </w:t>
    </w:r>
    <w:r w:rsidRPr="008F6F21">
      <w:rPr>
        <w:i/>
      </w:rPr>
      <w:t>– March 2020 PBAC Meeting</w:t>
    </w:r>
  </w:p>
  <w:p w:rsidR="005F44B2" w:rsidRPr="008F6F21" w:rsidRDefault="005F44B2" w:rsidP="008F6F21">
    <w:pPr>
      <w:pStyle w:val="Header"/>
      <w:jc w:val="cent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7F433D6"/>
    <w:lvl w:ilvl="0">
      <w:start w:val="1"/>
      <w:numFmt w:val="bullet"/>
      <w:pStyle w:val="ListBullet"/>
      <w:lvlText w:val=""/>
      <w:lvlJc w:val="left"/>
      <w:pPr>
        <w:tabs>
          <w:tab w:val="num" w:pos="360"/>
        </w:tabs>
        <w:ind w:left="360" w:hanging="360"/>
      </w:pPr>
      <w:rPr>
        <w:rFonts w:ascii="Symbol" w:hAnsi="Symbol" w:hint="default"/>
        <w:b w:val="0"/>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8A073C"/>
    <w:multiLevelType w:val="multilevel"/>
    <w:tmpl w:val="B156A7D0"/>
    <w:styleLink w:val="Style1"/>
    <w:lvl w:ilvl="0">
      <w:start w:val="1"/>
      <w:numFmt w:val="decimal"/>
      <w:lvlText w:val="%1"/>
      <w:lvlJc w:val="left"/>
      <w:pPr>
        <w:ind w:left="720" w:hanging="720"/>
      </w:pPr>
      <w:rPr>
        <w:rFonts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decimal"/>
      <w:lvlRestart w:val="1"/>
      <w:lvlText w:val="%1.%5"/>
      <w:lvlJc w:val="left"/>
      <w:pPr>
        <w:ind w:left="1080" w:hanging="1080"/>
      </w:pPr>
      <w:rPr>
        <w:rFonts w:asciiTheme="minorHAnsi" w:hAnsiTheme="minorHAnsi" w:hint="default"/>
        <w:b w:val="0"/>
        <w:i w:val="0"/>
        <w:color w:val="auto"/>
        <w:sz w:val="24"/>
        <w:u w:val="none"/>
      </w:r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617AC2"/>
    <w:multiLevelType w:val="multilevel"/>
    <w:tmpl w:val="92846974"/>
    <w:lvl w:ilvl="0">
      <w:start w:val="1"/>
      <w:numFmt w:val="bullet"/>
      <w:pStyle w:val="MainBodyBulletPoint"/>
      <w:lvlText w:val=""/>
      <w:lvlJc w:val="left"/>
      <w:pPr>
        <w:ind w:left="720" w:hanging="360"/>
      </w:pPr>
      <w:rPr>
        <w:rFonts w:ascii="Symbol" w:hAnsi="Symbol" w:hint="default"/>
      </w:rPr>
    </w:lvl>
    <w:lvl w:ilvl="1">
      <w:start w:val="1"/>
      <w:numFmt w:val="bullet"/>
      <w:lvlText w:val=""/>
      <w:lvlJc w:val="left"/>
      <w:pPr>
        <w:ind w:left="1440" w:hanging="476"/>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E70EDE"/>
    <w:multiLevelType w:val="hybridMultilevel"/>
    <w:tmpl w:val="36166D56"/>
    <w:lvl w:ilvl="0" w:tplc="0C090001">
      <w:start w:val="1"/>
      <w:numFmt w:val="bullet"/>
      <w:lvlText w:val=""/>
      <w:lvlJc w:val="left"/>
      <w:pPr>
        <w:ind w:left="1440" w:hanging="360"/>
      </w:pPr>
      <w:rPr>
        <w:rFonts w:ascii="Symbol" w:hAnsi="Symbol" w:hint="default"/>
      </w:rPr>
    </w:lvl>
    <w:lvl w:ilvl="1" w:tplc="C9AEA9AA">
      <w:start w:val="1"/>
      <w:numFmt w:val="bullet"/>
      <w:lvlText w:val="-"/>
      <w:lvlJc w:val="left"/>
      <w:pPr>
        <w:ind w:left="2160" w:hanging="360"/>
      </w:pPr>
      <w:rPr>
        <w:rFonts w:ascii="Times New Roman" w:eastAsia="Times New Roman" w:hAnsi="Times New Roman" w:cs="Times New Roman"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39208A8"/>
    <w:multiLevelType w:val="hybridMultilevel"/>
    <w:tmpl w:val="93E09266"/>
    <w:lvl w:ilvl="0" w:tplc="945635C4">
      <w:start w:val="1"/>
      <w:numFmt w:val="decimal"/>
      <w:pStyle w:val="TableNumbered"/>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4634013"/>
    <w:multiLevelType w:val="multilevel"/>
    <w:tmpl w:val="E5BAAC60"/>
    <w:lvl w:ilvl="0">
      <w:start w:val="1"/>
      <w:numFmt w:val="bullet"/>
      <w:pStyle w:val="MSACESBulletPoint"/>
      <w:lvlText w:val=""/>
      <w:lvlJc w:val="left"/>
      <w:pPr>
        <w:ind w:left="717" w:hanging="360"/>
      </w:pPr>
      <w:rPr>
        <w:rFonts w:ascii="Symbol" w:hAnsi="Symbol" w:hint="default"/>
      </w:rPr>
    </w:lvl>
    <w:lvl w:ilvl="1">
      <w:start w:val="1"/>
      <w:numFmt w:val="bullet"/>
      <w:lvlText w:val=""/>
      <w:lvlJc w:val="left"/>
      <w:pPr>
        <w:ind w:left="1191" w:hanging="397"/>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1A490F8C"/>
    <w:multiLevelType w:val="multilevel"/>
    <w:tmpl w:val="B3ECD226"/>
    <w:lvl w:ilvl="0">
      <w:start w:val="1"/>
      <w:numFmt w:val="decimal"/>
      <w:pStyle w:val="Heading1"/>
      <w:lvlText w:val="%1"/>
      <w:lvlJc w:val="left"/>
      <w:pPr>
        <w:ind w:left="432" w:hanging="432"/>
      </w:pPr>
      <w:rPr>
        <w:rFonts w:hint="default"/>
        <w:b/>
      </w:rPr>
    </w:lvl>
    <w:lvl w:ilvl="1">
      <w:start w:val="1"/>
      <w:numFmt w:val="upperLetter"/>
      <w:pStyle w:val="Heading1subheading"/>
      <w:lvlText w:val="%1%2"/>
      <w:lvlJc w:val="left"/>
      <w:pPr>
        <w:ind w:left="576" w:hanging="576"/>
      </w:pPr>
      <w:rPr>
        <w:rFonts w:hint="default"/>
      </w:rPr>
    </w:lvl>
    <w:lvl w:ilvl="2">
      <w:start w:val="1"/>
      <w:numFmt w:val="decimal"/>
      <w:lvlText w:val="%1%2.%3"/>
      <w:lvlJc w:val="left"/>
      <w:pPr>
        <w:ind w:left="142" w:firstLine="0"/>
      </w:pPr>
      <w:rPr>
        <w:rFonts w:hint="default"/>
      </w:rPr>
    </w:lvl>
    <w:lvl w:ilvl="3">
      <w:start w:val="1"/>
      <w:numFmt w:val="decimal"/>
      <w:lvlRestart w:val="1"/>
      <w:lvlText w:val="%1.%4"/>
      <w:lvlJc w:val="left"/>
      <w:pPr>
        <w:ind w:left="864" w:hanging="864"/>
      </w:pPr>
      <w:rPr>
        <w:rFonts w:hint="default"/>
      </w:rPr>
    </w:lvl>
    <w:lvl w:ilvl="4">
      <w:start w:val="1"/>
      <w:numFmt w:val="decimal"/>
      <w:lvlRestart w:val="3"/>
      <w:pStyle w:val="Heading2Clinical"/>
      <w:lvlText w:val="%1%2.%5"/>
      <w:lvlJc w:val="left"/>
      <w:pPr>
        <w:ind w:left="0" w:firstLine="0"/>
      </w:pPr>
      <w:rPr>
        <w:rFonts w:hint="default"/>
      </w:rPr>
    </w:lvl>
    <w:lvl w:ilvl="5">
      <w:start w:val="1"/>
      <w:numFmt w:val="none"/>
      <w:pStyle w:val="Heading3"/>
      <w:suff w:val="nothing"/>
      <w:lvlText w:val=""/>
      <w:lvlJc w:val="left"/>
      <w:pPr>
        <w:ind w:left="0" w:firstLine="0"/>
      </w:pPr>
      <w:rPr>
        <w:rFonts w:hint="default"/>
      </w:rPr>
    </w:lvl>
    <w:lvl w:ilvl="6">
      <w:start w:val="1"/>
      <w:numFmt w:val="none"/>
      <w:pStyle w:val="Heading4"/>
      <w:suff w:val="nothing"/>
      <w:lvlText w:val=""/>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1D383609"/>
    <w:multiLevelType w:val="hybridMultilevel"/>
    <w:tmpl w:val="E83030C6"/>
    <w:lvl w:ilvl="0" w:tplc="A6D6EF40">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575C58"/>
    <w:multiLevelType w:val="multilevel"/>
    <w:tmpl w:val="E1B22324"/>
    <w:lvl w:ilvl="0">
      <w:start w:val="1"/>
      <w:numFmt w:val="bullet"/>
      <w:pStyle w:val="InstructionBulletpoint"/>
      <w:lvlText w:val=""/>
      <w:lvlJc w:val="left"/>
      <w:pPr>
        <w:ind w:left="720" w:hanging="360"/>
      </w:pPr>
      <w:rPr>
        <w:rFonts w:ascii="Symbol" w:hAnsi="Symbol" w:hint="default"/>
        <w:color w:val="auto"/>
      </w:rPr>
    </w:lvl>
    <w:lvl w:ilvl="1">
      <w:start w:val="1"/>
      <w:numFmt w:val="bullet"/>
      <w:lvlText w:val=""/>
      <w:lvlJc w:val="left"/>
      <w:pPr>
        <w:ind w:left="1440" w:hanging="476"/>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096A79"/>
    <w:multiLevelType w:val="multilevel"/>
    <w:tmpl w:val="54C0B3FC"/>
    <w:styleLink w:val="Style3"/>
    <w:lvl w:ilvl="0">
      <w:start w:val="1"/>
      <w:numFmt w:val="decimal"/>
      <w:lvlText w:val="%1"/>
      <w:lvlJc w:val="left"/>
      <w:pPr>
        <w:ind w:left="1077" w:hanging="1077"/>
      </w:pPr>
      <w:rPr>
        <w:rFonts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decimal"/>
      <w:lvlRestart w:val="1"/>
      <w:lvlText w:val="%1.%5"/>
      <w:lvlJc w:val="left"/>
      <w:pPr>
        <w:ind w:left="1080" w:hanging="1080"/>
      </w:pPr>
      <w:rPr>
        <w:rFonts w:hint="default"/>
        <w:b w:val="0"/>
        <w:i w:val="0"/>
        <w:color w:val="auto"/>
        <w:u w:val="none"/>
      </w:r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55215E"/>
    <w:multiLevelType w:val="hybridMultilevel"/>
    <w:tmpl w:val="06286CCE"/>
    <w:lvl w:ilvl="0" w:tplc="7C7ABB52">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800" w:hanging="72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C9AEA9AA">
      <w:start w:val="1"/>
      <w:numFmt w:val="bullet"/>
      <w:lvlText w:val="-"/>
      <w:lvlJc w:val="left"/>
      <w:pPr>
        <w:ind w:left="2880" w:hanging="360"/>
      </w:pPr>
      <w:rPr>
        <w:rFonts w:ascii="Times New Roman" w:eastAsia="Times New Roman" w:hAnsi="Times New Roman" w:cs="Times New Roman"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0B6ECC"/>
    <w:multiLevelType w:val="hybridMultilevel"/>
    <w:tmpl w:val="5A1ECD14"/>
    <w:lvl w:ilvl="0" w:tplc="DEFAC1A4">
      <w:start w:val="1"/>
      <w:numFmt w:val="bullet"/>
      <w:pStyle w:val="NormalBulletList"/>
      <w:lvlText w:val=""/>
      <w:lvlJc w:val="left"/>
      <w:pPr>
        <w:ind w:left="720" w:hanging="360"/>
      </w:pPr>
      <w:rPr>
        <w:rFonts w:ascii="Symbol" w:hAnsi="Symbol" w:hint="default"/>
      </w:rPr>
    </w:lvl>
    <w:lvl w:ilvl="1" w:tplc="CC2ADE4A">
      <w:start w:val="1"/>
      <w:numFmt w:val="bullet"/>
      <w:lvlText w:val="o"/>
      <w:lvlJc w:val="left"/>
      <w:pPr>
        <w:ind w:left="1440" w:hanging="360"/>
      </w:pPr>
      <w:rPr>
        <w:rFonts w:ascii="Courier New" w:hAnsi="Courier New" w:cs="Courier New" w:hint="default"/>
      </w:rPr>
    </w:lvl>
    <w:lvl w:ilvl="2" w:tplc="61E61A46" w:tentative="1">
      <w:start w:val="1"/>
      <w:numFmt w:val="bullet"/>
      <w:lvlText w:val=""/>
      <w:lvlJc w:val="left"/>
      <w:pPr>
        <w:ind w:left="2160" w:hanging="360"/>
      </w:pPr>
      <w:rPr>
        <w:rFonts w:ascii="Wingdings" w:hAnsi="Wingdings" w:hint="default"/>
      </w:rPr>
    </w:lvl>
    <w:lvl w:ilvl="3" w:tplc="48E8658E" w:tentative="1">
      <w:start w:val="1"/>
      <w:numFmt w:val="bullet"/>
      <w:lvlText w:val=""/>
      <w:lvlJc w:val="left"/>
      <w:pPr>
        <w:ind w:left="2880" w:hanging="360"/>
      </w:pPr>
      <w:rPr>
        <w:rFonts w:ascii="Symbol" w:hAnsi="Symbol" w:hint="default"/>
      </w:rPr>
    </w:lvl>
    <w:lvl w:ilvl="4" w:tplc="4EE87910" w:tentative="1">
      <w:start w:val="1"/>
      <w:numFmt w:val="bullet"/>
      <w:lvlText w:val="o"/>
      <w:lvlJc w:val="left"/>
      <w:pPr>
        <w:ind w:left="3600" w:hanging="360"/>
      </w:pPr>
      <w:rPr>
        <w:rFonts w:ascii="Courier New" w:hAnsi="Courier New" w:cs="Courier New" w:hint="default"/>
      </w:rPr>
    </w:lvl>
    <w:lvl w:ilvl="5" w:tplc="E2D8FC36" w:tentative="1">
      <w:start w:val="1"/>
      <w:numFmt w:val="bullet"/>
      <w:lvlText w:val=""/>
      <w:lvlJc w:val="left"/>
      <w:pPr>
        <w:ind w:left="4320" w:hanging="360"/>
      </w:pPr>
      <w:rPr>
        <w:rFonts w:ascii="Wingdings" w:hAnsi="Wingdings" w:hint="default"/>
      </w:rPr>
    </w:lvl>
    <w:lvl w:ilvl="6" w:tplc="4B22A9DC" w:tentative="1">
      <w:start w:val="1"/>
      <w:numFmt w:val="bullet"/>
      <w:lvlText w:val=""/>
      <w:lvlJc w:val="left"/>
      <w:pPr>
        <w:ind w:left="5040" w:hanging="360"/>
      </w:pPr>
      <w:rPr>
        <w:rFonts w:ascii="Symbol" w:hAnsi="Symbol" w:hint="default"/>
      </w:rPr>
    </w:lvl>
    <w:lvl w:ilvl="7" w:tplc="02445202" w:tentative="1">
      <w:start w:val="1"/>
      <w:numFmt w:val="bullet"/>
      <w:lvlText w:val="o"/>
      <w:lvlJc w:val="left"/>
      <w:pPr>
        <w:ind w:left="5760" w:hanging="360"/>
      </w:pPr>
      <w:rPr>
        <w:rFonts w:ascii="Courier New" w:hAnsi="Courier New" w:cs="Courier New" w:hint="default"/>
      </w:rPr>
    </w:lvl>
    <w:lvl w:ilvl="8" w:tplc="947490A4" w:tentative="1">
      <w:start w:val="1"/>
      <w:numFmt w:val="bullet"/>
      <w:lvlText w:val=""/>
      <w:lvlJc w:val="left"/>
      <w:pPr>
        <w:ind w:left="6480" w:hanging="360"/>
      </w:pPr>
      <w:rPr>
        <w:rFonts w:ascii="Wingdings" w:hAnsi="Wingdings" w:hint="default"/>
      </w:rPr>
    </w:lvl>
  </w:abstractNum>
  <w:abstractNum w:abstractNumId="17" w15:restartNumberingAfterBreak="0">
    <w:nsid w:val="44442297"/>
    <w:multiLevelType w:val="hybridMultilevel"/>
    <w:tmpl w:val="641C1A0C"/>
    <w:lvl w:ilvl="0" w:tplc="A4586688">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F515F3"/>
    <w:multiLevelType w:val="multilevel"/>
    <w:tmpl w:val="2CF07F1E"/>
    <w:styleLink w:val="MSACESBulletpoints"/>
    <w:lvl w:ilvl="0">
      <w:start w:val="1"/>
      <w:numFmt w:val="bullet"/>
      <w:lvlText w:val=""/>
      <w:lvlJc w:val="left"/>
      <w:pPr>
        <w:ind w:left="717" w:hanging="360"/>
      </w:pPr>
      <w:rPr>
        <w:rFonts w:ascii="Symbol" w:hAnsi="Symbol" w:hint="default"/>
      </w:rPr>
    </w:lvl>
    <w:lvl w:ilvl="1">
      <w:start w:val="1"/>
      <w:numFmt w:val="bullet"/>
      <w:lvlText w:val=""/>
      <w:lvlJc w:val="left"/>
      <w:pPr>
        <w:ind w:left="714" w:firstLine="1086"/>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9"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6C87730"/>
    <w:multiLevelType w:val="multilevel"/>
    <w:tmpl w:val="685E77E8"/>
    <w:lvl w:ilvl="0">
      <w:start w:val="1"/>
      <w:numFmt w:val="decimal"/>
      <w:lvlText w:val="%1"/>
      <w:lvlJc w:val="left"/>
      <w:pPr>
        <w:ind w:left="720" w:hanging="720"/>
      </w:pPr>
      <w:rPr>
        <w:rFonts w:hint="default"/>
        <w:b/>
      </w:rPr>
    </w:lvl>
    <w:lvl w:ilvl="1">
      <w:start w:val="1"/>
      <w:numFmt w:val="decimal"/>
      <w:lvlText w:val="%2."/>
      <w:lvlJc w:val="left"/>
      <w:pPr>
        <w:ind w:left="720" w:hanging="720"/>
      </w:pPr>
      <w:rPr>
        <w:rFonts w:hint="default"/>
        <w:strike w:val="0"/>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decimal"/>
      <w:lvlRestart w:val="1"/>
      <w:lvlText w:val="%1.%5"/>
      <w:lvlJc w:val="left"/>
      <w:pPr>
        <w:ind w:left="720" w:hanging="720"/>
      </w:pPr>
      <w:rPr>
        <w:rFonts w:hint="default"/>
        <w:i w:val="0"/>
        <w:color w:val="auto"/>
      </w:rPr>
    </w:lvl>
    <w:lvl w:ilvl="5">
      <w:start w:val="1"/>
      <w:numFmt w:val="decimal"/>
      <w:lvlRestart w:val="1"/>
      <w:lvlText w:val="%6"/>
      <w:lvlJc w:val="left"/>
      <w:pPr>
        <w:ind w:left="1288"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9456899"/>
    <w:multiLevelType w:val="multilevel"/>
    <w:tmpl w:val="888CD5C8"/>
    <w:lvl w:ilvl="0">
      <w:start w:val="1"/>
      <w:numFmt w:val="bullet"/>
      <w:pStyle w:val="PBACESParagraphBulletPoint"/>
      <w:lvlText w:val=""/>
      <w:lvlJc w:val="left"/>
      <w:pPr>
        <w:ind w:left="2106" w:hanging="360"/>
      </w:pPr>
      <w:rPr>
        <w:rFonts w:ascii="Symbol" w:hAnsi="Symbol" w:hint="default"/>
        <w:color w:val="auto"/>
      </w:rPr>
    </w:lvl>
    <w:lvl w:ilvl="1">
      <w:start w:val="1"/>
      <w:numFmt w:val="bullet"/>
      <w:lvlText w:val=""/>
      <w:lvlJc w:val="left"/>
      <w:pPr>
        <w:ind w:left="2517" w:hanging="374"/>
      </w:pPr>
      <w:rPr>
        <w:rFonts w:ascii="Symbol" w:hAnsi="Symbol" w:hint="default"/>
      </w:rPr>
    </w:lvl>
    <w:lvl w:ilvl="2">
      <w:start w:val="1"/>
      <w:numFmt w:val="bullet"/>
      <w:lvlText w:val=""/>
      <w:lvlJc w:val="left"/>
      <w:pPr>
        <w:ind w:left="2914" w:hanging="374"/>
      </w:pPr>
      <w:rPr>
        <w:rFonts w:ascii="Wingdings" w:hAnsi="Wingdings" w:hint="default"/>
      </w:rPr>
    </w:lvl>
    <w:lvl w:ilvl="3">
      <w:start w:val="1"/>
      <w:numFmt w:val="bullet"/>
      <w:lvlText w:val=""/>
      <w:lvlJc w:val="left"/>
      <w:pPr>
        <w:ind w:left="3492" w:hanging="360"/>
      </w:pPr>
      <w:rPr>
        <w:rFonts w:ascii="Symbol" w:hAnsi="Symbol" w:hint="default"/>
        <w:color w:val="auto"/>
      </w:rPr>
    </w:lvl>
    <w:lvl w:ilvl="4">
      <w:start w:val="1"/>
      <w:numFmt w:val="bullet"/>
      <w:lvlText w:val="o"/>
      <w:lvlJc w:val="left"/>
      <w:pPr>
        <w:ind w:left="4212" w:hanging="360"/>
      </w:pPr>
      <w:rPr>
        <w:rFonts w:ascii="Courier New" w:hAnsi="Courier New" w:hint="default"/>
      </w:rPr>
    </w:lvl>
    <w:lvl w:ilvl="5">
      <w:start w:val="1"/>
      <w:numFmt w:val="bullet"/>
      <w:lvlText w:val=""/>
      <w:lvlJc w:val="left"/>
      <w:pPr>
        <w:ind w:left="4932" w:hanging="360"/>
      </w:pPr>
      <w:rPr>
        <w:rFonts w:ascii="Wingdings" w:hAnsi="Wingdings" w:hint="default"/>
      </w:rPr>
    </w:lvl>
    <w:lvl w:ilvl="6">
      <w:start w:val="1"/>
      <w:numFmt w:val="bullet"/>
      <w:lvlText w:val=""/>
      <w:lvlJc w:val="left"/>
      <w:pPr>
        <w:ind w:left="5652" w:hanging="360"/>
      </w:pPr>
      <w:rPr>
        <w:rFonts w:ascii="Symbol" w:hAnsi="Symbol" w:hint="default"/>
      </w:rPr>
    </w:lvl>
    <w:lvl w:ilvl="7">
      <w:start w:val="1"/>
      <w:numFmt w:val="bullet"/>
      <w:lvlText w:val="o"/>
      <w:lvlJc w:val="left"/>
      <w:pPr>
        <w:ind w:left="6372" w:hanging="360"/>
      </w:pPr>
      <w:rPr>
        <w:rFonts w:ascii="Courier New" w:hAnsi="Courier New" w:hint="default"/>
      </w:rPr>
    </w:lvl>
    <w:lvl w:ilvl="8">
      <w:start w:val="1"/>
      <w:numFmt w:val="bullet"/>
      <w:lvlText w:val=""/>
      <w:lvlJc w:val="left"/>
      <w:pPr>
        <w:ind w:left="7092" w:hanging="360"/>
      </w:pPr>
      <w:rPr>
        <w:rFonts w:ascii="Wingdings" w:hAnsi="Wingdings" w:hint="default"/>
      </w:rPr>
    </w:lvl>
  </w:abstractNum>
  <w:abstractNum w:abstractNumId="22" w15:restartNumberingAfterBreak="0">
    <w:nsid w:val="639D3EB7"/>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46E195B"/>
    <w:multiLevelType w:val="hybridMultilevel"/>
    <w:tmpl w:val="14EABFF2"/>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6AFA3C06"/>
    <w:multiLevelType w:val="hybridMultilevel"/>
    <w:tmpl w:val="C478C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3247078"/>
    <w:multiLevelType w:val="hybridMultilevel"/>
    <w:tmpl w:val="1D0A4BDA"/>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784D033C"/>
    <w:multiLevelType w:val="multilevel"/>
    <w:tmpl w:val="E542AF22"/>
    <w:lvl w:ilvl="0">
      <w:start w:val="1"/>
      <w:numFmt w:val="decimal"/>
      <w:pStyle w:val="PBACESHeading1"/>
      <w:lvlText w:val="%1"/>
      <w:lvlJc w:val="left"/>
      <w:pPr>
        <w:ind w:left="720" w:hanging="720"/>
      </w:pPr>
      <w:rPr>
        <w:rFonts w:hint="default"/>
        <w:b/>
      </w:rPr>
    </w:lvl>
    <w:lvl w:ilvl="1">
      <w:start w:val="1"/>
      <w:numFmt w:val="none"/>
      <w:suff w:val="nothing"/>
      <w:lvlText w:val=""/>
      <w:lvlJc w:val="left"/>
      <w:pPr>
        <w:ind w:left="720" w:hanging="720"/>
      </w:pPr>
      <w:rPr>
        <w:rFonts w:hint="default"/>
      </w:rPr>
    </w:lvl>
    <w:lvl w:ilvl="2">
      <w:start w:val="1"/>
      <w:numFmt w:val="none"/>
      <w:lvlRestart w:val="1"/>
      <w:pStyle w:val="PBACESHeading2"/>
      <w:suff w:val="nothing"/>
      <w:lvlText w:val=""/>
      <w:lvlJc w:val="left"/>
      <w:pPr>
        <w:ind w:left="720" w:hanging="720"/>
      </w:pPr>
      <w:rPr>
        <w:rFonts w:hint="default"/>
      </w:rPr>
    </w:lvl>
    <w:lvl w:ilvl="3">
      <w:start w:val="1"/>
      <w:numFmt w:val="none"/>
      <w:lvlRestart w:val="1"/>
      <w:pStyle w:val="PBACESHeading3"/>
      <w:suff w:val="nothing"/>
      <w:lvlText w:val=""/>
      <w:lvlJc w:val="left"/>
      <w:pPr>
        <w:ind w:left="1080" w:hanging="1080"/>
      </w:pPr>
      <w:rPr>
        <w:rFonts w:hint="default"/>
      </w:rPr>
    </w:lvl>
    <w:lvl w:ilvl="4">
      <w:start w:val="1"/>
      <w:numFmt w:val="decimal"/>
      <w:lvlRestart w:val="1"/>
      <w:pStyle w:val="ListParagraph"/>
      <w:lvlText w:val="%1.%5"/>
      <w:lvlJc w:val="left"/>
      <w:pPr>
        <w:ind w:left="720" w:hanging="72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Restart w:val="1"/>
      <w:pStyle w:val="MSACHeading1"/>
      <w:lvlText w:val="%6"/>
      <w:lvlJc w:val="left"/>
      <w:pPr>
        <w:ind w:left="1288" w:hanging="720"/>
      </w:pPr>
      <w:rPr>
        <w:rFonts w:hint="default"/>
      </w:rPr>
    </w:lvl>
    <w:lvl w:ilvl="6">
      <w:start w:val="1"/>
      <w:numFmt w:val="none"/>
      <w:pStyle w:val="MSACESHeading2"/>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8911BEF"/>
    <w:multiLevelType w:val="multilevel"/>
    <w:tmpl w:val="54C0B3FC"/>
    <w:styleLink w:val="Style2"/>
    <w:lvl w:ilvl="0">
      <w:start w:val="1"/>
      <w:numFmt w:val="decimal"/>
      <w:lvlText w:val="%1"/>
      <w:lvlJc w:val="left"/>
      <w:pPr>
        <w:ind w:left="1077" w:hanging="1077"/>
      </w:pPr>
      <w:rPr>
        <w:rFonts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decimal"/>
      <w:lvlRestart w:val="1"/>
      <w:lvlText w:val="%1.%5"/>
      <w:lvlJc w:val="left"/>
      <w:pPr>
        <w:ind w:left="1080" w:hanging="1080"/>
      </w:pPr>
      <w:rPr>
        <w:rFonts w:hint="default"/>
        <w:b w:val="0"/>
        <w:i w:val="0"/>
        <w:color w:val="auto"/>
        <w:u w:val="none"/>
      </w:r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FB4794F"/>
    <w:multiLevelType w:val="multilevel"/>
    <w:tmpl w:val="4AF4DD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6"/>
  </w:num>
  <w:num w:numId="2">
    <w:abstractNumId w:val="13"/>
  </w:num>
  <w:num w:numId="3">
    <w:abstractNumId w:val="15"/>
  </w:num>
  <w:num w:numId="4">
    <w:abstractNumId w:val="8"/>
  </w:num>
  <w:num w:numId="5">
    <w:abstractNumId w:val="7"/>
  </w:num>
  <w:num w:numId="6">
    <w:abstractNumId w:val="26"/>
  </w:num>
  <w:num w:numId="7">
    <w:abstractNumId w:val="18"/>
  </w:num>
  <w:num w:numId="8">
    <w:abstractNumId w:val="3"/>
  </w:num>
  <w:num w:numId="9">
    <w:abstractNumId w:val="12"/>
  </w:num>
  <w:num w:numId="10">
    <w:abstractNumId w:val="21"/>
  </w:num>
  <w:num w:numId="11">
    <w:abstractNumId w:val="2"/>
  </w:num>
  <w:num w:numId="12">
    <w:abstractNumId w:val="27"/>
  </w:num>
  <w:num w:numId="13">
    <w:abstractNumId w:val="14"/>
  </w:num>
  <w:num w:numId="14">
    <w:abstractNumId w:val="0"/>
  </w:num>
  <w:num w:numId="15">
    <w:abstractNumId w:val="9"/>
  </w:num>
  <w:num w:numId="16">
    <w:abstractNumId w:val="17"/>
  </w:num>
  <w:num w:numId="17">
    <w:abstractNumId w:val="6"/>
  </w:num>
  <w:num w:numId="18">
    <w:abstractNumId w:val="22"/>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23"/>
  </w:num>
  <w:num w:numId="22">
    <w:abstractNumId w:val="20"/>
  </w:num>
  <w:num w:numId="23">
    <w:abstractNumId w:val="16"/>
  </w:num>
  <w:num w:numId="24">
    <w:abstractNumId w:val="24"/>
  </w:num>
  <w:num w:numId="25">
    <w:abstractNumId w:val="19"/>
  </w:num>
  <w:num w:numId="26">
    <w:abstractNumId w:val="4"/>
  </w:num>
  <w:num w:numId="27">
    <w:abstractNumId w:val="1"/>
  </w:num>
  <w:num w:numId="28">
    <w:abstractNumId w:val="11"/>
  </w:num>
  <w:num w:numId="29">
    <w:abstractNumId w:val="10"/>
  </w:num>
  <w:num w:numId="30">
    <w:abstractNumId w:val="28"/>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21"/>
  </w:num>
  <w:num w:numId="34">
    <w:abstractNumId w:val="26"/>
  </w:num>
  <w:num w:numId="35">
    <w:abstractNumId w:val="17"/>
  </w:num>
  <w:num w:numId="36">
    <w:abstractNumId w:val="17"/>
  </w:num>
  <w:num w:numId="37">
    <w:abstractNumId w:val="17"/>
  </w:num>
  <w:num w:numId="38">
    <w:abstractNumId w:val="17"/>
  </w:num>
  <w:num w:numId="39">
    <w:abstractNumId w:val="26"/>
  </w:num>
  <w:num w:numId="40">
    <w:abstractNumId w:val="26"/>
  </w:num>
  <w:num w:numId="41">
    <w:abstractNumId w:val="26"/>
  </w:num>
  <w:num w:numId="42">
    <w:abstractNumId w:val="26"/>
  </w:num>
  <w:num w:numId="43">
    <w:abstractNumId w:val="26"/>
  </w:num>
  <w:num w:numId="44">
    <w:abstractNumId w:val="26"/>
  </w:num>
  <w:num w:numId="45">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activeWritingStyle w:appName="MSWord" w:lang="fr-FR" w:vendorID="64" w:dllVersion="6" w:nlCheck="1" w:checkStyle="0"/>
  <w:activeWritingStyle w:appName="MSWord" w:lang="en-US" w:vendorID="64" w:dllVersion="6" w:nlCheck="1" w:checkStyle="0"/>
  <w:activeWritingStyle w:appName="MSWord" w:lang="en-AU" w:vendorID="64" w:dllVersion="6" w:nlCheck="1" w:checkStyle="0"/>
  <w:activeWritingStyle w:appName="MSWord" w:lang="es-ES" w:vendorID="64" w:dllVersion="6" w:nlCheck="1" w:checkStyle="0"/>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en-AU" w:vendorID="64" w:dllVersion="131078" w:nlCheck="1" w:checkStyle="0"/>
  <w:activeWritingStyle w:appName="MSWord" w:lang="en-US" w:vendorID="64" w:dllVersion="131078" w:nlCheck="1" w:checkStyle="0"/>
  <w:activeWritingStyle w:appName="MSWord" w:lang="en-GB" w:vendorID="64" w:dllVersion="131078" w:nlCheck="1" w:checkStyle="1"/>
  <w:activeWritingStyle w:appName="MSWord" w:lang="it-IT" w:vendorID="64" w:dllVersion="131078" w:nlCheck="1" w:checkStyle="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LockTheme/>
  <w:styleLockQFSet/>
  <w:defaultTabStop w:val="720"/>
  <w:characterSpacingControl w:val="doNotCompress"/>
  <w:hdrShapeDefaults>
    <o:shapedefaults v:ext="edit" spidmax="1024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wsDA0sjS1MDO0NDdU0lEKTi0uzszPAykwNKwFANE/nSYtAAAA"/>
    <w:docVar w:name="EN.InstantFormat" w:val="&lt;ENInstantFormat&gt;&lt;Enabled&gt;1&lt;/Enabled&gt;&lt;ScanUnformatted&gt;1&lt;/ScanUnformatted&gt;&lt;ScanChanges&gt;1&lt;/ScanChanges&gt;&lt;Suspended&gt;0&lt;/Suspended&gt;&lt;/ENInstantFormat&gt;"/>
    <w:docVar w:name="EN.Layout" w:val="&lt;ENLayout&gt;&lt;Style&gt;Vancouver PBAC&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fadweze9xdd9mezt2jp99ts0d2waps0tevd&quot;&gt;MSAC commentary&lt;record-ids&gt;&lt;item&gt;4&lt;/item&gt;&lt;item&gt;5&lt;/item&gt;&lt;item&gt;6&lt;/item&gt;&lt;item&gt;7&lt;/item&gt;&lt;item&gt;8&lt;/item&gt;&lt;item&gt;9&lt;/item&gt;&lt;item&gt;10&lt;/item&gt;&lt;item&gt;11&lt;/item&gt;&lt;item&gt;15&lt;/item&gt;&lt;item&gt;65&lt;/item&gt;&lt;item&gt;71&lt;/item&gt;&lt;item&gt;115&lt;/item&gt;&lt;item&gt;116&lt;/item&gt;&lt;item&gt;122&lt;/item&gt;&lt;item&gt;123&lt;/item&gt;&lt;item&gt;124&lt;/item&gt;&lt;item&gt;125&lt;/item&gt;&lt;item&gt;127&lt;/item&gt;&lt;item&gt;128&lt;/item&gt;&lt;item&gt;129&lt;/item&gt;&lt;item&gt;131&lt;/item&gt;&lt;item&gt;132&lt;/item&gt;&lt;item&gt;133&lt;/item&gt;&lt;item&gt;134&lt;/item&gt;&lt;item&gt;135&lt;/item&gt;&lt;/record-ids&gt;&lt;/item&gt;&lt;item db-id=&quot;zszxtxpxkezdzle9t2mxvf9yt9r5pra2awtr&quot;&gt;My EndNote Library&lt;record-ids&gt;&lt;item&gt;2&lt;/item&gt;&lt;item&gt;7&lt;/item&gt;&lt;item&gt;8&lt;/item&gt;&lt;item&gt;10&lt;/item&gt;&lt;item&gt;11&lt;/item&gt;&lt;item&gt;12&lt;/item&gt;&lt;item&gt;14&lt;/item&gt;&lt;item&gt;15&lt;/item&gt;&lt;item&gt;17&lt;/item&gt;&lt;item&gt;18&lt;/item&gt;&lt;item&gt;30&lt;/item&gt;&lt;item&gt;31&lt;/item&gt;&lt;item&gt;32&lt;/item&gt;&lt;item&gt;33&lt;/item&gt;&lt;item&gt;34&lt;/item&gt;&lt;item&gt;35&lt;/item&gt;&lt;item&gt;36&lt;/item&gt;&lt;item&gt;37&lt;/item&gt;&lt;item&gt;38&lt;/item&gt;&lt;item&gt;39&lt;/item&gt;&lt;item&gt;44&lt;/item&gt;&lt;item&gt;46&lt;/item&gt;&lt;item&gt;47&lt;/item&gt;&lt;item&gt;48&lt;/item&gt;&lt;item&gt;49&lt;/item&gt;&lt;item&gt;50&lt;/item&gt;&lt;item&gt;51&lt;/item&gt;&lt;item&gt;54&lt;/item&gt;&lt;item&gt;56&lt;/item&gt;&lt;item&gt;57&lt;/item&gt;&lt;item&gt;58&lt;/item&gt;&lt;item&gt;61&lt;/item&gt;&lt;item&gt;62&lt;/item&gt;&lt;item&gt;64&lt;/item&gt;&lt;item&gt;65&lt;/item&gt;&lt;item&gt;66&lt;/item&gt;&lt;item&gt;67&lt;/item&gt;&lt;item&gt;68&lt;/item&gt;&lt;item&gt;70&lt;/item&gt;&lt;item&gt;72&lt;/item&gt;&lt;item&gt;73&lt;/item&gt;&lt;item&gt;75&lt;/item&gt;&lt;item&gt;77&lt;/item&gt;&lt;item&gt;79&lt;/item&gt;&lt;item&gt;80&lt;/item&gt;&lt;item&gt;81&lt;/item&gt;&lt;item&gt;82&lt;/item&gt;&lt;item&gt;83&lt;/item&gt;&lt;item&gt;84&lt;/item&gt;&lt;item&gt;85&lt;/item&gt;&lt;item&gt;86&lt;/item&gt;&lt;item&gt;87&lt;/item&gt;&lt;item&gt;88&lt;/item&gt;&lt;item&gt;89&lt;/item&gt;&lt;item&gt;90&lt;/item&gt;&lt;item&gt;91&lt;/item&gt;&lt;item&gt;92&lt;/item&gt;&lt;item&gt;93&lt;/item&gt;&lt;item&gt;94&lt;/item&gt;&lt;/record-ids&gt;&lt;/item&gt;&lt;/Libraries&gt;"/>
  </w:docVars>
  <w:rsids>
    <w:rsidRoot w:val="00F333C9"/>
    <w:rsid w:val="0000018F"/>
    <w:rsid w:val="000016BF"/>
    <w:rsid w:val="0000195B"/>
    <w:rsid w:val="00001AB4"/>
    <w:rsid w:val="000020C5"/>
    <w:rsid w:val="000028A0"/>
    <w:rsid w:val="00002A4F"/>
    <w:rsid w:val="00002AC9"/>
    <w:rsid w:val="00003E6F"/>
    <w:rsid w:val="000047E3"/>
    <w:rsid w:val="000048C8"/>
    <w:rsid w:val="000052CC"/>
    <w:rsid w:val="00005702"/>
    <w:rsid w:val="000062E0"/>
    <w:rsid w:val="00006F7C"/>
    <w:rsid w:val="000076E5"/>
    <w:rsid w:val="00007BD0"/>
    <w:rsid w:val="00010483"/>
    <w:rsid w:val="0001061E"/>
    <w:rsid w:val="0001066F"/>
    <w:rsid w:val="00010A4F"/>
    <w:rsid w:val="00010E78"/>
    <w:rsid w:val="000112C5"/>
    <w:rsid w:val="000121EB"/>
    <w:rsid w:val="0001227D"/>
    <w:rsid w:val="0001281E"/>
    <w:rsid w:val="00012F8C"/>
    <w:rsid w:val="000131AC"/>
    <w:rsid w:val="000131C9"/>
    <w:rsid w:val="00013222"/>
    <w:rsid w:val="00013605"/>
    <w:rsid w:val="00013CE0"/>
    <w:rsid w:val="0001480E"/>
    <w:rsid w:val="000149B0"/>
    <w:rsid w:val="0001548D"/>
    <w:rsid w:val="00015F41"/>
    <w:rsid w:val="0001644F"/>
    <w:rsid w:val="0001659E"/>
    <w:rsid w:val="000168A0"/>
    <w:rsid w:val="000170E1"/>
    <w:rsid w:val="000171A6"/>
    <w:rsid w:val="00017AD9"/>
    <w:rsid w:val="0002095B"/>
    <w:rsid w:val="00021AB6"/>
    <w:rsid w:val="00022A2D"/>
    <w:rsid w:val="00024780"/>
    <w:rsid w:val="00026EAA"/>
    <w:rsid w:val="00027FFE"/>
    <w:rsid w:val="00030D9F"/>
    <w:rsid w:val="000328C6"/>
    <w:rsid w:val="00033CE1"/>
    <w:rsid w:val="00034404"/>
    <w:rsid w:val="0003497C"/>
    <w:rsid w:val="000359BA"/>
    <w:rsid w:val="00036B89"/>
    <w:rsid w:val="00037A7E"/>
    <w:rsid w:val="00040920"/>
    <w:rsid w:val="00041601"/>
    <w:rsid w:val="0004175D"/>
    <w:rsid w:val="00042530"/>
    <w:rsid w:val="00042D4A"/>
    <w:rsid w:val="00043BC2"/>
    <w:rsid w:val="0004441D"/>
    <w:rsid w:val="000461CF"/>
    <w:rsid w:val="00046935"/>
    <w:rsid w:val="0004734B"/>
    <w:rsid w:val="000473C6"/>
    <w:rsid w:val="0004758F"/>
    <w:rsid w:val="00047C50"/>
    <w:rsid w:val="00050416"/>
    <w:rsid w:val="00051615"/>
    <w:rsid w:val="0005189E"/>
    <w:rsid w:val="00051AE0"/>
    <w:rsid w:val="000522EE"/>
    <w:rsid w:val="00052586"/>
    <w:rsid w:val="00052BCD"/>
    <w:rsid w:val="00054171"/>
    <w:rsid w:val="00054FFB"/>
    <w:rsid w:val="00055DCD"/>
    <w:rsid w:val="0005626D"/>
    <w:rsid w:val="00056A88"/>
    <w:rsid w:val="00056F27"/>
    <w:rsid w:val="000578D9"/>
    <w:rsid w:val="00057D63"/>
    <w:rsid w:val="00057F71"/>
    <w:rsid w:val="00057FA9"/>
    <w:rsid w:val="0006031D"/>
    <w:rsid w:val="00061519"/>
    <w:rsid w:val="00062018"/>
    <w:rsid w:val="00062067"/>
    <w:rsid w:val="00062864"/>
    <w:rsid w:val="0006287B"/>
    <w:rsid w:val="00062C08"/>
    <w:rsid w:val="00063FC0"/>
    <w:rsid w:val="0006442F"/>
    <w:rsid w:val="000648E1"/>
    <w:rsid w:val="00064D04"/>
    <w:rsid w:val="00064F9F"/>
    <w:rsid w:val="00065C62"/>
    <w:rsid w:val="00065CDE"/>
    <w:rsid w:val="00065E23"/>
    <w:rsid w:val="00065F4A"/>
    <w:rsid w:val="000676E5"/>
    <w:rsid w:val="000677DE"/>
    <w:rsid w:val="0007063B"/>
    <w:rsid w:val="000708AA"/>
    <w:rsid w:val="00070D75"/>
    <w:rsid w:val="00071A1F"/>
    <w:rsid w:val="00072D1D"/>
    <w:rsid w:val="00074BE0"/>
    <w:rsid w:val="0007505F"/>
    <w:rsid w:val="0007739A"/>
    <w:rsid w:val="00077519"/>
    <w:rsid w:val="00077A1A"/>
    <w:rsid w:val="00080FF3"/>
    <w:rsid w:val="00081BA5"/>
    <w:rsid w:val="00082868"/>
    <w:rsid w:val="000837D9"/>
    <w:rsid w:val="00083EF0"/>
    <w:rsid w:val="000847FE"/>
    <w:rsid w:val="00084B18"/>
    <w:rsid w:val="00084FAF"/>
    <w:rsid w:val="00085003"/>
    <w:rsid w:val="000851D4"/>
    <w:rsid w:val="00086133"/>
    <w:rsid w:val="00086398"/>
    <w:rsid w:val="00086AEA"/>
    <w:rsid w:val="00086F24"/>
    <w:rsid w:val="00090B6E"/>
    <w:rsid w:val="00092727"/>
    <w:rsid w:val="00092945"/>
    <w:rsid w:val="0009331B"/>
    <w:rsid w:val="00094CDE"/>
    <w:rsid w:val="00094EDD"/>
    <w:rsid w:val="00095B40"/>
    <w:rsid w:val="00095E93"/>
    <w:rsid w:val="0009688E"/>
    <w:rsid w:val="00096B61"/>
    <w:rsid w:val="00096BCD"/>
    <w:rsid w:val="000976D5"/>
    <w:rsid w:val="000A091D"/>
    <w:rsid w:val="000A1E52"/>
    <w:rsid w:val="000A1F7B"/>
    <w:rsid w:val="000A1FBE"/>
    <w:rsid w:val="000A2694"/>
    <w:rsid w:val="000A2EF1"/>
    <w:rsid w:val="000A3D99"/>
    <w:rsid w:val="000A3F4C"/>
    <w:rsid w:val="000A44C2"/>
    <w:rsid w:val="000A4E41"/>
    <w:rsid w:val="000A6042"/>
    <w:rsid w:val="000A690B"/>
    <w:rsid w:val="000A6FBD"/>
    <w:rsid w:val="000A7104"/>
    <w:rsid w:val="000A7333"/>
    <w:rsid w:val="000A7924"/>
    <w:rsid w:val="000A7EA5"/>
    <w:rsid w:val="000B1E7E"/>
    <w:rsid w:val="000B2BE3"/>
    <w:rsid w:val="000B35EA"/>
    <w:rsid w:val="000B4AA7"/>
    <w:rsid w:val="000B55A2"/>
    <w:rsid w:val="000B56CD"/>
    <w:rsid w:val="000B5F65"/>
    <w:rsid w:val="000B6263"/>
    <w:rsid w:val="000B6B69"/>
    <w:rsid w:val="000B7859"/>
    <w:rsid w:val="000B7AED"/>
    <w:rsid w:val="000B7AF3"/>
    <w:rsid w:val="000C0142"/>
    <w:rsid w:val="000C0F43"/>
    <w:rsid w:val="000C10D6"/>
    <w:rsid w:val="000C11CC"/>
    <w:rsid w:val="000C1206"/>
    <w:rsid w:val="000C3C19"/>
    <w:rsid w:val="000C401F"/>
    <w:rsid w:val="000C42FB"/>
    <w:rsid w:val="000C58B9"/>
    <w:rsid w:val="000C5EA6"/>
    <w:rsid w:val="000C5EE4"/>
    <w:rsid w:val="000C668E"/>
    <w:rsid w:val="000C66E2"/>
    <w:rsid w:val="000C691F"/>
    <w:rsid w:val="000C6A40"/>
    <w:rsid w:val="000C6CF8"/>
    <w:rsid w:val="000C7883"/>
    <w:rsid w:val="000C793A"/>
    <w:rsid w:val="000C7F2C"/>
    <w:rsid w:val="000C7F42"/>
    <w:rsid w:val="000D0023"/>
    <w:rsid w:val="000D08DD"/>
    <w:rsid w:val="000D0A81"/>
    <w:rsid w:val="000D15A1"/>
    <w:rsid w:val="000D169F"/>
    <w:rsid w:val="000D1A2A"/>
    <w:rsid w:val="000D1AB4"/>
    <w:rsid w:val="000D1C3A"/>
    <w:rsid w:val="000D28BC"/>
    <w:rsid w:val="000D2BF9"/>
    <w:rsid w:val="000D2F65"/>
    <w:rsid w:val="000D2F87"/>
    <w:rsid w:val="000D3542"/>
    <w:rsid w:val="000D39EF"/>
    <w:rsid w:val="000D4BEC"/>
    <w:rsid w:val="000D60CA"/>
    <w:rsid w:val="000D744A"/>
    <w:rsid w:val="000D7B48"/>
    <w:rsid w:val="000D7F59"/>
    <w:rsid w:val="000E059D"/>
    <w:rsid w:val="000E07CD"/>
    <w:rsid w:val="000E1921"/>
    <w:rsid w:val="000E1E10"/>
    <w:rsid w:val="000E2B73"/>
    <w:rsid w:val="000E3CA3"/>
    <w:rsid w:val="000E494C"/>
    <w:rsid w:val="000E7019"/>
    <w:rsid w:val="000F06D2"/>
    <w:rsid w:val="000F1EC4"/>
    <w:rsid w:val="000F243A"/>
    <w:rsid w:val="000F2534"/>
    <w:rsid w:val="000F313A"/>
    <w:rsid w:val="000F3652"/>
    <w:rsid w:val="000F399E"/>
    <w:rsid w:val="000F55F1"/>
    <w:rsid w:val="000F623B"/>
    <w:rsid w:val="00100249"/>
    <w:rsid w:val="0010050C"/>
    <w:rsid w:val="00100685"/>
    <w:rsid w:val="0010086D"/>
    <w:rsid w:val="0010095B"/>
    <w:rsid w:val="00101523"/>
    <w:rsid w:val="001018A8"/>
    <w:rsid w:val="00101B11"/>
    <w:rsid w:val="0010224E"/>
    <w:rsid w:val="001024BD"/>
    <w:rsid w:val="001024D1"/>
    <w:rsid w:val="00104A1D"/>
    <w:rsid w:val="00105405"/>
    <w:rsid w:val="001059D6"/>
    <w:rsid w:val="001068AD"/>
    <w:rsid w:val="0011015D"/>
    <w:rsid w:val="0011179C"/>
    <w:rsid w:val="00111951"/>
    <w:rsid w:val="00111B45"/>
    <w:rsid w:val="00112739"/>
    <w:rsid w:val="00112F1A"/>
    <w:rsid w:val="00113B94"/>
    <w:rsid w:val="00113F4F"/>
    <w:rsid w:val="00113FA0"/>
    <w:rsid w:val="00114EAA"/>
    <w:rsid w:val="001152A3"/>
    <w:rsid w:val="001163E5"/>
    <w:rsid w:val="00116AEA"/>
    <w:rsid w:val="00116FEE"/>
    <w:rsid w:val="00117E48"/>
    <w:rsid w:val="00117FBA"/>
    <w:rsid w:val="00122079"/>
    <w:rsid w:val="00122C04"/>
    <w:rsid w:val="00124421"/>
    <w:rsid w:val="00124F87"/>
    <w:rsid w:val="0012523C"/>
    <w:rsid w:val="001252F7"/>
    <w:rsid w:val="00125673"/>
    <w:rsid w:val="0012701F"/>
    <w:rsid w:val="0012710C"/>
    <w:rsid w:val="0012758A"/>
    <w:rsid w:val="001279AE"/>
    <w:rsid w:val="00127A6D"/>
    <w:rsid w:val="00127DC1"/>
    <w:rsid w:val="001307CB"/>
    <w:rsid w:val="001307E3"/>
    <w:rsid w:val="001309A3"/>
    <w:rsid w:val="001310CA"/>
    <w:rsid w:val="001323D6"/>
    <w:rsid w:val="001331EC"/>
    <w:rsid w:val="00133B1C"/>
    <w:rsid w:val="00133EA6"/>
    <w:rsid w:val="0013407B"/>
    <w:rsid w:val="001341BF"/>
    <w:rsid w:val="0013445C"/>
    <w:rsid w:val="00135050"/>
    <w:rsid w:val="00135FE1"/>
    <w:rsid w:val="00136067"/>
    <w:rsid w:val="001360C4"/>
    <w:rsid w:val="00136399"/>
    <w:rsid w:val="00136674"/>
    <w:rsid w:val="00136E76"/>
    <w:rsid w:val="00136FFB"/>
    <w:rsid w:val="00137B17"/>
    <w:rsid w:val="00140A20"/>
    <w:rsid w:val="00141EFB"/>
    <w:rsid w:val="001423A9"/>
    <w:rsid w:val="001423B0"/>
    <w:rsid w:val="00143BEC"/>
    <w:rsid w:val="001468C6"/>
    <w:rsid w:val="00146C47"/>
    <w:rsid w:val="00146E75"/>
    <w:rsid w:val="00147174"/>
    <w:rsid w:val="001475EA"/>
    <w:rsid w:val="001479C5"/>
    <w:rsid w:val="0015150F"/>
    <w:rsid w:val="001516E7"/>
    <w:rsid w:val="00152635"/>
    <w:rsid w:val="00152ADB"/>
    <w:rsid w:val="00153FC3"/>
    <w:rsid w:val="0015435E"/>
    <w:rsid w:val="00154735"/>
    <w:rsid w:val="001560DD"/>
    <w:rsid w:val="00156F04"/>
    <w:rsid w:val="00157E87"/>
    <w:rsid w:val="00162080"/>
    <w:rsid w:val="001625F1"/>
    <w:rsid w:val="00162C24"/>
    <w:rsid w:val="00165775"/>
    <w:rsid w:val="00165A49"/>
    <w:rsid w:val="001667A9"/>
    <w:rsid w:val="00166C0D"/>
    <w:rsid w:val="00167F3A"/>
    <w:rsid w:val="00170837"/>
    <w:rsid w:val="001709D4"/>
    <w:rsid w:val="001710E9"/>
    <w:rsid w:val="00171B99"/>
    <w:rsid w:val="00172239"/>
    <w:rsid w:val="001727C0"/>
    <w:rsid w:val="00172906"/>
    <w:rsid w:val="00172B43"/>
    <w:rsid w:val="00173577"/>
    <w:rsid w:val="00173AA1"/>
    <w:rsid w:val="00173E55"/>
    <w:rsid w:val="0017506B"/>
    <w:rsid w:val="00175931"/>
    <w:rsid w:val="00176658"/>
    <w:rsid w:val="001766D8"/>
    <w:rsid w:val="001766F1"/>
    <w:rsid w:val="00176AA5"/>
    <w:rsid w:val="00176D6A"/>
    <w:rsid w:val="001770A7"/>
    <w:rsid w:val="001771D8"/>
    <w:rsid w:val="0017720E"/>
    <w:rsid w:val="001772CC"/>
    <w:rsid w:val="001774A4"/>
    <w:rsid w:val="00177893"/>
    <w:rsid w:val="00180A9A"/>
    <w:rsid w:val="0018141A"/>
    <w:rsid w:val="00181F02"/>
    <w:rsid w:val="00182BAF"/>
    <w:rsid w:val="0018324B"/>
    <w:rsid w:val="0018373E"/>
    <w:rsid w:val="001839C0"/>
    <w:rsid w:val="00183F06"/>
    <w:rsid w:val="00184221"/>
    <w:rsid w:val="0018443E"/>
    <w:rsid w:val="00184AD8"/>
    <w:rsid w:val="00184BF6"/>
    <w:rsid w:val="00185110"/>
    <w:rsid w:val="001858BE"/>
    <w:rsid w:val="00185C35"/>
    <w:rsid w:val="00186307"/>
    <w:rsid w:val="001863F7"/>
    <w:rsid w:val="001867F1"/>
    <w:rsid w:val="00186EBC"/>
    <w:rsid w:val="0018711A"/>
    <w:rsid w:val="00187412"/>
    <w:rsid w:val="00187CEB"/>
    <w:rsid w:val="001903AB"/>
    <w:rsid w:val="001916C0"/>
    <w:rsid w:val="0019241B"/>
    <w:rsid w:val="001951F5"/>
    <w:rsid w:val="00195919"/>
    <w:rsid w:val="00195DA4"/>
    <w:rsid w:val="00197D31"/>
    <w:rsid w:val="001A0142"/>
    <w:rsid w:val="001A10EB"/>
    <w:rsid w:val="001A20DC"/>
    <w:rsid w:val="001A29C7"/>
    <w:rsid w:val="001A3DC9"/>
    <w:rsid w:val="001A5331"/>
    <w:rsid w:val="001A5A10"/>
    <w:rsid w:val="001A5C2D"/>
    <w:rsid w:val="001A5FD6"/>
    <w:rsid w:val="001A603B"/>
    <w:rsid w:val="001B00CE"/>
    <w:rsid w:val="001B0142"/>
    <w:rsid w:val="001B12A9"/>
    <w:rsid w:val="001B15C6"/>
    <w:rsid w:val="001B21F4"/>
    <w:rsid w:val="001B2429"/>
    <w:rsid w:val="001B29DD"/>
    <w:rsid w:val="001B4B0B"/>
    <w:rsid w:val="001B4E3A"/>
    <w:rsid w:val="001B56C3"/>
    <w:rsid w:val="001B5B6B"/>
    <w:rsid w:val="001B5BEA"/>
    <w:rsid w:val="001B5D95"/>
    <w:rsid w:val="001B6294"/>
    <w:rsid w:val="001B62E5"/>
    <w:rsid w:val="001B6389"/>
    <w:rsid w:val="001B6DED"/>
    <w:rsid w:val="001C04CC"/>
    <w:rsid w:val="001C051E"/>
    <w:rsid w:val="001C06AA"/>
    <w:rsid w:val="001C0CCE"/>
    <w:rsid w:val="001C2CD4"/>
    <w:rsid w:val="001C3280"/>
    <w:rsid w:val="001C40A1"/>
    <w:rsid w:val="001C47F0"/>
    <w:rsid w:val="001C4BD0"/>
    <w:rsid w:val="001C51B5"/>
    <w:rsid w:val="001C5966"/>
    <w:rsid w:val="001C6466"/>
    <w:rsid w:val="001C65A4"/>
    <w:rsid w:val="001C69D7"/>
    <w:rsid w:val="001C6DAF"/>
    <w:rsid w:val="001C7497"/>
    <w:rsid w:val="001C796E"/>
    <w:rsid w:val="001C7D1B"/>
    <w:rsid w:val="001D0D66"/>
    <w:rsid w:val="001D14C6"/>
    <w:rsid w:val="001D2790"/>
    <w:rsid w:val="001D2DB9"/>
    <w:rsid w:val="001D34CE"/>
    <w:rsid w:val="001D3DA3"/>
    <w:rsid w:val="001D4D2E"/>
    <w:rsid w:val="001D4D9E"/>
    <w:rsid w:val="001D5D47"/>
    <w:rsid w:val="001D5DE3"/>
    <w:rsid w:val="001D62DB"/>
    <w:rsid w:val="001E0994"/>
    <w:rsid w:val="001E0B0D"/>
    <w:rsid w:val="001E1827"/>
    <w:rsid w:val="001E19EA"/>
    <w:rsid w:val="001E1C0A"/>
    <w:rsid w:val="001E25EC"/>
    <w:rsid w:val="001E2E99"/>
    <w:rsid w:val="001E358B"/>
    <w:rsid w:val="001E3F5C"/>
    <w:rsid w:val="001E4E98"/>
    <w:rsid w:val="001E5030"/>
    <w:rsid w:val="001E54E9"/>
    <w:rsid w:val="001E5896"/>
    <w:rsid w:val="001E5918"/>
    <w:rsid w:val="001E60FC"/>
    <w:rsid w:val="001E76DE"/>
    <w:rsid w:val="001E7CB6"/>
    <w:rsid w:val="001F073C"/>
    <w:rsid w:val="001F0D0A"/>
    <w:rsid w:val="001F1A9B"/>
    <w:rsid w:val="001F256F"/>
    <w:rsid w:val="001F2912"/>
    <w:rsid w:val="001F2EF9"/>
    <w:rsid w:val="001F2F47"/>
    <w:rsid w:val="001F4586"/>
    <w:rsid w:val="001F4798"/>
    <w:rsid w:val="001F47A5"/>
    <w:rsid w:val="001F5D6F"/>
    <w:rsid w:val="001F6896"/>
    <w:rsid w:val="001F75CD"/>
    <w:rsid w:val="001F77EA"/>
    <w:rsid w:val="001F7E51"/>
    <w:rsid w:val="00200296"/>
    <w:rsid w:val="002008F5"/>
    <w:rsid w:val="00200ACB"/>
    <w:rsid w:val="00201382"/>
    <w:rsid w:val="00201722"/>
    <w:rsid w:val="00201ADB"/>
    <w:rsid w:val="00201B81"/>
    <w:rsid w:val="00201DEB"/>
    <w:rsid w:val="00201E49"/>
    <w:rsid w:val="00203785"/>
    <w:rsid w:val="00204377"/>
    <w:rsid w:val="00204532"/>
    <w:rsid w:val="00204B4E"/>
    <w:rsid w:val="00204B6C"/>
    <w:rsid w:val="00204D5B"/>
    <w:rsid w:val="002058E5"/>
    <w:rsid w:val="0020779F"/>
    <w:rsid w:val="00210962"/>
    <w:rsid w:val="00210D82"/>
    <w:rsid w:val="00210FAA"/>
    <w:rsid w:val="00211340"/>
    <w:rsid w:val="002113DE"/>
    <w:rsid w:val="0021140B"/>
    <w:rsid w:val="002114C7"/>
    <w:rsid w:val="00211F51"/>
    <w:rsid w:val="002129AB"/>
    <w:rsid w:val="002131D8"/>
    <w:rsid w:val="00213C1B"/>
    <w:rsid w:val="00214438"/>
    <w:rsid w:val="00215787"/>
    <w:rsid w:val="00215B46"/>
    <w:rsid w:val="00215C16"/>
    <w:rsid w:val="00215E0A"/>
    <w:rsid w:val="00216304"/>
    <w:rsid w:val="00216816"/>
    <w:rsid w:val="00216B0A"/>
    <w:rsid w:val="002171F5"/>
    <w:rsid w:val="00217496"/>
    <w:rsid w:val="00217FD8"/>
    <w:rsid w:val="00220465"/>
    <w:rsid w:val="002205EB"/>
    <w:rsid w:val="00220DDF"/>
    <w:rsid w:val="00220FE5"/>
    <w:rsid w:val="0022112C"/>
    <w:rsid w:val="002213C5"/>
    <w:rsid w:val="00222D1E"/>
    <w:rsid w:val="00222DB1"/>
    <w:rsid w:val="002234A6"/>
    <w:rsid w:val="00224ED7"/>
    <w:rsid w:val="00224FA6"/>
    <w:rsid w:val="00225FCB"/>
    <w:rsid w:val="00227D04"/>
    <w:rsid w:val="00231416"/>
    <w:rsid w:val="00232064"/>
    <w:rsid w:val="002321D5"/>
    <w:rsid w:val="00233296"/>
    <w:rsid w:val="00233612"/>
    <w:rsid w:val="00234390"/>
    <w:rsid w:val="0023676E"/>
    <w:rsid w:val="0023698A"/>
    <w:rsid w:val="00241C2B"/>
    <w:rsid w:val="002425EA"/>
    <w:rsid w:val="00242EA0"/>
    <w:rsid w:val="00243122"/>
    <w:rsid w:val="00243685"/>
    <w:rsid w:val="00243F24"/>
    <w:rsid w:val="00244478"/>
    <w:rsid w:val="0024459C"/>
    <w:rsid w:val="00245389"/>
    <w:rsid w:val="00245AD1"/>
    <w:rsid w:val="00246753"/>
    <w:rsid w:val="002467A5"/>
    <w:rsid w:val="00246BDF"/>
    <w:rsid w:val="002470BB"/>
    <w:rsid w:val="002501CD"/>
    <w:rsid w:val="00250618"/>
    <w:rsid w:val="00251302"/>
    <w:rsid w:val="00252EBB"/>
    <w:rsid w:val="002530E7"/>
    <w:rsid w:val="002532B4"/>
    <w:rsid w:val="0025371D"/>
    <w:rsid w:val="002538FD"/>
    <w:rsid w:val="00253A24"/>
    <w:rsid w:val="00253CA5"/>
    <w:rsid w:val="00254652"/>
    <w:rsid w:val="00254871"/>
    <w:rsid w:val="0025487C"/>
    <w:rsid w:val="002548EB"/>
    <w:rsid w:val="00254EEB"/>
    <w:rsid w:val="002554CE"/>
    <w:rsid w:val="00255983"/>
    <w:rsid w:val="00255DC9"/>
    <w:rsid w:val="0025613F"/>
    <w:rsid w:val="00256A65"/>
    <w:rsid w:val="00256F20"/>
    <w:rsid w:val="00257C43"/>
    <w:rsid w:val="00257F91"/>
    <w:rsid w:val="002601B3"/>
    <w:rsid w:val="00260594"/>
    <w:rsid w:val="00260D20"/>
    <w:rsid w:val="00260D65"/>
    <w:rsid w:val="00261260"/>
    <w:rsid w:val="00261402"/>
    <w:rsid w:val="00261C23"/>
    <w:rsid w:val="00261D76"/>
    <w:rsid w:val="00261DC6"/>
    <w:rsid w:val="00262C13"/>
    <w:rsid w:val="00263A6A"/>
    <w:rsid w:val="00264623"/>
    <w:rsid w:val="00264773"/>
    <w:rsid w:val="00264E52"/>
    <w:rsid w:val="0026558C"/>
    <w:rsid w:val="00266462"/>
    <w:rsid w:val="002670B7"/>
    <w:rsid w:val="00267A5C"/>
    <w:rsid w:val="00267B91"/>
    <w:rsid w:val="002707AB"/>
    <w:rsid w:val="00270BBC"/>
    <w:rsid w:val="002721CF"/>
    <w:rsid w:val="002724D2"/>
    <w:rsid w:val="00273095"/>
    <w:rsid w:val="00273800"/>
    <w:rsid w:val="00273F4E"/>
    <w:rsid w:val="00273FD6"/>
    <w:rsid w:val="00274E3B"/>
    <w:rsid w:val="0027575E"/>
    <w:rsid w:val="002767A8"/>
    <w:rsid w:val="00276C8A"/>
    <w:rsid w:val="002770E0"/>
    <w:rsid w:val="002775F4"/>
    <w:rsid w:val="002779A3"/>
    <w:rsid w:val="00277D40"/>
    <w:rsid w:val="002801F4"/>
    <w:rsid w:val="00280412"/>
    <w:rsid w:val="00280B5B"/>
    <w:rsid w:val="00280D8D"/>
    <w:rsid w:val="0028131A"/>
    <w:rsid w:val="00281DCF"/>
    <w:rsid w:val="002820A1"/>
    <w:rsid w:val="00283152"/>
    <w:rsid w:val="002836DF"/>
    <w:rsid w:val="002838EB"/>
    <w:rsid w:val="00284A5E"/>
    <w:rsid w:val="00285397"/>
    <w:rsid w:val="002861AB"/>
    <w:rsid w:val="002864EE"/>
    <w:rsid w:val="00287596"/>
    <w:rsid w:val="002879E0"/>
    <w:rsid w:val="00287E1E"/>
    <w:rsid w:val="00291183"/>
    <w:rsid w:val="0029165B"/>
    <w:rsid w:val="002923CF"/>
    <w:rsid w:val="002923DF"/>
    <w:rsid w:val="0029289C"/>
    <w:rsid w:val="002928F4"/>
    <w:rsid w:val="002932E5"/>
    <w:rsid w:val="00297222"/>
    <w:rsid w:val="002A0BA7"/>
    <w:rsid w:val="002A0CF4"/>
    <w:rsid w:val="002A1FEF"/>
    <w:rsid w:val="002A2C74"/>
    <w:rsid w:val="002A3088"/>
    <w:rsid w:val="002A391F"/>
    <w:rsid w:val="002A4503"/>
    <w:rsid w:val="002A4A1A"/>
    <w:rsid w:val="002A4A36"/>
    <w:rsid w:val="002A541E"/>
    <w:rsid w:val="002A678B"/>
    <w:rsid w:val="002A78B9"/>
    <w:rsid w:val="002B05B8"/>
    <w:rsid w:val="002B1C86"/>
    <w:rsid w:val="002B1E73"/>
    <w:rsid w:val="002B2F61"/>
    <w:rsid w:val="002B40A3"/>
    <w:rsid w:val="002B4941"/>
    <w:rsid w:val="002B4B8F"/>
    <w:rsid w:val="002B4E67"/>
    <w:rsid w:val="002B55A5"/>
    <w:rsid w:val="002B57D3"/>
    <w:rsid w:val="002B5D74"/>
    <w:rsid w:val="002B63E9"/>
    <w:rsid w:val="002B6434"/>
    <w:rsid w:val="002B67CA"/>
    <w:rsid w:val="002B6817"/>
    <w:rsid w:val="002B7888"/>
    <w:rsid w:val="002B7ADB"/>
    <w:rsid w:val="002C00F5"/>
    <w:rsid w:val="002C031F"/>
    <w:rsid w:val="002C1079"/>
    <w:rsid w:val="002C1543"/>
    <w:rsid w:val="002C17C7"/>
    <w:rsid w:val="002C1D2F"/>
    <w:rsid w:val="002C3753"/>
    <w:rsid w:val="002C3B0A"/>
    <w:rsid w:val="002C505A"/>
    <w:rsid w:val="002C6438"/>
    <w:rsid w:val="002C6BA2"/>
    <w:rsid w:val="002C71EE"/>
    <w:rsid w:val="002C7C13"/>
    <w:rsid w:val="002D01CF"/>
    <w:rsid w:val="002D06D0"/>
    <w:rsid w:val="002D0BCC"/>
    <w:rsid w:val="002D0D29"/>
    <w:rsid w:val="002D0EF2"/>
    <w:rsid w:val="002D1242"/>
    <w:rsid w:val="002D13D6"/>
    <w:rsid w:val="002D2320"/>
    <w:rsid w:val="002D23E6"/>
    <w:rsid w:val="002D24AC"/>
    <w:rsid w:val="002D2FCA"/>
    <w:rsid w:val="002D3C5C"/>
    <w:rsid w:val="002D46F2"/>
    <w:rsid w:val="002D4BC0"/>
    <w:rsid w:val="002D57EA"/>
    <w:rsid w:val="002D6313"/>
    <w:rsid w:val="002D7823"/>
    <w:rsid w:val="002D7E95"/>
    <w:rsid w:val="002E2280"/>
    <w:rsid w:val="002E22EE"/>
    <w:rsid w:val="002E4293"/>
    <w:rsid w:val="002E4C2D"/>
    <w:rsid w:val="002E5032"/>
    <w:rsid w:val="002E5285"/>
    <w:rsid w:val="002E596F"/>
    <w:rsid w:val="002E5B78"/>
    <w:rsid w:val="002E5DEA"/>
    <w:rsid w:val="002E623E"/>
    <w:rsid w:val="002E6405"/>
    <w:rsid w:val="002E68F9"/>
    <w:rsid w:val="002E712B"/>
    <w:rsid w:val="002E724A"/>
    <w:rsid w:val="002E73DE"/>
    <w:rsid w:val="002F0160"/>
    <w:rsid w:val="002F0301"/>
    <w:rsid w:val="002F078A"/>
    <w:rsid w:val="002F0FE7"/>
    <w:rsid w:val="002F1828"/>
    <w:rsid w:val="002F1F14"/>
    <w:rsid w:val="002F26E6"/>
    <w:rsid w:val="002F311E"/>
    <w:rsid w:val="002F313A"/>
    <w:rsid w:val="002F3194"/>
    <w:rsid w:val="002F345B"/>
    <w:rsid w:val="002F3EA8"/>
    <w:rsid w:val="002F4515"/>
    <w:rsid w:val="002F5246"/>
    <w:rsid w:val="002F5CA5"/>
    <w:rsid w:val="002F5FEC"/>
    <w:rsid w:val="002F6857"/>
    <w:rsid w:val="002F6C66"/>
    <w:rsid w:val="002F6C75"/>
    <w:rsid w:val="002F71B8"/>
    <w:rsid w:val="002F71F4"/>
    <w:rsid w:val="002F7551"/>
    <w:rsid w:val="002F758C"/>
    <w:rsid w:val="00300DB3"/>
    <w:rsid w:val="00301EA1"/>
    <w:rsid w:val="00301F26"/>
    <w:rsid w:val="0030206B"/>
    <w:rsid w:val="003020A8"/>
    <w:rsid w:val="00302B17"/>
    <w:rsid w:val="00302D3A"/>
    <w:rsid w:val="00302FCC"/>
    <w:rsid w:val="00303376"/>
    <w:rsid w:val="00303BA4"/>
    <w:rsid w:val="003050F8"/>
    <w:rsid w:val="00305DC2"/>
    <w:rsid w:val="003062AE"/>
    <w:rsid w:val="00307176"/>
    <w:rsid w:val="003074E1"/>
    <w:rsid w:val="0031033B"/>
    <w:rsid w:val="00310E37"/>
    <w:rsid w:val="003110AA"/>
    <w:rsid w:val="003126B6"/>
    <w:rsid w:val="00313028"/>
    <w:rsid w:val="0031321A"/>
    <w:rsid w:val="0031480D"/>
    <w:rsid w:val="00314BFC"/>
    <w:rsid w:val="00315514"/>
    <w:rsid w:val="00315AB3"/>
    <w:rsid w:val="0031625C"/>
    <w:rsid w:val="0031679A"/>
    <w:rsid w:val="0031724E"/>
    <w:rsid w:val="003176F7"/>
    <w:rsid w:val="00317E18"/>
    <w:rsid w:val="00317FD1"/>
    <w:rsid w:val="00320360"/>
    <w:rsid w:val="003208AE"/>
    <w:rsid w:val="00320BC3"/>
    <w:rsid w:val="003217C9"/>
    <w:rsid w:val="00322564"/>
    <w:rsid w:val="00322687"/>
    <w:rsid w:val="00323195"/>
    <w:rsid w:val="00323BAF"/>
    <w:rsid w:val="00323CDD"/>
    <w:rsid w:val="00323E78"/>
    <w:rsid w:val="00323EDE"/>
    <w:rsid w:val="00324141"/>
    <w:rsid w:val="0032442E"/>
    <w:rsid w:val="003248F5"/>
    <w:rsid w:val="00324A0B"/>
    <w:rsid w:val="00324B79"/>
    <w:rsid w:val="00324C9A"/>
    <w:rsid w:val="00325775"/>
    <w:rsid w:val="00325B32"/>
    <w:rsid w:val="003274E0"/>
    <w:rsid w:val="003279B1"/>
    <w:rsid w:val="00327A09"/>
    <w:rsid w:val="00331A16"/>
    <w:rsid w:val="003328D3"/>
    <w:rsid w:val="00332927"/>
    <w:rsid w:val="003338BC"/>
    <w:rsid w:val="00333C84"/>
    <w:rsid w:val="00334ACF"/>
    <w:rsid w:val="003357D6"/>
    <w:rsid w:val="00340547"/>
    <w:rsid w:val="00340A59"/>
    <w:rsid w:val="003416B1"/>
    <w:rsid w:val="00341A14"/>
    <w:rsid w:val="00341A81"/>
    <w:rsid w:val="00342422"/>
    <w:rsid w:val="00342AA2"/>
    <w:rsid w:val="00342E4A"/>
    <w:rsid w:val="00343C38"/>
    <w:rsid w:val="00345697"/>
    <w:rsid w:val="00345832"/>
    <w:rsid w:val="00345E01"/>
    <w:rsid w:val="0034662D"/>
    <w:rsid w:val="0035045D"/>
    <w:rsid w:val="003504F5"/>
    <w:rsid w:val="0035079C"/>
    <w:rsid w:val="0035087F"/>
    <w:rsid w:val="00350AE8"/>
    <w:rsid w:val="00351381"/>
    <w:rsid w:val="00351975"/>
    <w:rsid w:val="00352CFB"/>
    <w:rsid w:val="003530A6"/>
    <w:rsid w:val="003530E1"/>
    <w:rsid w:val="00353627"/>
    <w:rsid w:val="00355669"/>
    <w:rsid w:val="00355773"/>
    <w:rsid w:val="003557C2"/>
    <w:rsid w:val="00355C97"/>
    <w:rsid w:val="00355F72"/>
    <w:rsid w:val="00356301"/>
    <w:rsid w:val="0035642A"/>
    <w:rsid w:val="0035675A"/>
    <w:rsid w:val="00357657"/>
    <w:rsid w:val="003578B3"/>
    <w:rsid w:val="00357E32"/>
    <w:rsid w:val="00360BAC"/>
    <w:rsid w:val="00360BF6"/>
    <w:rsid w:val="00362E0B"/>
    <w:rsid w:val="00362FDD"/>
    <w:rsid w:val="003639A6"/>
    <w:rsid w:val="0036436D"/>
    <w:rsid w:val="003645D5"/>
    <w:rsid w:val="003651C6"/>
    <w:rsid w:val="003679AE"/>
    <w:rsid w:val="00370688"/>
    <w:rsid w:val="00370987"/>
    <w:rsid w:val="00370CD7"/>
    <w:rsid w:val="0037120B"/>
    <w:rsid w:val="003714BA"/>
    <w:rsid w:val="003718A9"/>
    <w:rsid w:val="00371EE8"/>
    <w:rsid w:val="0037425F"/>
    <w:rsid w:val="003747ED"/>
    <w:rsid w:val="00374F20"/>
    <w:rsid w:val="00375648"/>
    <w:rsid w:val="00376372"/>
    <w:rsid w:val="00377329"/>
    <w:rsid w:val="003801C6"/>
    <w:rsid w:val="003809C0"/>
    <w:rsid w:val="00380E28"/>
    <w:rsid w:val="00382720"/>
    <w:rsid w:val="0038281C"/>
    <w:rsid w:val="00382D68"/>
    <w:rsid w:val="00383365"/>
    <w:rsid w:val="00384024"/>
    <w:rsid w:val="0038516B"/>
    <w:rsid w:val="00385A64"/>
    <w:rsid w:val="00385BCF"/>
    <w:rsid w:val="00385E4C"/>
    <w:rsid w:val="00386D1A"/>
    <w:rsid w:val="0038733C"/>
    <w:rsid w:val="0039045D"/>
    <w:rsid w:val="003908B7"/>
    <w:rsid w:val="00391479"/>
    <w:rsid w:val="003914AF"/>
    <w:rsid w:val="0039182E"/>
    <w:rsid w:val="00391E3A"/>
    <w:rsid w:val="003930FD"/>
    <w:rsid w:val="0039342B"/>
    <w:rsid w:val="00393877"/>
    <w:rsid w:val="00394504"/>
    <w:rsid w:val="00394C83"/>
    <w:rsid w:val="00396339"/>
    <w:rsid w:val="00397170"/>
    <w:rsid w:val="00397415"/>
    <w:rsid w:val="00397FDA"/>
    <w:rsid w:val="003A04B8"/>
    <w:rsid w:val="003A075A"/>
    <w:rsid w:val="003A096A"/>
    <w:rsid w:val="003A0D78"/>
    <w:rsid w:val="003A1EA8"/>
    <w:rsid w:val="003A20CC"/>
    <w:rsid w:val="003A265B"/>
    <w:rsid w:val="003A3126"/>
    <w:rsid w:val="003A3433"/>
    <w:rsid w:val="003A3F9D"/>
    <w:rsid w:val="003A40BB"/>
    <w:rsid w:val="003A537E"/>
    <w:rsid w:val="003A6250"/>
    <w:rsid w:val="003A660F"/>
    <w:rsid w:val="003A693E"/>
    <w:rsid w:val="003A6F29"/>
    <w:rsid w:val="003A7340"/>
    <w:rsid w:val="003A79A4"/>
    <w:rsid w:val="003B082E"/>
    <w:rsid w:val="003B089F"/>
    <w:rsid w:val="003B095E"/>
    <w:rsid w:val="003B1AAD"/>
    <w:rsid w:val="003B1CEB"/>
    <w:rsid w:val="003B2916"/>
    <w:rsid w:val="003B378A"/>
    <w:rsid w:val="003B3931"/>
    <w:rsid w:val="003B3C35"/>
    <w:rsid w:val="003B5803"/>
    <w:rsid w:val="003B587C"/>
    <w:rsid w:val="003B60B3"/>
    <w:rsid w:val="003B71EE"/>
    <w:rsid w:val="003B7303"/>
    <w:rsid w:val="003C0127"/>
    <w:rsid w:val="003C055D"/>
    <w:rsid w:val="003C0EAF"/>
    <w:rsid w:val="003C1A9F"/>
    <w:rsid w:val="003C1C5F"/>
    <w:rsid w:val="003C229C"/>
    <w:rsid w:val="003C2464"/>
    <w:rsid w:val="003C2849"/>
    <w:rsid w:val="003C3008"/>
    <w:rsid w:val="003C35C0"/>
    <w:rsid w:val="003C3EED"/>
    <w:rsid w:val="003C4A6A"/>
    <w:rsid w:val="003C54D2"/>
    <w:rsid w:val="003C55E2"/>
    <w:rsid w:val="003C58CA"/>
    <w:rsid w:val="003C735E"/>
    <w:rsid w:val="003C74CC"/>
    <w:rsid w:val="003C777E"/>
    <w:rsid w:val="003C7E00"/>
    <w:rsid w:val="003D11A9"/>
    <w:rsid w:val="003D1451"/>
    <w:rsid w:val="003D1FB3"/>
    <w:rsid w:val="003D2010"/>
    <w:rsid w:val="003D2A37"/>
    <w:rsid w:val="003D2F43"/>
    <w:rsid w:val="003D301B"/>
    <w:rsid w:val="003D362C"/>
    <w:rsid w:val="003D3E6A"/>
    <w:rsid w:val="003D3EFE"/>
    <w:rsid w:val="003D4597"/>
    <w:rsid w:val="003D556C"/>
    <w:rsid w:val="003D67C0"/>
    <w:rsid w:val="003D68E4"/>
    <w:rsid w:val="003D69EF"/>
    <w:rsid w:val="003D6B19"/>
    <w:rsid w:val="003D76C9"/>
    <w:rsid w:val="003E0880"/>
    <w:rsid w:val="003E0A83"/>
    <w:rsid w:val="003E0BFF"/>
    <w:rsid w:val="003E0EDB"/>
    <w:rsid w:val="003E2D6B"/>
    <w:rsid w:val="003E3EBE"/>
    <w:rsid w:val="003E5E1E"/>
    <w:rsid w:val="003E5F17"/>
    <w:rsid w:val="003E6196"/>
    <w:rsid w:val="003E6475"/>
    <w:rsid w:val="003E764D"/>
    <w:rsid w:val="003E7DC4"/>
    <w:rsid w:val="003F105A"/>
    <w:rsid w:val="003F2663"/>
    <w:rsid w:val="003F2CC6"/>
    <w:rsid w:val="003F31DB"/>
    <w:rsid w:val="003F3B2A"/>
    <w:rsid w:val="003F3E0E"/>
    <w:rsid w:val="003F40C3"/>
    <w:rsid w:val="003F48BA"/>
    <w:rsid w:val="003F4C84"/>
    <w:rsid w:val="003F57E6"/>
    <w:rsid w:val="003F6199"/>
    <w:rsid w:val="003F6407"/>
    <w:rsid w:val="003F7E29"/>
    <w:rsid w:val="0040028F"/>
    <w:rsid w:val="004005A1"/>
    <w:rsid w:val="0040095F"/>
    <w:rsid w:val="00401590"/>
    <w:rsid w:val="00401A49"/>
    <w:rsid w:val="00401E77"/>
    <w:rsid w:val="00402247"/>
    <w:rsid w:val="004033BF"/>
    <w:rsid w:val="004044F2"/>
    <w:rsid w:val="00404B7C"/>
    <w:rsid w:val="00404C3E"/>
    <w:rsid w:val="004067E0"/>
    <w:rsid w:val="00406D73"/>
    <w:rsid w:val="00407862"/>
    <w:rsid w:val="004112C2"/>
    <w:rsid w:val="00411617"/>
    <w:rsid w:val="00411C54"/>
    <w:rsid w:val="00411DEA"/>
    <w:rsid w:val="004131A0"/>
    <w:rsid w:val="00413FE6"/>
    <w:rsid w:val="00414755"/>
    <w:rsid w:val="00414963"/>
    <w:rsid w:val="0041498A"/>
    <w:rsid w:val="00414FDC"/>
    <w:rsid w:val="004155FD"/>
    <w:rsid w:val="00416479"/>
    <w:rsid w:val="00416574"/>
    <w:rsid w:val="0041685C"/>
    <w:rsid w:val="00416A2D"/>
    <w:rsid w:val="00416B93"/>
    <w:rsid w:val="00417E3F"/>
    <w:rsid w:val="004200DC"/>
    <w:rsid w:val="004201AE"/>
    <w:rsid w:val="00420540"/>
    <w:rsid w:val="00421450"/>
    <w:rsid w:val="00421866"/>
    <w:rsid w:val="00422F23"/>
    <w:rsid w:val="004237B0"/>
    <w:rsid w:val="00423F3A"/>
    <w:rsid w:val="00425029"/>
    <w:rsid w:val="004252E6"/>
    <w:rsid w:val="004256AB"/>
    <w:rsid w:val="00426090"/>
    <w:rsid w:val="0042682C"/>
    <w:rsid w:val="00426C29"/>
    <w:rsid w:val="00426CF2"/>
    <w:rsid w:val="00427E55"/>
    <w:rsid w:val="00427EB9"/>
    <w:rsid w:val="00430B85"/>
    <w:rsid w:val="00430FB7"/>
    <w:rsid w:val="0043212C"/>
    <w:rsid w:val="0043228E"/>
    <w:rsid w:val="004327B0"/>
    <w:rsid w:val="00432CD2"/>
    <w:rsid w:val="00432F35"/>
    <w:rsid w:val="004333C2"/>
    <w:rsid w:val="00434533"/>
    <w:rsid w:val="00434A99"/>
    <w:rsid w:val="00435A25"/>
    <w:rsid w:val="00436075"/>
    <w:rsid w:val="00437BB5"/>
    <w:rsid w:val="00437EA6"/>
    <w:rsid w:val="00442A0F"/>
    <w:rsid w:val="0044381A"/>
    <w:rsid w:val="00443AD5"/>
    <w:rsid w:val="00443C45"/>
    <w:rsid w:val="00443D41"/>
    <w:rsid w:val="004442AB"/>
    <w:rsid w:val="004445F0"/>
    <w:rsid w:val="004453AC"/>
    <w:rsid w:val="00445721"/>
    <w:rsid w:val="00445818"/>
    <w:rsid w:val="00445FA7"/>
    <w:rsid w:val="00447272"/>
    <w:rsid w:val="00450774"/>
    <w:rsid w:val="00451822"/>
    <w:rsid w:val="00451900"/>
    <w:rsid w:val="00452DB4"/>
    <w:rsid w:val="0045389C"/>
    <w:rsid w:val="00453BAE"/>
    <w:rsid w:val="00453D59"/>
    <w:rsid w:val="004545D6"/>
    <w:rsid w:val="004548E9"/>
    <w:rsid w:val="004553FE"/>
    <w:rsid w:val="00456229"/>
    <w:rsid w:val="00456242"/>
    <w:rsid w:val="0045743C"/>
    <w:rsid w:val="00457EBD"/>
    <w:rsid w:val="00460384"/>
    <w:rsid w:val="004604C0"/>
    <w:rsid w:val="00460B64"/>
    <w:rsid w:val="00460B6A"/>
    <w:rsid w:val="00460DDB"/>
    <w:rsid w:val="00460FFA"/>
    <w:rsid w:val="004614E9"/>
    <w:rsid w:val="004619BB"/>
    <w:rsid w:val="0046310A"/>
    <w:rsid w:val="0046342C"/>
    <w:rsid w:val="00463AE3"/>
    <w:rsid w:val="00465D3F"/>
    <w:rsid w:val="0046600B"/>
    <w:rsid w:val="00466114"/>
    <w:rsid w:val="0046621E"/>
    <w:rsid w:val="00466612"/>
    <w:rsid w:val="004666AD"/>
    <w:rsid w:val="0046680A"/>
    <w:rsid w:val="00467141"/>
    <w:rsid w:val="0047070F"/>
    <w:rsid w:val="004716E5"/>
    <w:rsid w:val="00471987"/>
    <w:rsid w:val="004726AF"/>
    <w:rsid w:val="00472D4D"/>
    <w:rsid w:val="00473128"/>
    <w:rsid w:val="004731DD"/>
    <w:rsid w:val="004733BA"/>
    <w:rsid w:val="0047461E"/>
    <w:rsid w:val="00475A1A"/>
    <w:rsid w:val="00475E15"/>
    <w:rsid w:val="00476058"/>
    <w:rsid w:val="0047638E"/>
    <w:rsid w:val="00477F9F"/>
    <w:rsid w:val="00480AF1"/>
    <w:rsid w:val="00481549"/>
    <w:rsid w:val="004819D5"/>
    <w:rsid w:val="00482088"/>
    <w:rsid w:val="004820EC"/>
    <w:rsid w:val="004825A1"/>
    <w:rsid w:val="0048299C"/>
    <w:rsid w:val="00483E42"/>
    <w:rsid w:val="00484376"/>
    <w:rsid w:val="004843F8"/>
    <w:rsid w:val="004846E6"/>
    <w:rsid w:val="00484C02"/>
    <w:rsid w:val="00486B77"/>
    <w:rsid w:val="0048761C"/>
    <w:rsid w:val="004877A2"/>
    <w:rsid w:val="00490397"/>
    <w:rsid w:val="00490642"/>
    <w:rsid w:val="004908B7"/>
    <w:rsid w:val="00490A71"/>
    <w:rsid w:val="004911E5"/>
    <w:rsid w:val="004919DD"/>
    <w:rsid w:val="004923C2"/>
    <w:rsid w:val="004926F8"/>
    <w:rsid w:val="004929AF"/>
    <w:rsid w:val="004935EF"/>
    <w:rsid w:val="004945A5"/>
    <w:rsid w:val="00494702"/>
    <w:rsid w:val="00494E14"/>
    <w:rsid w:val="00494F7C"/>
    <w:rsid w:val="00496661"/>
    <w:rsid w:val="00496668"/>
    <w:rsid w:val="00497288"/>
    <w:rsid w:val="004975A8"/>
    <w:rsid w:val="004A0C6D"/>
    <w:rsid w:val="004A0E21"/>
    <w:rsid w:val="004A2DF5"/>
    <w:rsid w:val="004A365D"/>
    <w:rsid w:val="004A3FF0"/>
    <w:rsid w:val="004A4EF3"/>
    <w:rsid w:val="004A5746"/>
    <w:rsid w:val="004A58DA"/>
    <w:rsid w:val="004A68BA"/>
    <w:rsid w:val="004A7734"/>
    <w:rsid w:val="004B06B1"/>
    <w:rsid w:val="004B06E4"/>
    <w:rsid w:val="004B0C85"/>
    <w:rsid w:val="004B0DB7"/>
    <w:rsid w:val="004B0FD3"/>
    <w:rsid w:val="004B187E"/>
    <w:rsid w:val="004B2D4A"/>
    <w:rsid w:val="004B3088"/>
    <w:rsid w:val="004B365A"/>
    <w:rsid w:val="004B3C00"/>
    <w:rsid w:val="004B3C45"/>
    <w:rsid w:val="004B6982"/>
    <w:rsid w:val="004B7914"/>
    <w:rsid w:val="004B7D80"/>
    <w:rsid w:val="004C1284"/>
    <w:rsid w:val="004C1D0C"/>
    <w:rsid w:val="004C2FF3"/>
    <w:rsid w:val="004C3B63"/>
    <w:rsid w:val="004C445C"/>
    <w:rsid w:val="004C496B"/>
    <w:rsid w:val="004C5F62"/>
    <w:rsid w:val="004C6A9A"/>
    <w:rsid w:val="004D013F"/>
    <w:rsid w:val="004D0CC4"/>
    <w:rsid w:val="004D0CEB"/>
    <w:rsid w:val="004D1006"/>
    <w:rsid w:val="004D2A7C"/>
    <w:rsid w:val="004D3849"/>
    <w:rsid w:val="004D4172"/>
    <w:rsid w:val="004D42E0"/>
    <w:rsid w:val="004D45DF"/>
    <w:rsid w:val="004D4751"/>
    <w:rsid w:val="004D5466"/>
    <w:rsid w:val="004D5ABD"/>
    <w:rsid w:val="004D6A1B"/>
    <w:rsid w:val="004D7143"/>
    <w:rsid w:val="004D7F30"/>
    <w:rsid w:val="004E02AA"/>
    <w:rsid w:val="004E0C0B"/>
    <w:rsid w:val="004E2125"/>
    <w:rsid w:val="004E32D6"/>
    <w:rsid w:val="004E346E"/>
    <w:rsid w:val="004E348F"/>
    <w:rsid w:val="004E42B0"/>
    <w:rsid w:val="004E513C"/>
    <w:rsid w:val="004E5DAC"/>
    <w:rsid w:val="004E5F8F"/>
    <w:rsid w:val="004E6163"/>
    <w:rsid w:val="004E6CFF"/>
    <w:rsid w:val="004E6D75"/>
    <w:rsid w:val="004E6F0A"/>
    <w:rsid w:val="004E7AD4"/>
    <w:rsid w:val="004E7CB1"/>
    <w:rsid w:val="004E7CCB"/>
    <w:rsid w:val="004F107F"/>
    <w:rsid w:val="004F1802"/>
    <w:rsid w:val="004F28ED"/>
    <w:rsid w:val="004F3688"/>
    <w:rsid w:val="004F3791"/>
    <w:rsid w:val="004F3AAE"/>
    <w:rsid w:val="004F3BD0"/>
    <w:rsid w:val="004F4BDE"/>
    <w:rsid w:val="004F51C2"/>
    <w:rsid w:val="004F70B0"/>
    <w:rsid w:val="004F7169"/>
    <w:rsid w:val="004F71B1"/>
    <w:rsid w:val="004F7CAC"/>
    <w:rsid w:val="00500F07"/>
    <w:rsid w:val="00501192"/>
    <w:rsid w:val="0050175A"/>
    <w:rsid w:val="00502CC5"/>
    <w:rsid w:val="00502FF1"/>
    <w:rsid w:val="00503E3C"/>
    <w:rsid w:val="00503E77"/>
    <w:rsid w:val="005046CF"/>
    <w:rsid w:val="0050477A"/>
    <w:rsid w:val="0050482B"/>
    <w:rsid w:val="00504DA3"/>
    <w:rsid w:val="00505980"/>
    <w:rsid w:val="00506022"/>
    <w:rsid w:val="005061B6"/>
    <w:rsid w:val="005065A9"/>
    <w:rsid w:val="00506C36"/>
    <w:rsid w:val="005077A7"/>
    <w:rsid w:val="0051019D"/>
    <w:rsid w:val="005111EB"/>
    <w:rsid w:val="00511320"/>
    <w:rsid w:val="005119C9"/>
    <w:rsid w:val="00512127"/>
    <w:rsid w:val="00513692"/>
    <w:rsid w:val="00513E42"/>
    <w:rsid w:val="00514106"/>
    <w:rsid w:val="005143F9"/>
    <w:rsid w:val="00514E56"/>
    <w:rsid w:val="00515BED"/>
    <w:rsid w:val="00515E35"/>
    <w:rsid w:val="00516566"/>
    <w:rsid w:val="0051667C"/>
    <w:rsid w:val="00516EF4"/>
    <w:rsid w:val="00520CB5"/>
    <w:rsid w:val="005218C3"/>
    <w:rsid w:val="00521E37"/>
    <w:rsid w:val="00522832"/>
    <w:rsid w:val="005256F8"/>
    <w:rsid w:val="00525856"/>
    <w:rsid w:val="00525C31"/>
    <w:rsid w:val="0052758B"/>
    <w:rsid w:val="0052792C"/>
    <w:rsid w:val="00531C11"/>
    <w:rsid w:val="0053211C"/>
    <w:rsid w:val="005321FB"/>
    <w:rsid w:val="005322A2"/>
    <w:rsid w:val="0053267E"/>
    <w:rsid w:val="00532FF6"/>
    <w:rsid w:val="0053350B"/>
    <w:rsid w:val="00533653"/>
    <w:rsid w:val="00533D6A"/>
    <w:rsid w:val="005351E4"/>
    <w:rsid w:val="005358E0"/>
    <w:rsid w:val="00535C74"/>
    <w:rsid w:val="005361AB"/>
    <w:rsid w:val="005361B0"/>
    <w:rsid w:val="00536201"/>
    <w:rsid w:val="005368D5"/>
    <w:rsid w:val="00540188"/>
    <w:rsid w:val="00540E53"/>
    <w:rsid w:val="005415FE"/>
    <w:rsid w:val="005416CF"/>
    <w:rsid w:val="00541D43"/>
    <w:rsid w:val="00541DE3"/>
    <w:rsid w:val="00542037"/>
    <w:rsid w:val="00542068"/>
    <w:rsid w:val="005420F5"/>
    <w:rsid w:val="00542EF0"/>
    <w:rsid w:val="005439E5"/>
    <w:rsid w:val="00543AF9"/>
    <w:rsid w:val="00543EF4"/>
    <w:rsid w:val="00544C74"/>
    <w:rsid w:val="00544DE1"/>
    <w:rsid w:val="00545978"/>
    <w:rsid w:val="00546701"/>
    <w:rsid w:val="00547FC0"/>
    <w:rsid w:val="00551529"/>
    <w:rsid w:val="005517F1"/>
    <w:rsid w:val="00551DCF"/>
    <w:rsid w:val="005524E7"/>
    <w:rsid w:val="00553069"/>
    <w:rsid w:val="00553166"/>
    <w:rsid w:val="0055323C"/>
    <w:rsid w:val="005535A0"/>
    <w:rsid w:val="00553B0C"/>
    <w:rsid w:val="0055532F"/>
    <w:rsid w:val="005558A9"/>
    <w:rsid w:val="005562F2"/>
    <w:rsid w:val="00556AE2"/>
    <w:rsid w:val="00557628"/>
    <w:rsid w:val="0055780A"/>
    <w:rsid w:val="00557822"/>
    <w:rsid w:val="00560039"/>
    <w:rsid w:val="005601E0"/>
    <w:rsid w:val="00560B4A"/>
    <w:rsid w:val="00560BC3"/>
    <w:rsid w:val="00561100"/>
    <w:rsid w:val="005617DF"/>
    <w:rsid w:val="005618BE"/>
    <w:rsid w:val="00561D24"/>
    <w:rsid w:val="00561F74"/>
    <w:rsid w:val="005621C7"/>
    <w:rsid w:val="0056414F"/>
    <w:rsid w:val="0056429D"/>
    <w:rsid w:val="0056512A"/>
    <w:rsid w:val="00566206"/>
    <w:rsid w:val="00566926"/>
    <w:rsid w:val="00566968"/>
    <w:rsid w:val="005700AF"/>
    <w:rsid w:val="0057123C"/>
    <w:rsid w:val="005719FC"/>
    <w:rsid w:val="00571BED"/>
    <w:rsid w:val="00572618"/>
    <w:rsid w:val="0057299C"/>
    <w:rsid w:val="0057324A"/>
    <w:rsid w:val="005732E3"/>
    <w:rsid w:val="005738A6"/>
    <w:rsid w:val="005747CA"/>
    <w:rsid w:val="0057501D"/>
    <w:rsid w:val="00575488"/>
    <w:rsid w:val="00575564"/>
    <w:rsid w:val="005760C0"/>
    <w:rsid w:val="00576234"/>
    <w:rsid w:val="0057642E"/>
    <w:rsid w:val="00576ADE"/>
    <w:rsid w:val="00577726"/>
    <w:rsid w:val="00577BE2"/>
    <w:rsid w:val="00577CB4"/>
    <w:rsid w:val="00577CFD"/>
    <w:rsid w:val="00577DEF"/>
    <w:rsid w:val="00580A27"/>
    <w:rsid w:val="00582053"/>
    <w:rsid w:val="0058436A"/>
    <w:rsid w:val="00584811"/>
    <w:rsid w:val="00584EB7"/>
    <w:rsid w:val="00587281"/>
    <w:rsid w:val="0058741F"/>
    <w:rsid w:val="00587D8C"/>
    <w:rsid w:val="005911F4"/>
    <w:rsid w:val="00591635"/>
    <w:rsid w:val="005916A0"/>
    <w:rsid w:val="00592381"/>
    <w:rsid w:val="00592461"/>
    <w:rsid w:val="005924F2"/>
    <w:rsid w:val="0059253C"/>
    <w:rsid w:val="00592FC3"/>
    <w:rsid w:val="005935C3"/>
    <w:rsid w:val="005938F2"/>
    <w:rsid w:val="00597972"/>
    <w:rsid w:val="00597CD1"/>
    <w:rsid w:val="00597FAB"/>
    <w:rsid w:val="005A0D2A"/>
    <w:rsid w:val="005A1746"/>
    <w:rsid w:val="005A20A0"/>
    <w:rsid w:val="005A2D6C"/>
    <w:rsid w:val="005A2DCE"/>
    <w:rsid w:val="005A3281"/>
    <w:rsid w:val="005A39AF"/>
    <w:rsid w:val="005A48D1"/>
    <w:rsid w:val="005A4B46"/>
    <w:rsid w:val="005A4BB0"/>
    <w:rsid w:val="005A4C43"/>
    <w:rsid w:val="005A6E7F"/>
    <w:rsid w:val="005A6FFC"/>
    <w:rsid w:val="005B06E0"/>
    <w:rsid w:val="005B0CCD"/>
    <w:rsid w:val="005B0CE2"/>
    <w:rsid w:val="005B104C"/>
    <w:rsid w:val="005B1415"/>
    <w:rsid w:val="005B419E"/>
    <w:rsid w:val="005B4383"/>
    <w:rsid w:val="005B460C"/>
    <w:rsid w:val="005B4D3F"/>
    <w:rsid w:val="005B5DED"/>
    <w:rsid w:val="005B5F98"/>
    <w:rsid w:val="005B6076"/>
    <w:rsid w:val="005B61EA"/>
    <w:rsid w:val="005B7ACD"/>
    <w:rsid w:val="005C0BC8"/>
    <w:rsid w:val="005C0CD2"/>
    <w:rsid w:val="005C1D28"/>
    <w:rsid w:val="005C2085"/>
    <w:rsid w:val="005C32B6"/>
    <w:rsid w:val="005C3A10"/>
    <w:rsid w:val="005C3D5A"/>
    <w:rsid w:val="005C4064"/>
    <w:rsid w:val="005C407E"/>
    <w:rsid w:val="005C5977"/>
    <w:rsid w:val="005C649F"/>
    <w:rsid w:val="005C6546"/>
    <w:rsid w:val="005C6A66"/>
    <w:rsid w:val="005C6F0D"/>
    <w:rsid w:val="005C793C"/>
    <w:rsid w:val="005D0BC0"/>
    <w:rsid w:val="005D1295"/>
    <w:rsid w:val="005D27C0"/>
    <w:rsid w:val="005D2D5F"/>
    <w:rsid w:val="005D3338"/>
    <w:rsid w:val="005D4C35"/>
    <w:rsid w:val="005D4C9C"/>
    <w:rsid w:val="005D4DE9"/>
    <w:rsid w:val="005D55A7"/>
    <w:rsid w:val="005D5BA1"/>
    <w:rsid w:val="005D5D07"/>
    <w:rsid w:val="005D613D"/>
    <w:rsid w:val="005D6275"/>
    <w:rsid w:val="005D697E"/>
    <w:rsid w:val="005E082D"/>
    <w:rsid w:val="005E22F7"/>
    <w:rsid w:val="005E287D"/>
    <w:rsid w:val="005E2FD4"/>
    <w:rsid w:val="005E4465"/>
    <w:rsid w:val="005E4878"/>
    <w:rsid w:val="005E49B2"/>
    <w:rsid w:val="005E553C"/>
    <w:rsid w:val="005E55D6"/>
    <w:rsid w:val="005E6358"/>
    <w:rsid w:val="005E735A"/>
    <w:rsid w:val="005E7A2D"/>
    <w:rsid w:val="005F0A5A"/>
    <w:rsid w:val="005F0AE8"/>
    <w:rsid w:val="005F1FD6"/>
    <w:rsid w:val="005F2515"/>
    <w:rsid w:val="005F276C"/>
    <w:rsid w:val="005F282B"/>
    <w:rsid w:val="005F2A6B"/>
    <w:rsid w:val="005F2DBE"/>
    <w:rsid w:val="005F3366"/>
    <w:rsid w:val="005F3635"/>
    <w:rsid w:val="005F40C1"/>
    <w:rsid w:val="005F44B2"/>
    <w:rsid w:val="005F6071"/>
    <w:rsid w:val="005F63E9"/>
    <w:rsid w:val="005F677B"/>
    <w:rsid w:val="005F67F0"/>
    <w:rsid w:val="005F79FA"/>
    <w:rsid w:val="005F7F92"/>
    <w:rsid w:val="00600A25"/>
    <w:rsid w:val="00600A39"/>
    <w:rsid w:val="006024D3"/>
    <w:rsid w:val="00602644"/>
    <w:rsid w:val="00602F09"/>
    <w:rsid w:val="00604613"/>
    <w:rsid w:val="0060521C"/>
    <w:rsid w:val="00606EF9"/>
    <w:rsid w:val="0060706A"/>
    <w:rsid w:val="00607758"/>
    <w:rsid w:val="00610582"/>
    <w:rsid w:val="00610674"/>
    <w:rsid w:val="0061094A"/>
    <w:rsid w:val="00610CB0"/>
    <w:rsid w:val="00610D5E"/>
    <w:rsid w:val="006110E8"/>
    <w:rsid w:val="006112E3"/>
    <w:rsid w:val="00611E6E"/>
    <w:rsid w:val="00612258"/>
    <w:rsid w:val="00613467"/>
    <w:rsid w:val="006144A5"/>
    <w:rsid w:val="0061475E"/>
    <w:rsid w:val="00616840"/>
    <w:rsid w:val="00616C56"/>
    <w:rsid w:val="0062027A"/>
    <w:rsid w:val="00620BE7"/>
    <w:rsid w:val="00620EA3"/>
    <w:rsid w:val="006214DD"/>
    <w:rsid w:val="006221AE"/>
    <w:rsid w:val="00623092"/>
    <w:rsid w:val="00623454"/>
    <w:rsid w:val="0062398E"/>
    <w:rsid w:val="00623BF5"/>
    <w:rsid w:val="006242BC"/>
    <w:rsid w:val="00624315"/>
    <w:rsid w:val="006245AB"/>
    <w:rsid w:val="00624778"/>
    <w:rsid w:val="00624E91"/>
    <w:rsid w:val="00625416"/>
    <w:rsid w:val="0062545B"/>
    <w:rsid w:val="0062552A"/>
    <w:rsid w:val="006267DF"/>
    <w:rsid w:val="00626F56"/>
    <w:rsid w:val="0062726F"/>
    <w:rsid w:val="00627CBD"/>
    <w:rsid w:val="00630496"/>
    <w:rsid w:val="00631A93"/>
    <w:rsid w:val="0063272A"/>
    <w:rsid w:val="00632EB8"/>
    <w:rsid w:val="006332BE"/>
    <w:rsid w:val="006348E7"/>
    <w:rsid w:val="00634BDD"/>
    <w:rsid w:val="00634E9D"/>
    <w:rsid w:val="0063738A"/>
    <w:rsid w:val="00637C5B"/>
    <w:rsid w:val="006408C3"/>
    <w:rsid w:val="00640B24"/>
    <w:rsid w:val="00640E65"/>
    <w:rsid w:val="006417A9"/>
    <w:rsid w:val="00641F9D"/>
    <w:rsid w:val="00642232"/>
    <w:rsid w:val="0064290C"/>
    <w:rsid w:val="00643035"/>
    <w:rsid w:val="0064344A"/>
    <w:rsid w:val="006436B7"/>
    <w:rsid w:val="00643A0F"/>
    <w:rsid w:val="00643CBB"/>
    <w:rsid w:val="00643F09"/>
    <w:rsid w:val="006448C0"/>
    <w:rsid w:val="00644A3A"/>
    <w:rsid w:val="00644B1E"/>
    <w:rsid w:val="00644E5C"/>
    <w:rsid w:val="00645064"/>
    <w:rsid w:val="00645AB3"/>
    <w:rsid w:val="0064620D"/>
    <w:rsid w:val="0064719A"/>
    <w:rsid w:val="00647829"/>
    <w:rsid w:val="0065226B"/>
    <w:rsid w:val="00652A47"/>
    <w:rsid w:val="00653876"/>
    <w:rsid w:val="00653BA9"/>
    <w:rsid w:val="00655158"/>
    <w:rsid w:val="00656330"/>
    <w:rsid w:val="00656662"/>
    <w:rsid w:val="00656A27"/>
    <w:rsid w:val="00657695"/>
    <w:rsid w:val="00657754"/>
    <w:rsid w:val="00657E44"/>
    <w:rsid w:val="00657EEB"/>
    <w:rsid w:val="00661215"/>
    <w:rsid w:val="006618AA"/>
    <w:rsid w:val="00661EFB"/>
    <w:rsid w:val="00662DFF"/>
    <w:rsid w:val="00662F96"/>
    <w:rsid w:val="00664356"/>
    <w:rsid w:val="0066472F"/>
    <w:rsid w:val="006647F0"/>
    <w:rsid w:val="00665A08"/>
    <w:rsid w:val="00665FC6"/>
    <w:rsid w:val="006663F4"/>
    <w:rsid w:val="00666CF6"/>
    <w:rsid w:val="00667104"/>
    <w:rsid w:val="00667CBF"/>
    <w:rsid w:val="00667E28"/>
    <w:rsid w:val="0067082B"/>
    <w:rsid w:val="00670E11"/>
    <w:rsid w:val="00671695"/>
    <w:rsid w:val="00672120"/>
    <w:rsid w:val="00672CDE"/>
    <w:rsid w:val="0067327D"/>
    <w:rsid w:val="00673352"/>
    <w:rsid w:val="0067368F"/>
    <w:rsid w:val="00673843"/>
    <w:rsid w:val="00673BB2"/>
    <w:rsid w:val="006744E9"/>
    <w:rsid w:val="006747AC"/>
    <w:rsid w:val="006764D0"/>
    <w:rsid w:val="006770D5"/>
    <w:rsid w:val="006773CD"/>
    <w:rsid w:val="00681861"/>
    <w:rsid w:val="00681C5B"/>
    <w:rsid w:val="00682389"/>
    <w:rsid w:val="0068368C"/>
    <w:rsid w:val="0068446B"/>
    <w:rsid w:val="00685832"/>
    <w:rsid w:val="00685EF6"/>
    <w:rsid w:val="0068650C"/>
    <w:rsid w:val="00686A71"/>
    <w:rsid w:val="00686CE5"/>
    <w:rsid w:val="00686F93"/>
    <w:rsid w:val="006872D7"/>
    <w:rsid w:val="006910C2"/>
    <w:rsid w:val="0069123E"/>
    <w:rsid w:val="006914AB"/>
    <w:rsid w:val="00691913"/>
    <w:rsid w:val="00691F5E"/>
    <w:rsid w:val="00692DA9"/>
    <w:rsid w:val="00693399"/>
    <w:rsid w:val="006940E6"/>
    <w:rsid w:val="0069459C"/>
    <w:rsid w:val="00695F3B"/>
    <w:rsid w:val="0069677E"/>
    <w:rsid w:val="006973A7"/>
    <w:rsid w:val="006A0ADB"/>
    <w:rsid w:val="006A138B"/>
    <w:rsid w:val="006A1569"/>
    <w:rsid w:val="006A1571"/>
    <w:rsid w:val="006A15B9"/>
    <w:rsid w:val="006A2750"/>
    <w:rsid w:val="006A2E9B"/>
    <w:rsid w:val="006A3A4F"/>
    <w:rsid w:val="006A3B2F"/>
    <w:rsid w:val="006A4C94"/>
    <w:rsid w:val="006A4F91"/>
    <w:rsid w:val="006A6279"/>
    <w:rsid w:val="006A7B56"/>
    <w:rsid w:val="006A7C13"/>
    <w:rsid w:val="006A7F2D"/>
    <w:rsid w:val="006B0480"/>
    <w:rsid w:val="006B04F3"/>
    <w:rsid w:val="006B11AE"/>
    <w:rsid w:val="006B140A"/>
    <w:rsid w:val="006B1E67"/>
    <w:rsid w:val="006B260F"/>
    <w:rsid w:val="006B31E4"/>
    <w:rsid w:val="006B32CC"/>
    <w:rsid w:val="006B53CD"/>
    <w:rsid w:val="006B5D29"/>
    <w:rsid w:val="006B6044"/>
    <w:rsid w:val="006B6DE4"/>
    <w:rsid w:val="006B7E34"/>
    <w:rsid w:val="006C014A"/>
    <w:rsid w:val="006C05C0"/>
    <w:rsid w:val="006C0780"/>
    <w:rsid w:val="006C0974"/>
    <w:rsid w:val="006C17F3"/>
    <w:rsid w:val="006C1A75"/>
    <w:rsid w:val="006C243B"/>
    <w:rsid w:val="006C381A"/>
    <w:rsid w:val="006C3C5E"/>
    <w:rsid w:val="006C44BB"/>
    <w:rsid w:val="006C4906"/>
    <w:rsid w:val="006C4D8D"/>
    <w:rsid w:val="006C6084"/>
    <w:rsid w:val="006C6143"/>
    <w:rsid w:val="006C6343"/>
    <w:rsid w:val="006C6AA6"/>
    <w:rsid w:val="006C7776"/>
    <w:rsid w:val="006C7A43"/>
    <w:rsid w:val="006D077C"/>
    <w:rsid w:val="006D0B87"/>
    <w:rsid w:val="006D10C4"/>
    <w:rsid w:val="006D2EBF"/>
    <w:rsid w:val="006D3271"/>
    <w:rsid w:val="006D32F0"/>
    <w:rsid w:val="006D33C5"/>
    <w:rsid w:val="006D388C"/>
    <w:rsid w:val="006D4A4B"/>
    <w:rsid w:val="006D4E1F"/>
    <w:rsid w:val="006D5586"/>
    <w:rsid w:val="006D5D03"/>
    <w:rsid w:val="006D5EE6"/>
    <w:rsid w:val="006D5F43"/>
    <w:rsid w:val="006D7D25"/>
    <w:rsid w:val="006E0343"/>
    <w:rsid w:val="006E04A9"/>
    <w:rsid w:val="006E40A6"/>
    <w:rsid w:val="006E43B2"/>
    <w:rsid w:val="006E5C3D"/>
    <w:rsid w:val="006E7022"/>
    <w:rsid w:val="006E7302"/>
    <w:rsid w:val="006E7E6D"/>
    <w:rsid w:val="006F0C7B"/>
    <w:rsid w:val="006F13D7"/>
    <w:rsid w:val="006F161E"/>
    <w:rsid w:val="006F16BE"/>
    <w:rsid w:val="006F1BB3"/>
    <w:rsid w:val="006F21CC"/>
    <w:rsid w:val="006F25E4"/>
    <w:rsid w:val="006F2B5D"/>
    <w:rsid w:val="006F350A"/>
    <w:rsid w:val="006F40D1"/>
    <w:rsid w:val="006F4E21"/>
    <w:rsid w:val="006F51FA"/>
    <w:rsid w:val="006F58DC"/>
    <w:rsid w:val="006F66A2"/>
    <w:rsid w:val="00700FE7"/>
    <w:rsid w:val="00701D74"/>
    <w:rsid w:val="00701E21"/>
    <w:rsid w:val="00702F43"/>
    <w:rsid w:val="00703418"/>
    <w:rsid w:val="00704A74"/>
    <w:rsid w:val="00704F10"/>
    <w:rsid w:val="00705313"/>
    <w:rsid w:val="007061AA"/>
    <w:rsid w:val="007063D3"/>
    <w:rsid w:val="00707130"/>
    <w:rsid w:val="00710485"/>
    <w:rsid w:val="007109D8"/>
    <w:rsid w:val="00711AF4"/>
    <w:rsid w:val="00712365"/>
    <w:rsid w:val="007123A3"/>
    <w:rsid w:val="00712C73"/>
    <w:rsid w:val="00713208"/>
    <w:rsid w:val="0071362E"/>
    <w:rsid w:val="0071432D"/>
    <w:rsid w:val="00714E0D"/>
    <w:rsid w:val="00715033"/>
    <w:rsid w:val="00715BF6"/>
    <w:rsid w:val="00716395"/>
    <w:rsid w:val="00716CD0"/>
    <w:rsid w:val="00717250"/>
    <w:rsid w:val="007175AD"/>
    <w:rsid w:val="00717AF1"/>
    <w:rsid w:val="00717C8E"/>
    <w:rsid w:val="00717F6B"/>
    <w:rsid w:val="007200AD"/>
    <w:rsid w:val="0072015E"/>
    <w:rsid w:val="007211DD"/>
    <w:rsid w:val="00722107"/>
    <w:rsid w:val="007221B0"/>
    <w:rsid w:val="00722446"/>
    <w:rsid w:val="00722A46"/>
    <w:rsid w:val="00723E1E"/>
    <w:rsid w:val="00724C39"/>
    <w:rsid w:val="00724D72"/>
    <w:rsid w:val="00724F15"/>
    <w:rsid w:val="00730546"/>
    <w:rsid w:val="00730D7F"/>
    <w:rsid w:val="00731B96"/>
    <w:rsid w:val="00733067"/>
    <w:rsid w:val="007339CB"/>
    <w:rsid w:val="0073437F"/>
    <w:rsid w:val="00734399"/>
    <w:rsid w:val="00734A2B"/>
    <w:rsid w:val="00735846"/>
    <w:rsid w:val="00735F01"/>
    <w:rsid w:val="007369D7"/>
    <w:rsid w:val="00736DE3"/>
    <w:rsid w:val="007378E8"/>
    <w:rsid w:val="0074081F"/>
    <w:rsid w:val="007408F2"/>
    <w:rsid w:val="0074301F"/>
    <w:rsid w:val="00743AD4"/>
    <w:rsid w:val="00743B80"/>
    <w:rsid w:val="00744434"/>
    <w:rsid w:val="00744933"/>
    <w:rsid w:val="007466F6"/>
    <w:rsid w:val="00747AD5"/>
    <w:rsid w:val="007503C5"/>
    <w:rsid w:val="00750420"/>
    <w:rsid w:val="0075082C"/>
    <w:rsid w:val="007509A6"/>
    <w:rsid w:val="00750B5A"/>
    <w:rsid w:val="00750C06"/>
    <w:rsid w:val="00750EA0"/>
    <w:rsid w:val="007513D0"/>
    <w:rsid w:val="00751BA8"/>
    <w:rsid w:val="00751C6B"/>
    <w:rsid w:val="00751F15"/>
    <w:rsid w:val="0075237B"/>
    <w:rsid w:val="00753368"/>
    <w:rsid w:val="00753653"/>
    <w:rsid w:val="00753746"/>
    <w:rsid w:val="00754175"/>
    <w:rsid w:val="007568D6"/>
    <w:rsid w:val="007571C5"/>
    <w:rsid w:val="007578F0"/>
    <w:rsid w:val="00757C3F"/>
    <w:rsid w:val="00760507"/>
    <w:rsid w:val="00760E36"/>
    <w:rsid w:val="00761E44"/>
    <w:rsid w:val="00762239"/>
    <w:rsid w:val="00762720"/>
    <w:rsid w:val="0076446C"/>
    <w:rsid w:val="0076517E"/>
    <w:rsid w:val="0076558D"/>
    <w:rsid w:val="00765E84"/>
    <w:rsid w:val="0076697E"/>
    <w:rsid w:val="00766DDE"/>
    <w:rsid w:val="00767028"/>
    <w:rsid w:val="007672DE"/>
    <w:rsid w:val="00767DFA"/>
    <w:rsid w:val="007700A7"/>
    <w:rsid w:val="0077079B"/>
    <w:rsid w:val="00770966"/>
    <w:rsid w:val="00772C70"/>
    <w:rsid w:val="00772CEE"/>
    <w:rsid w:val="00772D45"/>
    <w:rsid w:val="00772F73"/>
    <w:rsid w:val="00773A7D"/>
    <w:rsid w:val="007742E7"/>
    <w:rsid w:val="00774F80"/>
    <w:rsid w:val="00775432"/>
    <w:rsid w:val="0077548D"/>
    <w:rsid w:val="00775CD8"/>
    <w:rsid w:val="00776B52"/>
    <w:rsid w:val="007774B3"/>
    <w:rsid w:val="00777B35"/>
    <w:rsid w:val="00777F00"/>
    <w:rsid w:val="00777FA5"/>
    <w:rsid w:val="00780962"/>
    <w:rsid w:val="00780E71"/>
    <w:rsid w:val="007810BC"/>
    <w:rsid w:val="00781777"/>
    <w:rsid w:val="00781EC7"/>
    <w:rsid w:val="00781F4B"/>
    <w:rsid w:val="0078218C"/>
    <w:rsid w:val="007847FA"/>
    <w:rsid w:val="00784E72"/>
    <w:rsid w:val="00785233"/>
    <w:rsid w:val="007855BD"/>
    <w:rsid w:val="00787153"/>
    <w:rsid w:val="00787332"/>
    <w:rsid w:val="00790910"/>
    <w:rsid w:val="00790E3F"/>
    <w:rsid w:val="007913AD"/>
    <w:rsid w:val="007917D3"/>
    <w:rsid w:val="00791DE1"/>
    <w:rsid w:val="00791FBB"/>
    <w:rsid w:val="007924A5"/>
    <w:rsid w:val="00792893"/>
    <w:rsid w:val="0079375E"/>
    <w:rsid w:val="0079515E"/>
    <w:rsid w:val="00797646"/>
    <w:rsid w:val="00797D36"/>
    <w:rsid w:val="007A0446"/>
    <w:rsid w:val="007A0667"/>
    <w:rsid w:val="007A0C94"/>
    <w:rsid w:val="007A106B"/>
    <w:rsid w:val="007A30CA"/>
    <w:rsid w:val="007A321D"/>
    <w:rsid w:val="007A37EA"/>
    <w:rsid w:val="007A3A8C"/>
    <w:rsid w:val="007A4500"/>
    <w:rsid w:val="007A4E6D"/>
    <w:rsid w:val="007A50AD"/>
    <w:rsid w:val="007A5FB6"/>
    <w:rsid w:val="007A6254"/>
    <w:rsid w:val="007B0451"/>
    <w:rsid w:val="007B0E0C"/>
    <w:rsid w:val="007B1454"/>
    <w:rsid w:val="007B1770"/>
    <w:rsid w:val="007B23AF"/>
    <w:rsid w:val="007B2AF8"/>
    <w:rsid w:val="007B41C9"/>
    <w:rsid w:val="007B5085"/>
    <w:rsid w:val="007B5179"/>
    <w:rsid w:val="007B5503"/>
    <w:rsid w:val="007B621B"/>
    <w:rsid w:val="007B6F15"/>
    <w:rsid w:val="007B7A74"/>
    <w:rsid w:val="007C03AB"/>
    <w:rsid w:val="007C0435"/>
    <w:rsid w:val="007C09F0"/>
    <w:rsid w:val="007C0D0E"/>
    <w:rsid w:val="007C1F3D"/>
    <w:rsid w:val="007C26E5"/>
    <w:rsid w:val="007C2ED1"/>
    <w:rsid w:val="007C3C99"/>
    <w:rsid w:val="007C588D"/>
    <w:rsid w:val="007C5CA8"/>
    <w:rsid w:val="007C5D54"/>
    <w:rsid w:val="007C5F3D"/>
    <w:rsid w:val="007C6B1D"/>
    <w:rsid w:val="007C720A"/>
    <w:rsid w:val="007C7499"/>
    <w:rsid w:val="007C74C5"/>
    <w:rsid w:val="007D0418"/>
    <w:rsid w:val="007D1092"/>
    <w:rsid w:val="007D118C"/>
    <w:rsid w:val="007D15C5"/>
    <w:rsid w:val="007D1924"/>
    <w:rsid w:val="007D2621"/>
    <w:rsid w:val="007D28A7"/>
    <w:rsid w:val="007D2F42"/>
    <w:rsid w:val="007D37BE"/>
    <w:rsid w:val="007D3BB0"/>
    <w:rsid w:val="007D54A8"/>
    <w:rsid w:val="007D5CA8"/>
    <w:rsid w:val="007D6B9E"/>
    <w:rsid w:val="007D6CD7"/>
    <w:rsid w:val="007E046C"/>
    <w:rsid w:val="007E0CAF"/>
    <w:rsid w:val="007E12D2"/>
    <w:rsid w:val="007E1BB5"/>
    <w:rsid w:val="007E2F09"/>
    <w:rsid w:val="007E30AA"/>
    <w:rsid w:val="007E49FA"/>
    <w:rsid w:val="007E4BB3"/>
    <w:rsid w:val="007E4E34"/>
    <w:rsid w:val="007E5636"/>
    <w:rsid w:val="007E58EB"/>
    <w:rsid w:val="007E6730"/>
    <w:rsid w:val="007E7DAA"/>
    <w:rsid w:val="007F0300"/>
    <w:rsid w:val="007F06C0"/>
    <w:rsid w:val="007F08CA"/>
    <w:rsid w:val="007F0CE5"/>
    <w:rsid w:val="007F1E59"/>
    <w:rsid w:val="007F1EE5"/>
    <w:rsid w:val="007F2095"/>
    <w:rsid w:val="007F2207"/>
    <w:rsid w:val="007F250B"/>
    <w:rsid w:val="007F3037"/>
    <w:rsid w:val="007F3B6E"/>
    <w:rsid w:val="007F46E1"/>
    <w:rsid w:val="007F655D"/>
    <w:rsid w:val="007F6654"/>
    <w:rsid w:val="007F6938"/>
    <w:rsid w:val="007F7AC2"/>
    <w:rsid w:val="00801135"/>
    <w:rsid w:val="008018A2"/>
    <w:rsid w:val="00802B63"/>
    <w:rsid w:val="00802CB3"/>
    <w:rsid w:val="00803180"/>
    <w:rsid w:val="008036F7"/>
    <w:rsid w:val="00803DF3"/>
    <w:rsid w:val="00804451"/>
    <w:rsid w:val="00804D40"/>
    <w:rsid w:val="0080500D"/>
    <w:rsid w:val="00806434"/>
    <w:rsid w:val="008071FD"/>
    <w:rsid w:val="00807559"/>
    <w:rsid w:val="00807E7A"/>
    <w:rsid w:val="008100B6"/>
    <w:rsid w:val="008104D5"/>
    <w:rsid w:val="008108F4"/>
    <w:rsid w:val="00810A75"/>
    <w:rsid w:val="0081138E"/>
    <w:rsid w:val="008115C2"/>
    <w:rsid w:val="008117BF"/>
    <w:rsid w:val="00811B75"/>
    <w:rsid w:val="008127AA"/>
    <w:rsid w:val="0081290F"/>
    <w:rsid w:val="00813288"/>
    <w:rsid w:val="00815BC7"/>
    <w:rsid w:val="00815BFC"/>
    <w:rsid w:val="00815DC0"/>
    <w:rsid w:val="00816A29"/>
    <w:rsid w:val="00821050"/>
    <w:rsid w:val="00821A29"/>
    <w:rsid w:val="008226FD"/>
    <w:rsid w:val="00822B64"/>
    <w:rsid w:val="00823150"/>
    <w:rsid w:val="00823233"/>
    <w:rsid w:val="00824426"/>
    <w:rsid w:val="008246E6"/>
    <w:rsid w:val="00824B0E"/>
    <w:rsid w:val="00824C9D"/>
    <w:rsid w:val="00825236"/>
    <w:rsid w:val="00825893"/>
    <w:rsid w:val="008260B8"/>
    <w:rsid w:val="008261C9"/>
    <w:rsid w:val="008264D4"/>
    <w:rsid w:val="00826B64"/>
    <w:rsid w:val="00827126"/>
    <w:rsid w:val="00827A84"/>
    <w:rsid w:val="00827F02"/>
    <w:rsid w:val="00830597"/>
    <w:rsid w:val="0083077E"/>
    <w:rsid w:val="00830E52"/>
    <w:rsid w:val="00831486"/>
    <w:rsid w:val="0083233F"/>
    <w:rsid w:val="008324E3"/>
    <w:rsid w:val="0083311D"/>
    <w:rsid w:val="00833454"/>
    <w:rsid w:val="00833CDD"/>
    <w:rsid w:val="00833E59"/>
    <w:rsid w:val="008342D0"/>
    <w:rsid w:val="008358FD"/>
    <w:rsid w:val="00836E8D"/>
    <w:rsid w:val="0084016A"/>
    <w:rsid w:val="008401CB"/>
    <w:rsid w:val="008428E6"/>
    <w:rsid w:val="00842C0B"/>
    <w:rsid w:val="008434C4"/>
    <w:rsid w:val="008435A1"/>
    <w:rsid w:val="00844347"/>
    <w:rsid w:val="0084437F"/>
    <w:rsid w:val="008447CA"/>
    <w:rsid w:val="00844BCC"/>
    <w:rsid w:val="008450F3"/>
    <w:rsid w:val="0084510F"/>
    <w:rsid w:val="0084559A"/>
    <w:rsid w:val="00845946"/>
    <w:rsid w:val="008459FE"/>
    <w:rsid w:val="00845EF6"/>
    <w:rsid w:val="008463FA"/>
    <w:rsid w:val="008469D7"/>
    <w:rsid w:val="00847292"/>
    <w:rsid w:val="008476A0"/>
    <w:rsid w:val="00847E55"/>
    <w:rsid w:val="0085041B"/>
    <w:rsid w:val="008506E0"/>
    <w:rsid w:val="008509E0"/>
    <w:rsid w:val="00850A97"/>
    <w:rsid w:val="00851830"/>
    <w:rsid w:val="00851C5E"/>
    <w:rsid w:val="00852A9A"/>
    <w:rsid w:val="00852BC4"/>
    <w:rsid w:val="00852F38"/>
    <w:rsid w:val="008532B5"/>
    <w:rsid w:val="00854EF0"/>
    <w:rsid w:val="00856C34"/>
    <w:rsid w:val="008608C9"/>
    <w:rsid w:val="0086103B"/>
    <w:rsid w:val="0086151B"/>
    <w:rsid w:val="0086189D"/>
    <w:rsid w:val="008621C6"/>
    <w:rsid w:val="008627F3"/>
    <w:rsid w:val="00862B69"/>
    <w:rsid w:val="008631B5"/>
    <w:rsid w:val="00863AFB"/>
    <w:rsid w:val="00863E95"/>
    <w:rsid w:val="00864CD2"/>
    <w:rsid w:val="00865546"/>
    <w:rsid w:val="00865DC1"/>
    <w:rsid w:val="008668F6"/>
    <w:rsid w:val="00867E67"/>
    <w:rsid w:val="00870112"/>
    <w:rsid w:val="00870C8E"/>
    <w:rsid w:val="0087365A"/>
    <w:rsid w:val="008736E0"/>
    <w:rsid w:val="008738B5"/>
    <w:rsid w:val="008743C7"/>
    <w:rsid w:val="00874901"/>
    <w:rsid w:val="0087506A"/>
    <w:rsid w:val="008750F9"/>
    <w:rsid w:val="00875341"/>
    <w:rsid w:val="0087536F"/>
    <w:rsid w:val="0087572F"/>
    <w:rsid w:val="008759CE"/>
    <w:rsid w:val="00876886"/>
    <w:rsid w:val="00877570"/>
    <w:rsid w:val="00877942"/>
    <w:rsid w:val="00877B5C"/>
    <w:rsid w:val="00880A40"/>
    <w:rsid w:val="008810DB"/>
    <w:rsid w:val="008817D8"/>
    <w:rsid w:val="00881C81"/>
    <w:rsid w:val="0088268E"/>
    <w:rsid w:val="00882C06"/>
    <w:rsid w:val="00882CC7"/>
    <w:rsid w:val="00883CC3"/>
    <w:rsid w:val="008856E6"/>
    <w:rsid w:val="00886615"/>
    <w:rsid w:val="0088699D"/>
    <w:rsid w:val="008869F4"/>
    <w:rsid w:val="00886D6D"/>
    <w:rsid w:val="00886DAE"/>
    <w:rsid w:val="00887AE1"/>
    <w:rsid w:val="00890BE8"/>
    <w:rsid w:val="008911CB"/>
    <w:rsid w:val="00893EEF"/>
    <w:rsid w:val="00896A5A"/>
    <w:rsid w:val="008975A2"/>
    <w:rsid w:val="008979F1"/>
    <w:rsid w:val="00897A01"/>
    <w:rsid w:val="00897B51"/>
    <w:rsid w:val="008A0390"/>
    <w:rsid w:val="008A07C9"/>
    <w:rsid w:val="008A0D3C"/>
    <w:rsid w:val="008A12B3"/>
    <w:rsid w:val="008A14CB"/>
    <w:rsid w:val="008A184F"/>
    <w:rsid w:val="008A2089"/>
    <w:rsid w:val="008A2C72"/>
    <w:rsid w:val="008A3047"/>
    <w:rsid w:val="008A3ADD"/>
    <w:rsid w:val="008A3EAC"/>
    <w:rsid w:val="008A40BC"/>
    <w:rsid w:val="008A40DD"/>
    <w:rsid w:val="008A47F9"/>
    <w:rsid w:val="008A4880"/>
    <w:rsid w:val="008A48E0"/>
    <w:rsid w:val="008A49FE"/>
    <w:rsid w:val="008A4E88"/>
    <w:rsid w:val="008A52B1"/>
    <w:rsid w:val="008A5671"/>
    <w:rsid w:val="008A5754"/>
    <w:rsid w:val="008A5E0E"/>
    <w:rsid w:val="008A5F47"/>
    <w:rsid w:val="008A5F78"/>
    <w:rsid w:val="008A6D19"/>
    <w:rsid w:val="008B027F"/>
    <w:rsid w:val="008B02F8"/>
    <w:rsid w:val="008B0C53"/>
    <w:rsid w:val="008B104D"/>
    <w:rsid w:val="008B1261"/>
    <w:rsid w:val="008B1497"/>
    <w:rsid w:val="008B179E"/>
    <w:rsid w:val="008B1FFD"/>
    <w:rsid w:val="008B2287"/>
    <w:rsid w:val="008B272B"/>
    <w:rsid w:val="008B2C31"/>
    <w:rsid w:val="008B2E71"/>
    <w:rsid w:val="008B3BBA"/>
    <w:rsid w:val="008B4136"/>
    <w:rsid w:val="008B4EA4"/>
    <w:rsid w:val="008B5B32"/>
    <w:rsid w:val="008B682D"/>
    <w:rsid w:val="008B6A55"/>
    <w:rsid w:val="008B6E89"/>
    <w:rsid w:val="008B7179"/>
    <w:rsid w:val="008B7834"/>
    <w:rsid w:val="008B7DF3"/>
    <w:rsid w:val="008C0E84"/>
    <w:rsid w:val="008C133A"/>
    <w:rsid w:val="008C1604"/>
    <w:rsid w:val="008C19DB"/>
    <w:rsid w:val="008C2428"/>
    <w:rsid w:val="008C27EF"/>
    <w:rsid w:val="008C2989"/>
    <w:rsid w:val="008C3D0F"/>
    <w:rsid w:val="008C460D"/>
    <w:rsid w:val="008C585B"/>
    <w:rsid w:val="008C654F"/>
    <w:rsid w:val="008C67E8"/>
    <w:rsid w:val="008C69C5"/>
    <w:rsid w:val="008C7B3A"/>
    <w:rsid w:val="008C7E92"/>
    <w:rsid w:val="008D006C"/>
    <w:rsid w:val="008D028D"/>
    <w:rsid w:val="008D09DD"/>
    <w:rsid w:val="008D16A1"/>
    <w:rsid w:val="008D1784"/>
    <w:rsid w:val="008D1D3C"/>
    <w:rsid w:val="008D32E3"/>
    <w:rsid w:val="008D39DA"/>
    <w:rsid w:val="008D4428"/>
    <w:rsid w:val="008D475B"/>
    <w:rsid w:val="008D490F"/>
    <w:rsid w:val="008D522B"/>
    <w:rsid w:val="008D5BFD"/>
    <w:rsid w:val="008D6CD9"/>
    <w:rsid w:val="008D78FF"/>
    <w:rsid w:val="008D7B4B"/>
    <w:rsid w:val="008D7B8E"/>
    <w:rsid w:val="008D7BF5"/>
    <w:rsid w:val="008E04A2"/>
    <w:rsid w:val="008E12E3"/>
    <w:rsid w:val="008E226E"/>
    <w:rsid w:val="008E2591"/>
    <w:rsid w:val="008E2EF9"/>
    <w:rsid w:val="008E55DB"/>
    <w:rsid w:val="008E7763"/>
    <w:rsid w:val="008E78E1"/>
    <w:rsid w:val="008E7A3F"/>
    <w:rsid w:val="008E7C3B"/>
    <w:rsid w:val="008F01E5"/>
    <w:rsid w:val="008F07FC"/>
    <w:rsid w:val="008F1B49"/>
    <w:rsid w:val="008F240F"/>
    <w:rsid w:val="008F24C7"/>
    <w:rsid w:val="008F3519"/>
    <w:rsid w:val="008F426B"/>
    <w:rsid w:val="008F437D"/>
    <w:rsid w:val="008F4A7E"/>
    <w:rsid w:val="008F4C70"/>
    <w:rsid w:val="008F523F"/>
    <w:rsid w:val="008F5299"/>
    <w:rsid w:val="008F541B"/>
    <w:rsid w:val="008F58B7"/>
    <w:rsid w:val="008F5E79"/>
    <w:rsid w:val="008F6524"/>
    <w:rsid w:val="008F6F21"/>
    <w:rsid w:val="008F703E"/>
    <w:rsid w:val="008F75DC"/>
    <w:rsid w:val="008F7E71"/>
    <w:rsid w:val="00900174"/>
    <w:rsid w:val="009003BE"/>
    <w:rsid w:val="0090057F"/>
    <w:rsid w:val="009023B3"/>
    <w:rsid w:val="0090371F"/>
    <w:rsid w:val="00903ADB"/>
    <w:rsid w:val="00903F33"/>
    <w:rsid w:val="00904561"/>
    <w:rsid w:val="00904936"/>
    <w:rsid w:val="009049AE"/>
    <w:rsid w:val="00904D75"/>
    <w:rsid w:val="00906712"/>
    <w:rsid w:val="0090671B"/>
    <w:rsid w:val="00906899"/>
    <w:rsid w:val="009069CC"/>
    <w:rsid w:val="00906C2F"/>
    <w:rsid w:val="0090734D"/>
    <w:rsid w:val="00907899"/>
    <w:rsid w:val="00911AFB"/>
    <w:rsid w:val="00911FB1"/>
    <w:rsid w:val="0091238F"/>
    <w:rsid w:val="009126C9"/>
    <w:rsid w:val="0091386D"/>
    <w:rsid w:val="00914C87"/>
    <w:rsid w:val="00914DA7"/>
    <w:rsid w:val="00915F63"/>
    <w:rsid w:val="00916AFA"/>
    <w:rsid w:val="009177E9"/>
    <w:rsid w:val="00921D49"/>
    <w:rsid w:val="00922126"/>
    <w:rsid w:val="009221AD"/>
    <w:rsid w:val="00922D70"/>
    <w:rsid w:val="00922FBB"/>
    <w:rsid w:val="00923366"/>
    <w:rsid w:val="009240B7"/>
    <w:rsid w:val="0092435D"/>
    <w:rsid w:val="00924C45"/>
    <w:rsid w:val="0092600B"/>
    <w:rsid w:val="009265C7"/>
    <w:rsid w:val="00930CC7"/>
    <w:rsid w:val="00930D09"/>
    <w:rsid w:val="009328C9"/>
    <w:rsid w:val="00932D1F"/>
    <w:rsid w:val="009331CF"/>
    <w:rsid w:val="009334AC"/>
    <w:rsid w:val="009336F4"/>
    <w:rsid w:val="0093425C"/>
    <w:rsid w:val="00934564"/>
    <w:rsid w:val="00934788"/>
    <w:rsid w:val="00934C72"/>
    <w:rsid w:val="00934CD6"/>
    <w:rsid w:val="00935A16"/>
    <w:rsid w:val="00935B58"/>
    <w:rsid w:val="00937246"/>
    <w:rsid w:val="00937375"/>
    <w:rsid w:val="00937E53"/>
    <w:rsid w:val="009414EE"/>
    <w:rsid w:val="00941A22"/>
    <w:rsid w:val="00941A28"/>
    <w:rsid w:val="00941A4F"/>
    <w:rsid w:val="00941ED9"/>
    <w:rsid w:val="00942010"/>
    <w:rsid w:val="00942113"/>
    <w:rsid w:val="0094258F"/>
    <w:rsid w:val="009430D9"/>
    <w:rsid w:val="0094320A"/>
    <w:rsid w:val="00945263"/>
    <w:rsid w:val="00945A89"/>
    <w:rsid w:val="00946DFF"/>
    <w:rsid w:val="009470D5"/>
    <w:rsid w:val="0094749C"/>
    <w:rsid w:val="0095170D"/>
    <w:rsid w:val="00952632"/>
    <w:rsid w:val="0095307F"/>
    <w:rsid w:val="009548FF"/>
    <w:rsid w:val="00954D2D"/>
    <w:rsid w:val="009551B9"/>
    <w:rsid w:val="00955526"/>
    <w:rsid w:val="00955694"/>
    <w:rsid w:val="00955B9D"/>
    <w:rsid w:val="00956F92"/>
    <w:rsid w:val="00957074"/>
    <w:rsid w:val="009577D0"/>
    <w:rsid w:val="00957FD5"/>
    <w:rsid w:val="009624F6"/>
    <w:rsid w:val="00962538"/>
    <w:rsid w:val="0096315D"/>
    <w:rsid w:val="009648D7"/>
    <w:rsid w:val="00965269"/>
    <w:rsid w:val="00965E50"/>
    <w:rsid w:val="009668E7"/>
    <w:rsid w:val="00966C09"/>
    <w:rsid w:val="00966EEB"/>
    <w:rsid w:val="00967CE3"/>
    <w:rsid w:val="00970D2E"/>
    <w:rsid w:val="00971349"/>
    <w:rsid w:val="0097209C"/>
    <w:rsid w:val="0097277E"/>
    <w:rsid w:val="00972DC8"/>
    <w:rsid w:val="00973119"/>
    <w:rsid w:val="009732E6"/>
    <w:rsid w:val="00973476"/>
    <w:rsid w:val="00973CD8"/>
    <w:rsid w:val="00973E9B"/>
    <w:rsid w:val="009744AD"/>
    <w:rsid w:val="009748F0"/>
    <w:rsid w:val="00975854"/>
    <w:rsid w:val="00975A73"/>
    <w:rsid w:val="00977E1A"/>
    <w:rsid w:val="0098022C"/>
    <w:rsid w:val="009808B3"/>
    <w:rsid w:val="00980BE2"/>
    <w:rsid w:val="00980BEB"/>
    <w:rsid w:val="00980F87"/>
    <w:rsid w:val="00981467"/>
    <w:rsid w:val="009824CF"/>
    <w:rsid w:val="009825B1"/>
    <w:rsid w:val="00983112"/>
    <w:rsid w:val="00983587"/>
    <w:rsid w:val="00983827"/>
    <w:rsid w:val="00984441"/>
    <w:rsid w:val="009844CF"/>
    <w:rsid w:val="009845A6"/>
    <w:rsid w:val="00984DD8"/>
    <w:rsid w:val="0098502A"/>
    <w:rsid w:val="009850A1"/>
    <w:rsid w:val="0098513E"/>
    <w:rsid w:val="0098528A"/>
    <w:rsid w:val="009868D4"/>
    <w:rsid w:val="0099085F"/>
    <w:rsid w:val="009920C0"/>
    <w:rsid w:val="009925DB"/>
    <w:rsid w:val="00993114"/>
    <w:rsid w:val="00993CC9"/>
    <w:rsid w:val="009940A4"/>
    <w:rsid w:val="00995AD7"/>
    <w:rsid w:val="009960A5"/>
    <w:rsid w:val="00996BB1"/>
    <w:rsid w:val="00997802"/>
    <w:rsid w:val="009A0266"/>
    <w:rsid w:val="009A08CB"/>
    <w:rsid w:val="009A0904"/>
    <w:rsid w:val="009A098F"/>
    <w:rsid w:val="009A0EE5"/>
    <w:rsid w:val="009A1740"/>
    <w:rsid w:val="009A2132"/>
    <w:rsid w:val="009A2C16"/>
    <w:rsid w:val="009A325C"/>
    <w:rsid w:val="009A3E7C"/>
    <w:rsid w:val="009A3F70"/>
    <w:rsid w:val="009A4305"/>
    <w:rsid w:val="009A4DE7"/>
    <w:rsid w:val="009A580E"/>
    <w:rsid w:val="009A5ADB"/>
    <w:rsid w:val="009A6A4D"/>
    <w:rsid w:val="009A6F74"/>
    <w:rsid w:val="009A70A2"/>
    <w:rsid w:val="009B0768"/>
    <w:rsid w:val="009B0AAE"/>
    <w:rsid w:val="009B17C8"/>
    <w:rsid w:val="009B31C6"/>
    <w:rsid w:val="009B3C84"/>
    <w:rsid w:val="009B3E45"/>
    <w:rsid w:val="009B566B"/>
    <w:rsid w:val="009B56F6"/>
    <w:rsid w:val="009B5901"/>
    <w:rsid w:val="009B5AC4"/>
    <w:rsid w:val="009B6D61"/>
    <w:rsid w:val="009B72CC"/>
    <w:rsid w:val="009B77F5"/>
    <w:rsid w:val="009C00A4"/>
    <w:rsid w:val="009C00BD"/>
    <w:rsid w:val="009C076C"/>
    <w:rsid w:val="009C0CC4"/>
    <w:rsid w:val="009C0F03"/>
    <w:rsid w:val="009C190B"/>
    <w:rsid w:val="009C1AE0"/>
    <w:rsid w:val="009C250A"/>
    <w:rsid w:val="009C293A"/>
    <w:rsid w:val="009C2FCB"/>
    <w:rsid w:val="009C4A08"/>
    <w:rsid w:val="009C4B7F"/>
    <w:rsid w:val="009C4D08"/>
    <w:rsid w:val="009C4D5C"/>
    <w:rsid w:val="009C4D60"/>
    <w:rsid w:val="009C4F22"/>
    <w:rsid w:val="009C51E7"/>
    <w:rsid w:val="009C52E2"/>
    <w:rsid w:val="009C660B"/>
    <w:rsid w:val="009C674F"/>
    <w:rsid w:val="009C76B2"/>
    <w:rsid w:val="009C7DD5"/>
    <w:rsid w:val="009D0380"/>
    <w:rsid w:val="009D0A54"/>
    <w:rsid w:val="009D1783"/>
    <w:rsid w:val="009D2C81"/>
    <w:rsid w:val="009D31E9"/>
    <w:rsid w:val="009D3237"/>
    <w:rsid w:val="009D3628"/>
    <w:rsid w:val="009D378D"/>
    <w:rsid w:val="009D45C9"/>
    <w:rsid w:val="009D4AC9"/>
    <w:rsid w:val="009D4B5D"/>
    <w:rsid w:val="009D4BFA"/>
    <w:rsid w:val="009D4C2A"/>
    <w:rsid w:val="009D67D4"/>
    <w:rsid w:val="009D6914"/>
    <w:rsid w:val="009E05FF"/>
    <w:rsid w:val="009E1162"/>
    <w:rsid w:val="009E1A3C"/>
    <w:rsid w:val="009E1C22"/>
    <w:rsid w:val="009E2481"/>
    <w:rsid w:val="009E3363"/>
    <w:rsid w:val="009E37E4"/>
    <w:rsid w:val="009E3A64"/>
    <w:rsid w:val="009E3C7E"/>
    <w:rsid w:val="009E3E8C"/>
    <w:rsid w:val="009E3FF2"/>
    <w:rsid w:val="009E43E8"/>
    <w:rsid w:val="009E4664"/>
    <w:rsid w:val="009E50BB"/>
    <w:rsid w:val="009E55E7"/>
    <w:rsid w:val="009E5F9D"/>
    <w:rsid w:val="009E7696"/>
    <w:rsid w:val="009E78C6"/>
    <w:rsid w:val="009E7A04"/>
    <w:rsid w:val="009E7B0A"/>
    <w:rsid w:val="009E7C54"/>
    <w:rsid w:val="009E7C77"/>
    <w:rsid w:val="009F0078"/>
    <w:rsid w:val="009F0381"/>
    <w:rsid w:val="009F193A"/>
    <w:rsid w:val="009F3631"/>
    <w:rsid w:val="009F363C"/>
    <w:rsid w:val="009F3790"/>
    <w:rsid w:val="009F476C"/>
    <w:rsid w:val="009F49E9"/>
    <w:rsid w:val="009F4EBD"/>
    <w:rsid w:val="009F586C"/>
    <w:rsid w:val="009F5D30"/>
    <w:rsid w:val="009F7A90"/>
    <w:rsid w:val="009F7CEB"/>
    <w:rsid w:val="00A0077F"/>
    <w:rsid w:val="00A00BEF"/>
    <w:rsid w:val="00A00EA7"/>
    <w:rsid w:val="00A011E5"/>
    <w:rsid w:val="00A01854"/>
    <w:rsid w:val="00A03256"/>
    <w:rsid w:val="00A040FD"/>
    <w:rsid w:val="00A0426A"/>
    <w:rsid w:val="00A04C0D"/>
    <w:rsid w:val="00A07327"/>
    <w:rsid w:val="00A102B7"/>
    <w:rsid w:val="00A10FBF"/>
    <w:rsid w:val="00A11446"/>
    <w:rsid w:val="00A12A44"/>
    <w:rsid w:val="00A12AE3"/>
    <w:rsid w:val="00A12C82"/>
    <w:rsid w:val="00A132D7"/>
    <w:rsid w:val="00A16638"/>
    <w:rsid w:val="00A1675A"/>
    <w:rsid w:val="00A168E7"/>
    <w:rsid w:val="00A17490"/>
    <w:rsid w:val="00A179C8"/>
    <w:rsid w:val="00A17C26"/>
    <w:rsid w:val="00A20630"/>
    <w:rsid w:val="00A20785"/>
    <w:rsid w:val="00A20B1A"/>
    <w:rsid w:val="00A20C6B"/>
    <w:rsid w:val="00A214BE"/>
    <w:rsid w:val="00A216F9"/>
    <w:rsid w:val="00A21F41"/>
    <w:rsid w:val="00A22023"/>
    <w:rsid w:val="00A222A7"/>
    <w:rsid w:val="00A22A39"/>
    <w:rsid w:val="00A2315A"/>
    <w:rsid w:val="00A25C97"/>
    <w:rsid w:val="00A2672F"/>
    <w:rsid w:val="00A26E4A"/>
    <w:rsid w:val="00A276C0"/>
    <w:rsid w:val="00A27767"/>
    <w:rsid w:val="00A3011E"/>
    <w:rsid w:val="00A31029"/>
    <w:rsid w:val="00A326FE"/>
    <w:rsid w:val="00A33D74"/>
    <w:rsid w:val="00A34436"/>
    <w:rsid w:val="00A345F5"/>
    <w:rsid w:val="00A35216"/>
    <w:rsid w:val="00A367E1"/>
    <w:rsid w:val="00A37EDA"/>
    <w:rsid w:val="00A41160"/>
    <w:rsid w:val="00A41E5D"/>
    <w:rsid w:val="00A41EB0"/>
    <w:rsid w:val="00A43877"/>
    <w:rsid w:val="00A44719"/>
    <w:rsid w:val="00A44D94"/>
    <w:rsid w:val="00A45200"/>
    <w:rsid w:val="00A45378"/>
    <w:rsid w:val="00A46F68"/>
    <w:rsid w:val="00A50976"/>
    <w:rsid w:val="00A50B74"/>
    <w:rsid w:val="00A52DCD"/>
    <w:rsid w:val="00A530A3"/>
    <w:rsid w:val="00A535FB"/>
    <w:rsid w:val="00A53E1B"/>
    <w:rsid w:val="00A53FA8"/>
    <w:rsid w:val="00A54259"/>
    <w:rsid w:val="00A54387"/>
    <w:rsid w:val="00A54997"/>
    <w:rsid w:val="00A54A07"/>
    <w:rsid w:val="00A54EB6"/>
    <w:rsid w:val="00A54EC8"/>
    <w:rsid w:val="00A550AE"/>
    <w:rsid w:val="00A55A31"/>
    <w:rsid w:val="00A5609C"/>
    <w:rsid w:val="00A5672C"/>
    <w:rsid w:val="00A567AF"/>
    <w:rsid w:val="00A56C01"/>
    <w:rsid w:val="00A56D14"/>
    <w:rsid w:val="00A572B1"/>
    <w:rsid w:val="00A57A47"/>
    <w:rsid w:val="00A57E39"/>
    <w:rsid w:val="00A60096"/>
    <w:rsid w:val="00A60B92"/>
    <w:rsid w:val="00A61913"/>
    <w:rsid w:val="00A6192D"/>
    <w:rsid w:val="00A61D77"/>
    <w:rsid w:val="00A62117"/>
    <w:rsid w:val="00A63623"/>
    <w:rsid w:val="00A63630"/>
    <w:rsid w:val="00A6374D"/>
    <w:rsid w:val="00A64A39"/>
    <w:rsid w:val="00A6517D"/>
    <w:rsid w:val="00A6570B"/>
    <w:rsid w:val="00A65B24"/>
    <w:rsid w:val="00A65C1F"/>
    <w:rsid w:val="00A66AAF"/>
    <w:rsid w:val="00A67BC3"/>
    <w:rsid w:val="00A67F72"/>
    <w:rsid w:val="00A70DC7"/>
    <w:rsid w:val="00A71777"/>
    <w:rsid w:val="00A71E6B"/>
    <w:rsid w:val="00A73A9C"/>
    <w:rsid w:val="00A73B5E"/>
    <w:rsid w:val="00A73BE7"/>
    <w:rsid w:val="00A73FC6"/>
    <w:rsid w:val="00A75112"/>
    <w:rsid w:val="00A75DA1"/>
    <w:rsid w:val="00A76C05"/>
    <w:rsid w:val="00A76EA4"/>
    <w:rsid w:val="00A774D7"/>
    <w:rsid w:val="00A7774A"/>
    <w:rsid w:val="00A77BDE"/>
    <w:rsid w:val="00A77CBB"/>
    <w:rsid w:val="00A77F64"/>
    <w:rsid w:val="00A80459"/>
    <w:rsid w:val="00A81F82"/>
    <w:rsid w:val="00A83331"/>
    <w:rsid w:val="00A841B0"/>
    <w:rsid w:val="00A84AA3"/>
    <w:rsid w:val="00A84EAA"/>
    <w:rsid w:val="00A84FB8"/>
    <w:rsid w:val="00A85791"/>
    <w:rsid w:val="00A85A2B"/>
    <w:rsid w:val="00A86148"/>
    <w:rsid w:val="00A87A36"/>
    <w:rsid w:val="00A87AD3"/>
    <w:rsid w:val="00A9134C"/>
    <w:rsid w:val="00A91F5A"/>
    <w:rsid w:val="00A927A5"/>
    <w:rsid w:val="00A92DFD"/>
    <w:rsid w:val="00A9306E"/>
    <w:rsid w:val="00A932FE"/>
    <w:rsid w:val="00A933C4"/>
    <w:rsid w:val="00A93543"/>
    <w:rsid w:val="00A93F16"/>
    <w:rsid w:val="00A93F6B"/>
    <w:rsid w:val="00A9433D"/>
    <w:rsid w:val="00A94AE1"/>
    <w:rsid w:val="00A94B02"/>
    <w:rsid w:val="00A94EC9"/>
    <w:rsid w:val="00A94EFC"/>
    <w:rsid w:val="00A95CC8"/>
    <w:rsid w:val="00A963DD"/>
    <w:rsid w:val="00A9644D"/>
    <w:rsid w:val="00A97B28"/>
    <w:rsid w:val="00AA07C1"/>
    <w:rsid w:val="00AA1044"/>
    <w:rsid w:val="00AA1681"/>
    <w:rsid w:val="00AA1CEE"/>
    <w:rsid w:val="00AA1D9B"/>
    <w:rsid w:val="00AA1EAB"/>
    <w:rsid w:val="00AA2FA1"/>
    <w:rsid w:val="00AA45C5"/>
    <w:rsid w:val="00AA4E3C"/>
    <w:rsid w:val="00AA4E90"/>
    <w:rsid w:val="00AA51C1"/>
    <w:rsid w:val="00AA5283"/>
    <w:rsid w:val="00AA574D"/>
    <w:rsid w:val="00AA6156"/>
    <w:rsid w:val="00AA73AC"/>
    <w:rsid w:val="00AA766D"/>
    <w:rsid w:val="00AA7B77"/>
    <w:rsid w:val="00AB0811"/>
    <w:rsid w:val="00AB1837"/>
    <w:rsid w:val="00AB187A"/>
    <w:rsid w:val="00AB1AA7"/>
    <w:rsid w:val="00AB36EA"/>
    <w:rsid w:val="00AB37A2"/>
    <w:rsid w:val="00AB3A69"/>
    <w:rsid w:val="00AB514A"/>
    <w:rsid w:val="00AB5BAB"/>
    <w:rsid w:val="00AB6EEF"/>
    <w:rsid w:val="00AB77C8"/>
    <w:rsid w:val="00AB792F"/>
    <w:rsid w:val="00AC0F0D"/>
    <w:rsid w:val="00AC1609"/>
    <w:rsid w:val="00AC1E12"/>
    <w:rsid w:val="00AC2D2E"/>
    <w:rsid w:val="00AC386A"/>
    <w:rsid w:val="00AC3F8E"/>
    <w:rsid w:val="00AC489D"/>
    <w:rsid w:val="00AC50E3"/>
    <w:rsid w:val="00AC512D"/>
    <w:rsid w:val="00AC581E"/>
    <w:rsid w:val="00AC59CF"/>
    <w:rsid w:val="00AC5AD5"/>
    <w:rsid w:val="00AC5DB0"/>
    <w:rsid w:val="00AC6DA2"/>
    <w:rsid w:val="00AC6E3B"/>
    <w:rsid w:val="00AD0D94"/>
    <w:rsid w:val="00AD2EE9"/>
    <w:rsid w:val="00AD3206"/>
    <w:rsid w:val="00AD35BC"/>
    <w:rsid w:val="00AD37C7"/>
    <w:rsid w:val="00AD3FF3"/>
    <w:rsid w:val="00AD51C9"/>
    <w:rsid w:val="00AD542F"/>
    <w:rsid w:val="00AD5836"/>
    <w:rsid w:val="00AD645F"/>
    <w:rsid w:val="00AE1280"/>
    <w:rsid w:val="00AE151E"/>
    <w:rsid w:val="00AE19E3"/>
    <w:rsid w:val="00AE296D"/>
    <w:rsid w:val="00AE2A68"/>
    <w:rsid w:val="00AE2AE7"/>
    <w:rsid w:val="00AE319C"/>
    <w:rsid w:val="00AE36AC"/>
    <w:rsid w:val="00AE38E2"/>
    <w:rsid w:val="00AE39C0"/>
    <w:rsid w:val="00AE3A5A"/>
    <w:rsid w:val="00AE3F1D"/>
    <w:rsid w:val="00AE472C"/>
    <w:rsid w:val="00AE64B4"/>
    <w:rsid w:val="00AE772D"/>
    <w:rsid w:val="00AF04E2"/>
    <w:rsid w:val="00AF0A31"/>
    <w:rsid w:val="00AF0DF9"/>
    <w:rsid w:val="00AF116B"/>
    <w:rsid w:val="00AF1A88"/>
    <w:rsid w:val="00AF1C88"/>
    <w:rsid w:val="00AF22F5"/>
    <w:rsid w:val="00AF234A"/>
    <w:rsid w:val="00AF32F3"/>
    <w:rsid w:val="00AF4BE4"/>
    <w:rsid w:val="00AF4C16"/>
    <w:rsid w:val="00AF51CB"/>
    <w:rsid w:val="00AF53CE"/>
    <w:rsid w:val="00AF5DAE"/>
    <w:rsid w:val="00AF6869"/>
    <w:rsid w:val="00AF7178"/>
    <w:rsid w:val="00AF784F"/>
    <w:rsid w:val="00B008CF"/>
    <w:rsid w:val="00B00DC9"/>
    <w:rsid w:val="00B0230D"/>
    <w:rsid w:val="00B02945"/>
    <w:rsid w:val="00B05178"/>
    <w:rsid w:val="00B0529B"/>
    <w:rsid w:val="00B05A6C"/>
    <w:rsid w:val="00B05CD6"/>
    <w:rsid w:val="00B05E21"/>
    <w:rsid w:val="00B06DCF"/>
    <w:rsid w:val="00B06F60"/>
    <w:rsid w:val="00B10316"/>
    <w:rsid w:val="00B11338"/>
    <w:rsid w:val="00B115FC"/>
    <w:rsid w:val="00B11EA0"/>
    <w:rsid w:val="00B1236C"/>
    <w:rsid w:val="00B1273F"/>
    <w:rsid w:val="00B12D92"/>
    <w:rsid w:val="00B13338"/>
    <w:rsid w:val="00B1542E"/>
    <w:rsid w:val="00B161E7"/>
    <w:rsid w:val="00B17FDB"/>
    <w:rsid w:val="00B2015D"/>
    <w:rsid w:val="00B20DEC"/>
    <w:rsid w:val="00B20E0F"/>
    <w:rsid w:val="00B2138C"/>
    <w:rsid w:val="00B21BB1"/>
    <w:rsid w:val="00B225D0"/>
    <w:rsid w:val="00B23AF6"/>
    <w:rsid w:val="00B248C3"/>
    <w:rsid w:val="00B24C13"/>
    <w:rsid w:val="00B24DDB"/>
    <w:rsid w:val="00B259DF"/>
    <w:rsid w:val="00B25D68"/>
    <w:rsid w:val="00B26A16"/>
    <w:rsid w:val="00B2773E"/>
    <w:rsid w:val="00B2777B"/>
    <w:rsid w:val="00B27804"/>
    <w:rsid w:val="00B30120"/>
    <w:rsid w:val="00B302C4"/>
    <w:rsid w:val="00B3059C"/>
    <w:rsid w:val="00B30D73"/>
    <w:rsid w:val="00B33914"/>
    <w:rsid w:val="00B34031"/>
    <w:rsid w:val="00B34F62"/>
    <w:rsid w:val="00B35C2E"/>
    <w:rsid w:val="00B35D2A"/>
    <w:rsid w:val="00B367E2"/>
    <w:rsid w:val="00B36D7B"/>
    <w:rsid w:val="00B36FE8"/>
    <w:rsid w:val="00B373F0"/>
    <w:rsid w:val="00B3761F"/>
    <w:rsid w:val="00B4181C"/>
    <w:rsid w:val="00B41BAD"/>
    <w:rsid w:val="00B4220C"/>
    <w:rsid w:val="00B42B82"/>
    <w:rsid w:val="00B42EBD"/>
    <w:rsid w:val="00B446C2"/>
    <w:rsid w:val="00B45426"/>
    <w:rsid w:val="00B4656A"/>
    <w:rsid w:val="00B4773E"/>
    <w:rsid w:val="00B47C9E"/>
    <w:rsid w:val="00B5083D"/>
    <w:rsid w:val="00B508C1"/>
    <w:rsid w:val="00B50A87"/>
    <w:rsid w:val="00B510AF"/>
    <w:rsid w:val="00B5274E"/>
    <w:rsid w:val="00B5292E"/>
    <w:rsid w:val="00B558E9"/>
    <w:rsid w:val="00B55CAC"/>
    <w:rsid w:val="00B5671E"/>
    <w:rsid w:val="00B56D6A"/>
    <w:rsid w:val="00B57ECB"/>
    <w:rsid w:val="00B61224"/>
    <w:rsid w:val="00B61DB5"/>
    <w:rsid w:val="00B63460"/>
    <w:rsid w:val="00B635C0"/>
    <w:rsid w:val="00B63B0B"/>
    <w:rsid w:val="00B64063"/>
    <w:rsid w:val="00B6416F"/>
    <w:rsid w:val="00B666F6"/>
    <w:rsid w:val="00B66C04"/>
    <w:rsid w:val="00B66C1D"/>
    <w:rsid w:val="00B66C37"/>
    <w:rsid w:val="00B67119"/>
    <w:rsid w:val="00B70522"/>
    <w:rsid w:val="00B70F1B"/>
    <w:rsid w:val="00B71675"/>
    <w:rsid w:val="00B71B62"/>
    <w:rsid w:val="00B721CA"/>
    <w:rsid w:val="00B7254A"/>
    <w:rsid w:val="00B73AA6"/>
    <w:rsid w:val="00B73AE2"/>
    <w:rsid w:val="00B7418B"/>
    <w:rsid w:val="00B745E7"/>
    <w:rsid w:val="00B753DD"/>
    <w:rsid w:val="00B75BC0"/>
    <w:rsid w:val="00B7636B"/>
    <w:rsid w:val="00B76492"/>
    <w:rsid w:val="00B76C63"/>
    <w:rsid w:val="00B7782C"/>
    <w:rsid w:val="00B7796D"/>
    <w:rsid w:val="00B807A2"/>
    <w:rsid w:val="00B80B83"/>
    <w:rsid w:val="00B80D78"/>
    <w:rsid w:val="00B81D32"/>
    <w:rsid w:val="00B81DB0"/>
    <w:rsid w:val="00B82171"/>
    <w:rsid w:val="00B8254D"/>
    <w:rsid w:val="00B832A8"/>
    <w:rsid w:val="00B83300"/>
    <w:rsid w:val="00B83BE1"/>
    <w:rsid w:val="00B84C0B"/>
    <w:rsid w:val="00B85402"/>
    <w:rsid w:val="00B8560C"/>
    <w:rsid w:val="00B863A0"/>
    <w:rsid w:val="00B86EF0"/>
    <w:rsid w:val="00B870E2"/>
    <w:rsid w:val="00B8774B"/>
    <w:rsid w:val="00B87917"/>
    <w:rsid w:val="00B87997"/>
    <w:rsid w:val="00B87EFA"/>
    <w:rsid w:val="00B90B2D"/>
    <w:rsid w:val="00B91118"/>
    <w:rsid w:val="00B91E02"/>
    <w:rsid w:val="00B92DD8"/>
    <w:rsid w:val="00B938E3"/>
    <w:rsid w:val="00B94304"/>
    <w:rsid w:val="00B958D1"/>
    <w:rsid w:val="00B95C6C"/>
    <w:rsid w:val="00B96233"/>
    <w:rsid w:val="00B96B98"/>
    <w:rsid w:val="00B979E5"/>
    <w:rsid w:val="00BA002B"/>
    <w:rsid w:val="00BA01AB"/>
    <w:rsid w:val="00BA035A"/>
    <w:rsid w:val="00BA2484"/>
    <w:rsid w:val="00BA3306"/>
    <w:rsid w:val="00BA3B89"/>
    <w:rsid w:val="00BA3CB2"/>
    <w:rsid w:val="00BA42F9"/>
    <w:rsid w:val="00BA466B"/>
    <w:rsid w:val="00BA4BF4"/>
    <w:rsid w:val="00BA4EA9"/>
    <w:rsid w:val="00BA50AC"/>
    <w:rsid w:val="00BA56A7"/>
    <w:rsid w:val="00BA5724"/>
    <w:rsid w:val="00BA66FC"/>
    <w:rsid w:val="00BA73EE"/>
    <w:rsid w:val="00BA7428"/>
    <w:rsid w:val="00BB0944"/>
    <w:rsid w:val="00BB0EA0"/>
    <w:rsid w:val="00BB2329"/>
    <w:rsid w:val="00BB2788"/>
    <w:rsid w:val="00BB3110"/>
    <w:rsid w:val="00BB54A6"/>
    <w:rsid w:val="00BB55E0"/>
    <w:rsid w:val="00BB5D0C"/>
    <w:rsid w:val="00BB5FF9"/>
    <w:rsid w:val="00BB6875"/>
    <w:rsid w:val="00BB75A8"/>
    <w:rsid w:val="00BC031B"/>
    <w:rsid w:val="00BC1CAF"/>
    <w:rsid w:val="00BC1ECD"/>
    <w:rsid w:val="00BC47FD"/>
    <w:rsid w:val="00BC5965"/>
    <w:rsid w:val="00BC7404"/>
    <w:rsid w:val="00BD03EC"/>
    <w:rsid w:val="00BD10B6"/>
    <w:rsid w:val="00BD3CCA"/>
    <w:rsid w:val="00BD590A"/>
    <w:rsid w:val="00BD5A28"/>
    <w:rsid w:val="00BE02A5"/>
    <w:rsid w:val="00BE07C5"/>
    <w:rsid w:val="00BE129B"/>
    <w:rsid w:val="00BE1433"/>
    <w:rsid w:val="00BE158C"/>
    <w:rsid w:val="00BE16ED"/>
    <w:rsid w:val="00BE1E2D"/>
    <w:rsid w:val="00BE23E6"/>
    <w:rsid w:val="00BE3C33"/>
    <w:rsid w:val="00BE3CAA"/>
    <w:rsid w:val="00BE3D49"/>
    <w:rsid w:val="00BE3E5F"/>
    <w:rsid w:val="00BE47FB"/>
    <w:rsid w:val="00BE55FA"/>
    <w:rsid w:val="00BE583A"/>
    <w:rsid w:val="00BE5E2A"/>
    <w:rsid w:val="00BE69E1"/>
    <w:rsid w:val="00BF0A23"/>
    <w:rsid w:val="00BF1004"/>
    <w:rsid w:val="00BF10F5"/>
    <w:rsid w:val="00BF15A0"/>
    <w:rsid w:val="00BF2F7D"/>
    <w:rsid w:val="00BF2FF5"/>
    <w:rsid w:val="00BF4B20"/>
    <w:rsid w:val="00BF5F80"/>
    <w:rsid w:val="00BF6544"/>
    <w:rsid w:val="00BF6DDF"/>
    <w:rsid w:val="00BF77A7"/>
    <w:rsid w:val="00BF7E30"/>
    <w:rsid w:val="00C02007"/>
    <w:rsid w:val="00C031FA"/>
    <w:rsid w:val="00C0368B"/>
    <w:rsid w:val="00C03B9D"/>
    <w:rsid w:val="00C0408D"/>
    <w:rsid w:val="00C04444"/>
    <w:rsid w:val="00C04497"/>
    <w:rsid w:val="00C05AAB"/>
    <w:rsid w:val="00C05EB4"/>
    <w:rsid w:val="00C06459"/>
    <w:rsid w:val="00C06631"/>
    <w:rsid w:val="00C07417"/>
    <w:rsid w:val="00C07AB7"/>
    <w:rsid w:val="00C07BBA"/>
    <w:rsid w:val="00C07D88"/>
    <w:rsid w:val="00C10118"/>
    <w:rsid w:val="00C10407"/>
    <w:rsid w:val="00C10B20"/>
    <w:rsid w:val="00C10B79"/>
    <w:rsid w:val="00C115F0"/>
    <w:rsid w:val="00C1191F"/>
    <w:rsid w:val="00C136DC"/>
    <w:rsid w:val="00C13AFF"/>
    <w:rsid w:val="00C13D1B"/>
    <w:rsid w:val="00C14F1F"/>
    <w:rsid w:val="00C160BA"/>
    <w:rsid w:val="00C16258"/>
    <w:rsid w:val="00C164A4"/>
    <w:rsid w:val="00C16ACC"/>
    <w:rsid w:val="00C17105"/>
    <w:rsid w:val="00C174E1"/>
    <w:rsid w:val="00C202CF"/>
    <w:rsid w:val="00C20CB9"/>
    <w:rsid w:val="00C21388"/>
    <w:rsid w:val="00C2162A"/>
    <w:rsid w:val="00C21B26"/>
    <w:rsid w:val="00C221BF"/>
    <w:rsid w:val="00C23FEA"/>
    <w:rsid w:val="00C2437D"/>
    <w:rsid w:val="00C24CF1"/>
    <w:rsid w:val="00C257BC"/>
    <w:rsid w:val="00C262DC"/>
    <w:rsid w:val="00C268CF"/>
    <w:rsid w:val="00C27949"/>
    <w:rsid w:val="00C30B6B"/>
    <w:rsid w:val="00C317F3"/>
    <w:rsid w:val="00C31967"/>
    <w:rsid w:val="00C31B50"/>
    <w:rsid w:val="00C31E46"/>
    <w:rsid w:val="00C32157"/>
    <w:rsid w:val="00C325B8"/>
    <w:rsid w:val="00C339CC"/>
    <w:rsid w:val="00C341DF"/>
    <w:rsid w:val="00C341E1"/>
    <w:rsid w:val="00C349C2"/>
    <w:rsid w:val="00C34D01"/>
    <w:rsid w:val="00C361F4"/>
    <w:rsid w:val="00C36FCA"/>
    <w:rsid w:val="00C377DA"/>
    <w:rsid w:val="00C37927"/>
    <w:rsid w:val="00C37AB9"/>
    <w:rsid w:val="00C37D05"/>
    <w:rsid w:val="00C41831"/>
    <w:rsid w:val="00C42422"/>
    <w:rsid w:val="00C432CC"/>
    <w:rsid w:val="00C435E1"/>
    <w:rsid w:val="00C43607"/>
    <w:rsid w:val="00C44C37"/>
    <w:rsid w:val="00C44E8D"/>
    <w:rsid w:val="00C44FC4"/>
    <w:rsid w:val="00C45601"/>
    <w:rsid w:val="00C46685"/>
    <w:rsid w:val="00C46AE5"/>
    <w:rsid w:val="00C46CAE"/>
    <w:rsid w:val="00C47526"/>
    <w:rsid w:val="00C47654"/>
    <w:rsid w:val="00C47C5F"/>
    <w:rsid w:val="00C47E70"/>
    <w:rsid w:val="00C50B76"/>
    <w:rsid w:val="00C51EB3"/>
    <w:rsid w:val="00C523B7"/>
    <w:rsid w:val="00C526DB"/>
    <w:rsid w:val="00C528C7"/>
    <w:rsid w:val="00C52BE0"/>
    <w:rsid w:val="00C53985"/>
    <w:rsid w:val="00C543E1"/>
    <w:rsid w:val="00C56078"/>
    <w:rsid w:val="00C56093"/>
    <w:rsid w:val="00C56632"/>
    <w:rsid w:val="00C56C10"/>
    <w:rsid w:val="00C5767C"/>
    <w:rsid w:val="00C57E4D"/>
    <w:rsid w:val="00C60D47"/>
    <w:rsid w:val="00C622A3"/>
    <w:rsid w:val="00C626E2"/>
    <w:rsid w:val="00C628C8"/>
    <w:rsid w:val="00C62936"/>
    <w:rsid w:val="00C62C40"/>
    <w:rsid w:val="00C62EF4"/>
    <w:rsid w:val="00C63101"/>
    <w:rsid w:val="00C656BD"/>
    <w:rsid w:val="00C658EC"/>
    <w:rsid w:val="00C674D9"/>
    <w:rsid w:val="00C70238"/>
    <w:rsid w:val="00C70823"/>
    <w:rsid w:val="00C70D73"/>
    <w:rsid w:val="00C71223"/>
    <w:rsid w:val="00C71A5D"/>
    <w:rsid w:val="00C71C4C"/>
    <w:rsid w:val="00C71DF5"/>
    <w:rsid w:val="00C721CC"/>
    <w:rsid w:val="00C73340"/>
    <w:rsid w:val="00C736E7"/>
    <w:rsid w:val="00C74890"/>
    <w:rsid w:val="00C7519E"/>
    <w:rsid w:val="00C75345"/>
    <w:rsid w:val="00C75B1F"/>
    <w:rsid w:val="00C75DA6"/>
    <w:rsid w:val="00C7678F"/>
    <w:rsid w:val="00C76CD5"/>
    <w:rsid w:val="00C779A0"/>
    <w:rsid w:val="00C807CA"/>
    <w:rsid w:val="00C81A12"/>
    <w:rsid w:val="00C82261"/>
    <w:rsid w:val="00C824E4"/>
    <w:rsid w:val="00C8296F"/>
    <w:rsid w:val="00C83658"/>
    <w:rsid w:val="00C8369D"/>
    <w:rsid w:val="00C84109"/>
    <w:rsid w:val="00C846BE"/>
    <w:rsid w:val="00C84C02"/>
    <w:rsid w:val="00C85C62"/>
    <w:rsid w:val="00C85E5F"/>
    <w:rsid w:val="00C85F1F"/>
    <w:rsid w:val="00C8678A"/>
    <w:rsid w:val="00C86FEE"/>
    <w:rsid w:val="00C87120"/>
    <w:rsid w:val="00C874F7"/>
    <w:rsid w:val="00C87F5E"/>
    <w:rsid w:val="00C90BB1"/>
    <w:rsid w:val="00C90D08"/>
    <w:rsid w:val="00C90D8B"/>
    <w:rsid w:val="00C90F32"/>
    <w:rsid w:val="00C9161F"/>
    <w:rsid w:val="00C918A6"/>
    <w:rsid w:val="00C91FEB"/>
    <w:rsid w:val="00C920A1"/>
    <w:rsid w:val="00C92539"/>
    <w:rsid w:val="00C93327"/>
    <w:rsid w:val="00C933B2"/>
    <w:rsid w:val="00C933CF"/>
    <w:rsid w:val="00C934DC"/>
    <w:rsid w:val="00C93787"/>
    <w:rsid w:val="00C939E8"/>
    <w:rsid w:val="00C93A25"/>
    <w:rsid w:val="00C942DB"/>
    <w:rsid w:val="00C94C43"/>
    <w:rsid w:val="00C95428"/>
    <w:rsid w:val="00C963DE"/>
    <w:rsid w:val="00C96732"/>
    <w:rsid w:val="00C96DCD"/>
    <w:rsid w:val="00CA0C26"/>
    <w:rsid w:val="00CA0CC6"/>
    <w:rsid w:val="00CA15AC"/>
    <w:rsid w:val="00CA2CFF"/>
    <w:rsid w:val="00CA2F97"/>
    <w:rsid w:val="00CA37A9"/>
    <w:rsid w:val="00CA3BF6"/>
    <w:rsid w:val="00CA3CF9"/>
    <w:rsid w:val="00CA48E1"/>
    <w:rsid w:val="00CA4FF1"/>
    <w:rsid w:val="00CA622D"/>
    <w:rsid w:val="00CA63CB"/>
    <w:rsid w:val="00CA69AC"/>
    <w:rsid w:val="00CA75B3"/>
    <w:rsid w:val="00CB07A8"/>
    <w:rsid w:val="00CB07C5"/>
    <w:rsid w:val="00CB0989"/>
    <w:rsid w:val="00CB0F6A"/>
    <w:rsid w:val="00CB19F3"/>
    <w:rsid w:val="00CB2072"/>
    <w:rsid w:val="00CB4994"/>
    <w:rsid w:val="00CB5389"/>
    <w:rsid w:val="00CB5CF7"/>
    <w:rsid w:val="00CB63CA"/>
    <w:rsid w:val="00CC03CE"/>
    <w:rsid w:val="00CC10E1"/>
    <w:rsid w:val="00CC13FB"/>
    <w:rsid w:val="00CC1A05"/>
    <w:rsid w:val="00CC2CAB"/>
    <w:rsid w:val="00CC3543"/>
    <w:rsid w:val="00CC4375"/>
    <w:rsid w:val="00CC6F77"/>
    <w:rsid w:val="00CC7911"/>
    <w:rsid w:val="00CC79A7"/>
    <w:rsid w:val="00CD075B"/>
    <w:rsid w:val="00CD12E3"/>
    <w:rsid w:val="00CD17E5"/>
    <w:rsid w:val="00CD282F"/>
    <w:rsid w:val="00CD38AF"/>
    <w:rsid w:val="00CD3934"/>
    <w:rsid w:val="00CD396E"/>
    <w:rsid w:val="00CD396F"/>
    <w:rsid w:val="00CD4D4F"/>
    <w:rsid w:val="00CD5191"/>
    <w:rsid w:val="00CD5BEE"/>
    <w:rsid w:val="00CD6327"/>
    <w:rsid w:val="00CE03B7"/>
    <w:rsid w:val="00CE0535"/>
    <w:rsid w:val="00CE119E"/>
    <w:rsid w:val="00CE1F54"/>
    <w:rsid w:val="00CE2205"/>
    <w:rsid w:val="00CE26D2"/>
    <w:rsid w:val="00CE2B78"/>
    <w:rsid w:val="00CE2CA1"/>
    <w:rsid w:val="00CE2F21"/>
    <w:rsid w:val="00CE353B"/>
    <w:rsid w:val="00CE544C"/>
    <w:rsid w:val="00CE5848"/>
    <w:rsid w:val="00CE6A6D"/>
    <w:rsid w:val="00CE74A3"/>
    <w:rsid w:val="00CE7A3F"/>
    <w:rsid w:val="00CF0245"/>
    <w:rsid w:val="00CF061A"/>
    <w:rsid w:val="00CF0777"/>
    <w:rsid w:val="00CF0839"/>
    <w:rsid w:val="00CF0A2A"/>
    <w:rsid w:val="00CF0E2B"/>
    <w:rsid w:val="00CF1BB8"/>
    <w:rsid w:val="00CF1ED7"/>
    <w:rsid w:val="00CF2B76"/>
    <w:rsid w:val="00CF32D2"/>
    <w:rsid w:val="00CF3DC1"/>
    <w:rsid w:val="00CF3DFE"/>
    <w:rsid w:val="00CF4240"/>
    <w:rsid w:val="00CF4320"/>
    <w:rsid w:val="00CF437B"/>
    <w:rsid w:val="00CF49F7"/>
    <w:rsid w:val="00CF4F7F"/>
    <w:rsid w:val="00CF4FE3"/>
    <w:rsid w:val="00CF56DC"/>
    <w:rsid w:val="00CF5913"/>
    <w:rsid w:val="00CF5C64"/>
    <w:rsid w:val="00CF672B"/>
    <w:rsid w:val="00CF7966"/>
    <w:rsid w:val="00D00045"/>
    <w:rsid w:val="00D0027A"/>
    <w:rsid w:val="00D01A1F"/>
    <w:rsid w:val="00D026F7"/>
    <w:rsid w:val="00D034DD"/>
    <w:rsid w:val="00D044B2"/>
    <w:rsid w:val="00D04952"/>
    <w:rsid w:val="00D05005"/>
    <w:rsid w:val="00D06A16"/>
    <w:rsid w:val="00D06C19"/>
    <w:rsid w:val="00D06EDA"/>
    <w:rsid w:val="00D07889"/>
    <w:rsid w:val="00D1078F"/>
    <w:rsid w:val="00D10E60"/>
    <w:rsid w:val="00D12457"/>
    <w:rsid w:val="00D12550"/>
    <w:rsid w:val="00D12CD2"/>
    <w:rsid w:val="00D1334D"/>
    <w:rsid w:val="00D136A4"/>
    <w:rsid w:val="00D13AF3"/>
    <w:rsid w:val="00D14123"/>
    <w:rsid w:val="00D141F6"/>
    <w:rsid w:val="00D14D23"/>
    <w:rsid w:val="00D15755"/>
    <w:rsid w:val="00D15940"/>
    <w:rsid w:val="00D15B3E"/>
    <w:rsid w:val="00D15D43"/>
    <w:rsid w:val="00D15D8B"/>
    <w:rsid w:val="00D15DF2"/>
    <w:rsid w:val="00D16F92"/>
    <w:rsid w:val="00D17984"/>
    <w:rsid w:val="00D200CF"/>
    <w:rsid w:val="00D20B88"/>
    <w:rsid w:val="00D2211D"/>
    <w:rsid w:val="00D2219E"/>
    <w:rsid w:val="00D231CF"/>
    <w:rsid w:val="00D23207"/>
    <w:rsid w:val="00D234DB"/>
    <w:rsid w:val="00D23ADA"/>
    <w:rsid w:val="00D24BAE"/>
    <w:rsid w:val="00D24D4B"/>
    <w:rsid w:val="00D24DAD"/>
    <w:rsid w:val="00D25321"/>
    <w:rsid w:val="00D25447"/>
    <w:rsid w:val="00D25916"/>
    <w:rsid w:val="00D25D4B"/>
    <w:rsid w:val="00D26D97"/>
    <w:rsid w:val="00D26F27"/>
    <w:rsid w:val="00D2728E"/>
    <w:rsid w:val="00D27D83"/>
    <w:rsid w:val="00D27F24"/>
    <w:rsid w:val="00D30AA5"/>
    <w:rsid w:val="00D3176F"/>
    <w:rsid w:val="00D329E6"/>
    <w:rsid w:val="00D335CF"/>
    <w:rsid w:val="00D340C0"/>
    <w:rsid w:val="00D35588"/>
    <w:rsid w:val="00D3696A"/>
    <w:rsid w:val="00D374E3"/>
    <w:rsid w:val="00D37972"/>
    <w:rsid w:val="00D37C1D"/>
    <w:rsid w:val="00D4043F"/>
    <w:rsid w:val="00D40896"/>
    <w:rsid w:val="00D410DE"/>
    <w:rsid w:val="00D41534"/>
    <w:rsid w:val="00D4153C"/>
    <w:rsid w:val="00D41F99"/>
    <w:rsid w:val="00D42311"/>
    <w:rsid w:val="00D42CE3"/>
    <w:rsid w:val="00D42EED"/>
    <w:rsid w:val="00D43AB9"/>
    <w:rsid w:val="00D440A2"/>
    <w:rsid w:val="00D4434E"/>
    <w:rsid w:val="00D44387"/>
    <w:rsid w:val="00D44AF2"/>
    <w:rsid w:val="00D451FC"/>
    <w:rsid w:val="00D45324"/>
    <w:rsid w:val="00D455CA"/>
    <w:rsid w:val="00D45BCA"/>
    <w:rsid w:val="00D45E96"/>
    <w:rsid w:val="00D462CE"/>
    <w:rsid w:val="00D463F5"/>
    <w:rsid w:val="00D46DBA"/>
    <w:rsid w:val="00D4751E"/>
    <w:rsid w:val="00D47739"/>
    <w:rsid w:val="00D50B22"/>
    <w:rsid w:val="00D5238F"/>
    <w:rsid w:val="00D52417"/>
    <w:rsid w:val="00D53F67"/>
    <w:rsid w:val="00D55157"/>
    <w:rsid w:val="00D55E0F"/>
    <w:rsid w:val="00D56311"/>
    <w:rsid w:val="00D568AC"/>
    <w:rsid w:val="00D5713E"/>
    <w:rsid w:val="00D579FE"/>
    <w:rsid w:val="00D57A9A"/>
    <w:rsid w:val="00D60046"/>
    <w:rsid w:val="00D60298"/>
    <w:rsid w:val="00D6060D"/>
    <w:rsid w:val="00D619B9"/>
    <w:rsid w:val="00D61F15"/>
    <w:rsid w:val="00D63199"/>
    <w:rsid w:val="00D635CE"/>
    <w:rsid w:val="00D63C48"/>
    <w:rsid w:val="00D63E14"/>
    <w:rsid w:val="00D64289"/>
    <w:rsid w:val="00D64356"/>
    <w:rsid w:val="00D65164"/>
    <w:rsid w:val="00D65178"/>
    <w:rsid w:val="00D6524C"/>
    <w:rsid w:val="00D65E64"/>
    <w:rsid w:val="00D6667B"/>
    <w:rsid w:val="00D70497"/>
    <w:rsid w:val="00D70B7E"/>
    <w:rsid w:val="00D70D26"/>
    <w:rsid w:val="00D70DD2"/>
    <w:rsid w:val="00D71194"/>
    <w:rsid w:val="00D71400"/>
    <w:rsid w:val="00D7142C"/>
    <w:rsid w:val="00D7174E"/>
    <w:rsid w:val="00D71CFA"/>
    <w:rsid w:val="00D7285C"/>
    <w:rsid w:val="00D7296B"/>
    <w:rsid w:val="00D72F84"/>
    <w:rsid w:val="00D73287"/>
    <w:rsid w:val="00D75081"/>
    <w:rsid w:val="00D755E2"/>
    <w:rsid w:val="00D76092"/>
    <w:rsid w:val="00D7642F"/>
    <w:rsid w:val="00D766C1"/>
    <w:rsid w:val="00D76CA0"/>
    <w:rsid w:val="00D77003"/>
    <w:rsid w:val="00D7752E"/>
    <w:rsid w:val="00D77C19"/>
    <w:rsid w:val="00D77DD0"/>
    <w:rsid w:val="00D816E7"/>
    <w:rsid w:val="00D82C64"/>
    <w:rsid w:val="00D831D9"/>
    <w:rsid w:val="00D8366C"/>
    <w:rsid w:val="00D83764"/>
    <w:rsid w:val="00D83CE3"/>
    <w:rsid w:val="00D8441F"/>
    <w:rsid w:val="00D849CC"/>
    <w:rsid w:val="00D8519A"/>
    <w:rsid w:val="00D85964"/>
    <w:rsid w:val="00D85E73"/>
    <w:rsid w:val="00D87DD8"/>
    <w:rsid w:val="00D87DDA"/>
    <w:rsid w:val="00D901E8"/>
    <w:rsid w:val="00D901FB"/>
    <w:rsid w:val="00D90D1F"/>
    <w:rsid w:val="00D90F7C"/>
    <w:rsid w:val="00D918D3"/>
    <w:rsid w:val="00D93058"/>
    <w:rsid w:val="00D93635"/>
    <w:rsid w:val="00D93937"/>
    <w:rsid w:val="00D939B8"/>
    <w:rsid w:val="00D93D75"/>
    <w:rsid w:val="00D951FD"/>
    <w:rsid w:val="00D95394"/>
    <w:rsid w:val="00D953B0"/>
    <w:rsid w:val="00D96002"/>
    <w:rsid w:val="00D96BFC"/>
    <w:rsid w:val="00D970E7"/>
    <w:rsid w:val="00DA01E5"/>
    <w:rsid w:val="00DA027D"/>
    <w:rsid w:val="00DA032B"/>
    <w:rsid w:val="00DA0456"/>
    <w:rsid w:val="00DA04F9"/>
    <w:rsid w:val="00DA05A4"/>
    <w:rsid w:val="00DA0DB4"/>
    <w:rsid w:val="00DA19A4"/>
    <w:rsid w:val="00DA1DE8"/>
    <w:rsid w:val="00DA2386"/>
    <w:rsid w:val="00DA2F66"/>
    <w:rsid w:val="00DA3262"/>
    <w:rsid w:val="00DA43FF"/>
    <w:rsid w:val="00DA4835"/>
    <w:rsid w:val="00DA51F9"/>
    <w:rsid w:val="00DA55BB"/>
    <w:rsid w:val="00DA5605"/>
    <w:rsid w:val="00DA56EE"/>
    <w:rsid w:val="00DA59E8"/>
    <w:rsid w:val="00DA605F"/>
    <w:rsid w:val="00DA6B8F"/>
    <w:rsid w:val="00DA73EE"/>
    <w:rsid w:val="00DA7A0E"/>
    <w:rsid w:val="00DB0259"/>
    <w:rsid w:val="00DB232C"/>
    <w:rsid w:val="00DB3C34"/>
    <w:rsid w:val="00DB5C88"/>
    <w:rsid w:val="00DB6055"/>
    <w:rsid w:val="00DB64BA"/>
    <w:rsid w:val="00DB71BF"/>
    <w:rsid w:val="00DB76B2"/>
    <w:rsid w:val="00DB7AD5"/>
    <w:rsid w:val="00DB7C1F"/>
    <w:rsid w:val="00DB7CEA"/>
    <w:rsid w:val="00DC0151"/>
    <w:rsid w:val="00DC09BB"/>
    <w:rsid w:val="00DC1743"/>
    <w:rsid w:val="00DC1929"/>
    <w:rsid w:val="00DC273B"/>
    <w:rsid w:val="00DC3CCF"/>
    <w:rsid w:val="00DC3E7C"/>
    <w:rsid w:val="00DC4CAB"/>
    <w:rsid w:val="00DC4CC9"/>
    <w:rsid w:val="00DC4D3A"/>
    <w:rsid w:val="00DC667F"/>
    <w:rsid w:val="00DC6F32"/>
    <w:rsid w:val="00DC720C"/>
    <w:rsid w:val="00DC749C"/>
    <w:rsid w:val="00DC7746"/>
    <w:rsid w:val="00DC7815"/>
    <w:rsid w:val="00DD0EBF"/>
    <w:rsid w:val="00DD19B6"/>
    <w:rsid w:val="00DD2409"/>
    <w:rsid w:val="00DD2784"/>
    <w:rsid w:val="00DD2E46"/>
    <w:rsid w:val="00DD3049"/>
    <w:rsid w:val="00DD30CC"/>
    <w:rsid w:val="00DD35E7"/>
    <w:rsid w:val="00DD49EE"/>
    <w:rsid w:val="00DD4AB8"/>
    <w:rsid w:val="00DD5714"/>
    <w:rsid w:val="00DD5F7A"/>
    <w:rsid w:val="00DD6213"/>
    <w:rsid w:val="00DD624A"/>
    <w:rsid w:val="00DD7812"/>
    <w:rsid w:val="00DE0434"/>
    <w:rsid w:val="00DE1556"/>
    <w:rsid w:val="00DE1F52"/>
    <w:rsid w:val="00DE20F1"/>
    <w:rsid w:val="00DE2DE8"/>
    <w:rsid w:val="00DE30E2"/>
    <w:rsid w:val="00DE3211"/>
    <w:rsid w:val="00DE3A9A"/>
    <w:rsid w:val="00DE51CC"/>
    <w:rsid w:val="00DE5AA6"/>
    <w:rsid w:val="00DE5FC8"/>
    <w:rsid w:val="00DE61FB"/>
    <w:rsid w:val="00DE6421"/>
    <w:rsid w:val="00DE706B"/>
    <w:rsid w:val="00DE74A7"/>
    <w:rsid w:val="00DE7631"/>
    <w:rsid w:val="00DE7E6E"/>
    <w:rsid w:val="00DE7FA9"/>
    <w:rsid w:val="00DF0451"/>
    <w:rsid w:val="00DF04F6"/>
    <w:rsid w:val="00DF0F10"/>
    <w:rsid w:val="00DF0FFB"/>
    <w:rsid w:val="00DF1273"/>
    <w:rsid w:val="00DF16C0"/>
    <w:rsid w:val="00DF20F1"/>
    <w:rsid w:val="00DF2D1A"/>
    <w:rsid w:val="00DF3A42"/>
    <w:rsid w:val="00DF4311"/>
    <w:rsid w:val="00DF4B2F"/>
    <w:rsid w:val="00DF4E2D"/>
    <w:rsid w:val="00DF548B"/>
    <w:rsid w:val="00DF6FE2"/>
    <w:rsid w:val="00DF7820"/>
    <w:rsid w:val="00E01465"/>
    <w:rsid w:val="00E01D22"/>
    <w:rsid w:val="00E02683"/>
    <w:rsid w:val="00E02A57"/>
    <w:rsid w:val="00E0392D"/>
    <w:rsid w:val="00E041E4"/>
    <w:rsid w:val="00E04485"/>
    <w:rsid w:val="00E04863"/>
    <w:rsid w:val="00E04D72"/>
    <w:rsid w:val="00E04F63"/>
    <w:rsid w:val="00E055C2"/>
    <w:rsid w:val="00E05FBC"/>
    <w:rsid w:val="00E06E42"/>
    <w:rsid w:val="00E07C8C"/>
    <w:rsid w:val="00E10B7D"/>
    <w:rsid w:val="00E13E2A"/>
    <w:rsid w:val="00E13FF2"/>
    <w:rsid w:val="00E141E7"/>
    <w:rsid w:val="00E147EC"/>
    <w:rsid w:val="00E15F00"/>
    <w:rsid w:val="00E16869"/>
    <w:rsid w:val="00E1714B"/>
    <w:rsid w:val="00E17681"/>
    <w:rsid w:val="00E17779"/>
    <w:rsid w:val="00E200E8"/>
    <w:rsid w:val="00E20312"/>
    <w:rsid w:val="00E2058B"/>
    <w:rsid w:val="00E209B2"/>
    <w:rsid w:val="00E20FC4"/>
    <w:rsid w:val="00E2267B"/>
    <w:rsid w:val="00E227EA"/>
    <w:rsid w:val="00E23426"/>
    <w:rsid w:val="00E23660"/>
    <w:rsid w:val="00E236E3"/>
    <w:rsid w:val="00E23A59"/>
    <w:rsid w:val="00E23C7C"/>
    <w:rsid w:val="00E25A6E"/>
    <w:rsid w:val="00E264A6"/>
    <w:rsid w:val="00E26E40"/>
    <w:rsid w:val="00E2761D"/>
    <w:rsid w:val="00E27C0E"/>
    <w:rsid w:val="00E31326"/>
    <w:rsid w:val="00E31A1E"/>
    <w:rsid w:val="00E31B9C"/>
    <w:rsid w:val="00E32416"/>
    <w:rsid w:val="00E32C18"/>
    <w:rsid w:val="00E32C95"/>
    <w:rsid w:val="00E342D0"/>
    <w:rsid w:val="00E34484"/>
    <w:rsid w:val="00E34C9C"/>
    <w:rsid w:val="00E34CEA"/>
    <w:rsid w:val="00E3550C"/>
    <w:rsid w:val="00E3592E"/>
    <w:rsid w:val="00E3613A"/>
    <w:rsid w:val="00E363EA"/>
    <w:rsid w:val="00E365EC"/>
    <w:rsid w:val="00E367DE"/>
    <w:rsid w:val="00E37424"/>
    <w:rsid w:val="00E413EC"/>
    <w:rsid w:val="00E41805"/>
    <w:rsid w:val="00E43391"/>
    <w:rsid w:val="00E4342A"/>
    <w:rsid w:val="00E4412A"/>
    <w:rsid w:val="00E45180"/>
    <w:rsid w:val="00E45305"/>
    <w:rsid w:val="00E4548E"/>
    <w:rsid w:val="00E45BFF"/>
    <w:rsid w:val="00E45E7E"/>
    <w:rsid w:val="00E45FD8"/>
    <w:rsid w:val="00E465CB"/>
    <w:rsid w:val="00E46AC9"/>
    <w:rsid w:val="00E51BC0"/>
    <w:rsid w:val="00E52576"/>
    <w:rsid w:val="00E52766"/>
    <w:rsid w:val="00E529C2"/>
    <w:rsid w:val="00E53367"/>
    <w:rsid w:val="00E53407"/>
    <w:rsid w:val="00E53DB6"/>
    <w:rsid w:val="00E53E47"/>
    <w:rsid w:val="00E54750"/>
    <w:rsid w:val="00E54ACA"/>
    <w:rsid w:val="00E54E81"/>
    <w:rsid w:val="00E54FB3"/>
    <w:rsid w:val="00E55035"/>
    <w:rsid w:val="00E55904"/>
    <w:rsid w:val="00E55977"/>
    <w:rsid w:val="00E55BA8"/>
    <w:rsid w:val="00E55D6E"/>
    <w:rsid w:val="00E55E72"/>
    <w:rsid w:val="00E569BD"/>
    <w:rsid w:val="00E56E83"/>
    <w:rsid w:val="00E57521"/>
    <w:rsid w:val="00E575E5"/>
    <w:rsid w:val="00E60005"/>
    <w:rsid w:val="00E602EF"/>
    <w:rsid w:val="00E60616"/>
    <w:rsid w:val="00E6157A"/>
    <w:rsid w:val="00E61B4B"/>
    <w:rsid w:val="00E628DC"/>
    <w:rsid w:val="00E63451"/>
    <w:rsid w:val="00E6346D"/>
    <w:rsid w:val="00E63751"/>
    <w:rsid w:val="00E63D8C"/>
    <w:rsid w:val="00E642DA"/>
    <w:rsid w:val="00E64A71"/>
    <w:rsid w:val="00E64D84"/>
    <w:rsid w:val="00E65277"/>
    <w:rsid w:val="00E66614"/>
    <w:rsid w:val="00E66924"/>
    <w:rsid w:val="00E66945"/>
    <w:rsid w:val="00E70303"/>
    <w:rsid w:val="00E7176C"/>
    <w:rsid w:val="00E71CEB"/>
    <w:rsid w:val="00E72014"/>
    <w:rsid w:val="00E7398B"/>
    <w:rsid w:val="00E73D3F"/>
    <w:rsid w:val="00E74154"/>
    <w:rsid w:val="00E7482C"/>
    <w:rsid w:val="00E76CDD"/>
    <w:rsid w:val="00E77999"/>
    <w:rsid w:val="00E80035"/>
    <w:rsid w:val="00E80F87"/>
    <w:rsid w:val="00E8269B"/>
    <w:rsid w:val="00E85860"/>
    <w:rsid w:val="00E86924"/>
    <w:rsid w:val="00E86ABE"/>
    <w:rsid w:val="00E87211"/>
    <w:rsid w:val="00E87D24"/>
    <w:rsid w:val="00E908C0"/>
    <w:rsid w:val="00E911F9"/>
    <w:rsid w:val="00E915AF"/>
    <w:rsid w:val="00E92B30"/>
    <w:rsid w:val="00E930FA"/>
    <w:rsid w:val="00E931A9"/>
    <w:rsid w:val="00E93202"/>
    <w:rsid w:val="00E94562"/>
    <w:rsid w:val="00E94A10"/>
    <w:rsid w:val="00E94E37"/>
    <w:rsid w:val="00E95403"/>
    <w:rsid w:val="00E965A4"/>
    <w:rsid w:val="00E96829"/>
    <w:rsid w:val="00E9704C"/>
    <w:rsid w:val="00E976DF"/>
    <w:rsid w:val="00E97AB6"/>
    <w:rsid w:val="00E97B98"/>
    <w:rsid w:val="00EA1417"/>
    <w:rsid w:val="00EA1B29"/>
    <w:rsid w:val="00EA22EE"/>
    <w:rsid w:val="00EA2CC2"/>
    <w:rsid w:val="00EA2DDE"/>
    <w:rsid w:val="00EA3B06"/>
    <w:rsid w:val="00EA4CAB"/>
    <w:rsid w:val="00EA5552"/>
    <w:rsid w:val="00EA5C8F"/>
    <w:rsid w:val="00EA655D"/>
    <w:rsid w:val="00EA66E6"/>
    <w:rsid w:val="00EA6A93"/>
    <w:rsid w:val="00EA701D"/>
    <w:rsid w:val="00EA7A10"/>
    <w:rsid w:val="00EB0D0C"/>
    <w:rsid w:val="00EB0E17"/>
    <w:rsid w:val="00EB2224"/>
    <w:rsid w:val="00EB295A"/>
    <w:rsid w:val="00EB2C01"/>
    <w:rsid w:val="00EB34C2"/>
    <w:rsid w:val="00EB360C"/>
    <w:rsid w:val="00EB3951"/>
    <w:rsid w:val="00EB426B"/>
    <w:rsid w:val="00EB4B06"/>
    <w:rsid w:val="00EB58FB"/>
    <w:rsid w:val="00EB5E6D"/>
    <w:rsid w:val="00EB6CB7"/>
    <w:rsid w:val="00EB705C"/>
    <w:rsid w:val="00EC15BB"/>
    <w:rsid w:val="00EC2821"/>
    <w:rsid w:val="00EC2A24"/>
    <w:rsid w:val="00EC32A5"/>
    <w:rsid w:val="00EC4758"/>
    <w:rsid w:val="00EC50BD"/>
    <w:rsid w:val="00EC57D3"/>
    <w:rsid w:val="00EC5EB6"/>
    <w:rsid w:val="00EC6241"/>
    <w:rsid w:val="00EC6741"/>
    <w:rsid w:val="00EC6D8D"/>
    <w:rsid w:val="00EC7129"/>
    <w:rsid w:val="00EC7602"/>
    <w:rsid w:val="00EC7764"/>
    <w:rsid w:val="00EC7E7E"/>
    <w:rsid w:val="00ED0EF9"/>
    <w:rsid w:val="00ED13F4"/>
    <w:rsid w:val="00ED2713"/>
    <w:rsid w:val="00ED29A2"/>
    <w:rsid w:val="00ED3A9C"/>
    <w:rsid w:val="00ED4AA4"/>
    <w:rsid w:val="00ED4CCC"/>
    <w:rsid w:val="00ED50F3"/>
    <w:rsid w:val="00ED52B4"/>
    <w:rsid w:val="00ED5500"/>
    <w:rsid w:val="00ED5BB3"/>
    <w:rsid w:val="00ED6840"/>
    <w:rsid w:val="00ED6B32"/>
    <w:rsid w:val="00ED71FF"/>
    <w:rsid w:val="00ED7509"/>
    <w:rsid w:val="00ED7997"/>
    <w:rsid w:val="00EE0A1F"/>
    <w:rsid w:val="00EE189F"/>
    <w:rsid w:val="00EE1BEE"/>
    <w:rsid w:val="00EE1D2E"/>
    <w:rsid w:val="00EE1F62"/>
    <w:rsid w:val="00EE2852"/>
    <w:rsid w:val="00EE2BDD"/>
    <w:rsid w:val="00EE4579"/>
    <w:rsid w:val="00EE5014"/>
    <w:rsid w:val="00EE65F2"/>
    <w:rsid w:val="00EE6605"/>
    <w:rsid w:val="00EE6799"/>
    <w:rsid w:val="00EE6AE1"/>
    <w:rsid w:val="00EE744B"/>
    <w:rsid w:val="00EF3278"/>
    <w:rsid w:val="00EF3308"/>
    <w:rsid w:val="00EF3984"/>
    <w:rsid w:val="00EF3E8B"/>
    <w:rsid w:val="00EF5451"/>
    <w:rsid w:val="00EF5D29"/>
    <w:rsid w:val="00EF6A6B"/>
    <w:rsid w:val="00EF7066"/>
    <w:rsid w:val="00EF7C4D"/>
    <w:rsid w:val="00F003B8"/>
    <w:rsid w:val="00F00678"/>
    <w:rsid w:val="00F0106C"/>
    <w:rsid w:val="00F0152D"/>
    <w:rsid w:val="00F01723"/>
    <w:rsid w:val="00F02AEC"/>
    <w:rsid w:val="00F035BC"/>
    <w:rsid w:val="00F03884"/>
    <w:rsid w:val="00F03EB2"/>
    <w:rsid w:val="00F046F9"/>
    <w:rsid w:val="00F049EC"/>
    <w:rsid w:val="00F05279"/>
    <w:rsid w:val="00F0542E"/>
    <w:rsid w:val="00F05934"/>
    <w:rsid w:val="00F0645B"/>
    <w:rsid w:val="00F074B4"/>
    <w:rsid w:val="00F1074A"/>
    <w:rsid w:val="00F1098E"/>
    <w:rsid w:val="00F11601"/>
    <w:rsid w:val="00F12BE9"/>
    <w:rsid w:val="00F12C9E"/>
    <w:rsid w:val="00F12ED0"/>
    <w:rsid w:val="00F12F77"/>
    <w:rsid w:val="00F13CFE"/>
    <w:rsid w:val="00F13E99"/>
    <w:rsid w:val="00F145A6"/>
    <w:rsid w:val="00F151DD"/>
    <w:rsid w:val="00F15297"/>
    <w:rsid w:val="00F152F8"/>
    <w:rsid w:val="00F1546C"/>
    <w:rsid w:val="00F15A89"/>
    <w:rsid w:val="00F15EAD"/>
    <w:rsid w:val="00F16853"/>
    <w:rsid w:val="00F16857"/>
    <w:rsid w:val="00F17494"/>
    <w:rsid w:val="00F17550"/>
    <w:rsid w:val="00F175B4"/>
    <w:rsid w:val="00F17785"/>
    <w:rsid w:val="00F21B3F"/>
    <w:rsid w:val="00F226A1"/>
    <w:rsid w:val="00F22C4E"/>
    <w:rsid w:val="00F23EC8"/>
    <w:rsid w:val="00F25229"/>
    <w:rsid w:val="00F25B59"/>
    <w:rsid w:val="00F26024"/>
    <w:rsid w:val="00F26B4B"/>
    <w:rsid w:val="00F26DFE"/>
    <w:rsid w:val="00F2706C"/>
    <w:rsid w:val="00F274E3"/>
    <w:rsid w:val="00F30302"/>
    <w:rsid w:val="00F30372"/>
    <w:rsid w:val="00F3094A"/>
    <w:rsid w:val="00F30C52"/>
    <w:rsid w:val="00F31FEB"/>
    <w:rsid w:val="00F333C9"/>
    <w:rsid w:val="00F33A29"/>
    <w:rsid w:val="00F34DF3"/>
    <w:rsid w:val="00F35751"/>
    <w:rsid w:val="00F36331"/>
    <w:rsid w:val="00F36A47"/>
    <w:rsid w:val="00F37864"/>
    <w:rsid w:val="00F37C5D"/>
    <w:rsid w:val="00F37D75"/>
    <w:rsid w:val="00F41320"/>
    <w:rsid w:val="00F41B94"/>
    <w:rsid w:val="00F420F4"/>
    <w:rsid w:val="00F42D06"/>
    <w:rsid w:val="00F435FB"/>
    <w:rsid w:val="00F4420F"/>
    <w:rsid w:val="00F45B9C"/>
    <w:rsid w:val="00F46127"/>
    <w:rsid w:val="00F46FCD"/>
    <w:rsid w:val="00F4712F"/>
    <w:rsid w:val="00F5079F"/>
    <w:rsid w:val="00F50A1E"/>
    <w:rsid w:val="00F511E3"/>
    <w:rsid w:val="00F512F7"/>
    <w:rsid w:val="00F5197E"/>
    <w:rsid w:val="00F51CA3"/>
    <w:rsid w:val="00F527BF"/>
    <w:rsid w:val="00F52ADA"/>
    <w:rsid w:val="00F5585C"/>
    <w:rsid w:val="00F56314"/>
    <w:rsid w:val="00F56C15"/>
    <w:rsid w:val="00F56F70"/>
    <w:rsid w:val="00F572EA"/>
    <w:rsid w:val="00F573E3"/>
    <w:rsid w:val="00F57791"/>
    <w:rsid w:val="00F57AD8"/>
    <w:rsid w:val="00F60633"/>
    <w:rsid w:val="00F6177B"/>
    <w:rsid w:val="00F61E38"/>
    <w:rsid w:val="00F625F2"/>
    <w:rsid w:val="00F6275F"/>
    <w:rsid w:val="00F630C9"/>
    <w:rsid w:val="00F63471"/>
    <w:rsid w:val="00F6377B"/>
    <w:rsid w:val="00F6422B"/>
    <w:rsid w:val="00F64509"/>
    <w:rsid w:val="00F64E57"/>
    <w:rsid w:val="00F64FC1"/>
    <w:rsid w:val="00F64FF3"/>
    <w:rsid w:val="00F65368"/>
    <w:rsid w:val="00F663F9"/>
    <w:rsid w:val="00F675B4"/>
    <w:rsid w:val="00F67BEF"/>
    <w:rsid w:val="00F701DC"/>
    <w:rsid w:val="00F71008"/>
    <w:rsid w:val="00F7159B"/>
    <w:rsid w:val="00F7230E"/>
    <w:rsid w:val="00F729E2"/>
    <w:rsid w:val="00F72B42"/>
    <w:rsid w:val="00F72BB2"/>
    <w:rsid w:val="00F730C9"/>
    <w:rsid w:val="00F733F3"/>
    <w:rsid w:val="00F73A39"/>
    <w:rsid w:val="00F73E47"/>
    <w:rsid w:val="00F75055"/>
    <w:rsid w:val="00F754B9"/>
    <w:rsid w:val="00F758FF"/>
    <w:rsid w:val="00F75D3A"/>
    <w:rsid w:val="00F75EF5"/>
    <w:rsid w:val="00F76701"/>
    <w:rsid w:val="00F770A2"/>
    <w:rsid w:val="00F77655"/>
    <w:rsid w:val="00F777B8"/>
    <w:rsid w:val="00F80065"/>
    <w:rsid w:val="00F80139"/>
    <w:rsid w:val="00F81409"/>
    <w:rsid w:val="00F81F59"/>
    <w:rsid w:val="00F825B5"/>
    <w:rsid w:val="00F82705"/>
    <w:rsid w:val="00F8289C"/>
    <w:rsid w:val="00F82EA5"/>
    <w:rsid w:val="00F841CA"/>
    <w:rsid w:val="00F8568D"/>
    <w:rsid w:val="00F85F3F"/>
    <w:rsid w:val="00F85F79"/>
    <w:rsid w:val="00F85FDC"/>
    <w:rsid w:val="00F861F1"/>
    <w:rsid w:val="00F865F6"/>
    <w:rsid w:val="00F87889"/>
    <w:rsid w:val="00F87C31"/>
    <w:rsid w:val="00F87ED3"/>
    <w:rsid w:val="00F916B3"/>
    <w:rsid w:val="00F92029"/>
    <w:rsid w:val="00F9212E"/>
    <w:rsid w:val="00F92E79"/>
    <w:rsid w:val="00F931B6"/>
    <w:rsid w:val="00F9445F"/>
    <w:rsid w:val="00F949D7"/>
    <w:rsid w:val="00F9537D"/>
    <w:rsid w:val="00F95D65"/>
    <w:rsid w:val="00F95F0A"/>
    <w:rsid w:val="00F96E21"/>
    <w:rsid w:val="00F9796C"/>
    <w:rsid w:val="00F97D9A"/>
    <w:rsid w:val="00FA0329"/>
    <w:rsid w:val="00FA0894"/>
    <w:rsid w:val="00FA0B09"/>
    <w:rsid w:val="00FA0FA0"/>
    <w:rsid w:val="00FA1546"/>
    <w:rsid w:val="00FA1A77"/>
    <w:rsid w:val="00FA2F33"/>
    <w:rsid w:val="00FA3738"/>
    <w:rsid w:val="00FA3909"/>
    <w:rsid w:val="00FA39F2"/>
    <w:rsid w:val="00FA5098"/>
    <w:rsid w:val="00FA5504"/>
    <w:rsid w:val="00FA5669"/>
    <w:rsid w:val="00FA6994"/>
    <w:rsid w:val="00FA6A2A"/>
    <w:rsid w:val="00FA6B26"/>
    <w:rsid w:val="00FA6B7E"/>
    <w:rsid w:val="00FA6C7F"/>
    <w:rsid w:val="00FB00CC"/>
    <w:rsid w:val="00FB0B5A"/>
    <w:rsid w:val="00FB2270"/>
    <w:rsid w:val="00FB3088"/>
    <w:rsid w:val="00FB3BEA"/>
    <w:rsid w:val="00FB495B"/>
    <w:rsid w:val="00FB57DB"/>
    <w:rsid w:val="00FB6669"/>
    <w:rsid w:val="00FB6DD4"/>
    <w:rsid w:val="00FB75F3"/>
    <w:rsid w:val="00FB7864"/>
    <w:rsid w:val="00FB7B0C"/>
    <w:rsid w:val="00FC02E3"/>
    <w:rsid w:val="00FC0327"/>
    <w:rsid w:val="00FC06E3"/>
    <w:rsid w:val="00FC1E17"/>
    <w:rsid w:val="00FC22AB"/>
    <w:rsid w:val="00FC272E"/>
    <w:rsid w:val="00FC294A"/>
    <w:rsid w:val="00FC30F3"/>
    <w:rsid w:val="00FC3CE7"/>
    <w:rsid w:val="00FC3D1A"/>
    <w:rsid w:val="00FC4012"/>
    <w:rsid w:val="00FC4DBD"/>
    <w:rsid w:val="00FC5195"/>
    <w:rsid w:val="00FC5704"/>
    <w:rsid w:val="00FC594B"/>
    <w:rsid w:val="00FC72DD"/>
    <w:rsid w:val="00FC763A"/>
    <w:rsid w:val="00FC7DDB"/>
    <w:rsid w:val="00FC7EF4"/>
    <w:rsid w:val="00FD09FF"/>
    <w:rsid w:val="00FD0BEF"/>
    <w:rsid w:val="00FD0DA5"/>
    <w:rsid w:val="00FD1088"/>
    <w:rsid w:val="00FD1785"/>
    <w:rsid w:val="00FD2394"/>
    <w:rsid w:val="00FD2E62"/>
    <w:rsid w:val="00FD32A5"/>
    <w:rsid w:val="00FD3980"/>
    <w:rsid w:val="00FD3B05"/>
    <w:rsid w:val="00FD405E"/>
    <w:rsid w:val="00FD4211"/>
    <w:rsid w:val="00FD4FC5"/>
    <w:rsid w:val="00FD5FAA"/>
    <w:rsid w:val="00FD6006"/>
    <w:rsid w:val="00FD7007"/>
    <w:rsid w:val="00FD7841"/>
    <w:rsid w:val="00FE2431"/>
    <w:rsid w:val="00FE2919"/>
    <w:rsid w:val="00FE3B8B"/>
    <w:rsid w:val="00FE3CF4"/>
    <w:rsid w:val="00FE4201"/>
    <w:rsid w:val="00FE4C58"/>
    <w:rsid w:val="00FE52DD"/>
    <w:rsid w:val="00FE5780"/>
    <w:rsid w:val="00FE62A0"/>
    <w:rsid w:val="00FE6537"/>
    <w:rsid w:val="00FE6550"/>
    <w:rsid w:val="00FE65EA"/>
    <w:rsid w:val="00FE6746"/>
    <w:rsid w:val="00FE7738"/>
    <w:rsid w:val="00FE7EE9"/>
    <w:rsid w:val="00FF022B"/>
    <w:rsid w:val="00FF2096"/>
    <w:rsid w:val="00FF2550"/>
    <w:rsid w:val="00FF2C7F"/>
    <w:rsid w:val="00FF321A"/>
    <w:rsid w:val="00FF3592"/>
    <w:rsid w:val="00FF3F87"/>
    <w:rsid w:val="00FF5299"/>
    <w:rsid w:val="00FF53DC"/>
    <w:rsid w:val="00FF583C"/>
    <w:rsid w:val="00FF610D"/>
    <w:rsid w:val="00FF760D"/>
    <w:rsid w:val="00FF7E1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3" w:unhideWhenUsed="1" w:qFormat="1"/>
    <w:lsdException w:name="heading 4" w:semiHidden="1" w:uiPriority="3" w:unhideWhenUsed="1" w:qFormat="1"/>
    <w:lsdException w:name="heading 5" w:semiHidden="1" w:uiPriority="10" w:unhideWhenUsed="1"/>
    <w:lsdException w:name="heading 6" w:semiHidden="1" w:uiPriority="12" w:unhideWhenUsed="1"/>
    <w:lsdException w:name="heading 7" w:semiHidden="1" w:uiPriority="12" w:unhideWhenUsed="1"/>
    <w:lsdException w:name="heading 8" w:semiHidden="1" w:uiPriority="7" w:unhideWhenUsed="1" w:qFormat="1"/>
    <w:lsdException w:name="heading 9" w:semiHidden="1" w:uiPriority="12"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9" w:unhideWhenUsed="1"/>
    <w:lsdException w:name="Normal Indent" w:semiHidden="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lsdException w:name="caption" w:semiHidden="1" w:uiPriority="2" w:unhideWhenUsed="1" w:qFormat="1"/>
    <w:lsdException w:name="table of figures" w:semiHidden="1"/>
    <w:lsdException w:name="envelope address" w:semiHidden="1"/>
    <w:lsdException w:name="envelope return" w:semiHidden="1"/>
    <w:lsdException w:name="footnote reference" w:semiHidden="1" w:unhideWhenUsed="1"/>
    <w:lsdException w:name="annotation reference" w:semiHidden="1" w:unhideWhenUsed="1" w:qFormat="1"/>
    <w:lsdException w:name="line number" w:semiHidden="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4"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0" w:unhideWhenUsed="1"/>
    <w:lsdException w:name="Closing" w:semiHidden="1"/>
    <w:lsdException w:name="Signature" w:semiHidden="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uiPriority="9" w:unhideWhenUsed="1"/>
    <w:lsdException w:name="Body Text 3" w:semiHidden="1" w:uiPriority="9" w:unhideWhenUsed="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uiPriority="25"/>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unhideWhenUsed="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2"/>
    <w:lsdException w:name="Intense Quote" w:semiHidden="1" w:uiPriority="33"/>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2"/>
    <w:lsdException w:name="Intense Emphasis" w:semiHidden="1" w:uiPriority="24"/>
    <w:lsdException w:name="Subtle Reference" w:semiHidden="1" w:uiPriority="34"/>
    <w:lsdException w:name="Intense Reference" w:semiHidden="1" w:uiPriority="35"/>
    <w:lsdException w:name="Book Title" w:semiHidden="1" w:uiPriority="36"/>
    <w:lsdException w:name="Bibliography" w:semiHidden="1" w:uiPriority="37" w:unhideWhenUsed="1"/>
    <w:lsdException w:name="TOC Heading" w:semiHidden="1" w:uiPriority="42"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96F"/>
    <w:pPr>
      <w:spacing w:before="120" w:line="240" w:lineRule="auto"/>
      <w:jc w:val="both"/>
    </w:pPr>
    <w:rPr>
      <w:color w:val="000000" w:themeColor="text1"/>
      <w:sz w:val="24"/>
    </w:rPr>
  </w:style>
  <w:style w:type="paragraph" w:styleId="Heading1">
    <w:name w:val="heading 1"/>
    <w:next w:val="MSACESParagraph"/>
    <w:link w:val="Heading1Char"/>
    <w:uiPriority w:val="9"/>
    <w:qFormat/>
    <w:rsid w:val="005C2085"/>
    <w:pPr>
      <w:keepNext/>
      <w:keepLines/>
      <w:numPr>
        <w:numId w:val="4"/>
      </w:numPr>
      <w:spacing w:before="400" w:after="120"/>
      <w:outlineLvl w:val="0"/>
    </w:pPr>
    <w:rPr>
      <w:rFonts w:eastAsiaTheme="majorEastAsia" w:cstheme="majorBidi"/>
      <w:b/>
      <w:sz w:val="32"/>
      <w:szCs w:val="28"/>
    </w:rPr>
  </w:style>
  <w:style w:type="paragraph" w:styleId="Heading2">
    <w:name w:val="heading 2"/>
    <w:basedOn w:val="Normal"/>
    <w:next w:val="Normal"/>
    <w:link w:val="Heading2Char"/>
    <w:uiPriority w:val="9"/>
    <w:qFormat/>
    <w:rsid w:val="00670E11"/>
    <w:pPr>
      <w:keepNext/>
      <w:keepLines/>
      <w:spacing w:before="360" w:after="120"/>
      <w:jc w:val="left"/>
      <w:outlineLvl w:val="1"/>
    </w:pPr>
    <w:rPr>
      <w:rFonts w:ascii="Times New Roman" w:eastAsiaTheme="majorEastAsia" w:hAnsi="Times New Roman" w:cstheme="majorBidi"/>
      <w:i/>
      <w:snapToGrid w:val="0"/>
      <w:szCs w:val="28"/>
    </w:rPr>
  </w:style>
  <w:style w:type="paragraph" w:styleId="Heading3">
    <w:name w:val="heading 3"/>
    <w:basedOn w:val="Normal"/>
    <w:next w:val="Normal"/>
    <w:link w:val="Heading3Char"/>
    <w:uiPriority w:val="3"/>
    <w:qFormat/>
    <w:rsid w:val="00186307"/>
    <w:pPr>
      <w:keepNext/>
      <w:keepLines/>
      <w:numPr>
        <w:ilvl w:val="5"/>
        <w:numId w:val="4"/>
      </w:numPr>
      <w:spacing w:after="120"/>
      <w:outlineLvl w:val="2"/>
    </w:pPr>
    <w:rPr>
      <w:rFonts w:eastAsiaTheme="majorEastAsia" w:cstheme="majorBidi"/>
      <w:b/>
      <w:sz w:val="28"/>
      <w:szCs w:val="28"/>
    </w:rPr>
  </w:style>
  <w:style w:type="paragraph" w:styleId="Heading4">
    <w:name w:val="heading 4"/>
    <w:basedOn w:val="Heading1"/>
    <w:next w:val="Normal"/>
    <w:link w:val="Heading4Char"/>
    <w:uiPriority w:val="3"/>
    <w:qFormat/>
    <w:rsid w:val="00BB6875"/>
    <w:pPr>
      <w:numPr>
        <w:ilvl w:val="6"/>
      </w:numPr>
      <w:spacing w:before="240" w:after="0"/>
      <w:outlineLvl w:val="3"/>
    </w:pPr>
    <w:rPr>
      <w:color w:val="000000" w:themeColor="text1"/>
      <w:sz w:val="24"/>
    </w:rPr>
  </w:style>
  <w:style w:type="paragraph" w:styleId="Heading5">
    <w:name w:val="heading 5"/>
    <w:aliases w:val="Heading 2 - Body"/>
    <w:basedOn w:val="Heading2"/>
    <w:next w:val="Normal"/>
    <w:link w:val="Heading5Char"/>
    <w:uiPriority w:val="10"/>
    <w:rsid w:val="003B095E"/>
    <w:pPr>
      <w:outlineLvl w:val="4"/>
    </w:pPr>
  </w:style>
  <w:style w:type="paragraph" w:styleId="Heading6">
    <w:name w:val="heading 6"/>
    <w:aliases w:val="Heading 3 - Body"/>
    <w:basedOn w:val="Heading3"/>
    <w:next w:val="Normal"/>
    <w:link w:val="Heading6Char"/>
    <w:uiPriority w:val="12"/>
    <w:rsid w:val="00624315"/>
    <w:pPr>
      <w:outlineLvl w:val="5"/>
    </w:pPr>
    <w:rPr>
      <w:sz w:val="24"/>
    </w:rPr>
  </w:style>
  <w:style w:type="paragraph" w:styleId="Heading7">
    <w:name w:val="heading 7"/>
    <w:basedOn w:val="Heading1"/>
    <w:next w:val="Normal"/>
    <w:link w:val="Heading7Char"/>
    <w:uiPriority w:val="12"/>
    <w:rsid w:val="00472D4D"/>
    <w:pPr>
      <w:numPr>
        <w:numId w:val="0"/>
      </w:numPr>
      <w:spacing w:before="120"/>
      <w:ind w:left="1296" w:hanging="1296"/>
      <w:outlineLvl w:val="6"/>
    </w:pPr>
    <w:rPr>
      <w:i/>
      <w:sz w:val="24"/>
      <w:szCs w:val="24"/>
    </w:rPr>
  </w:style>
  <w:style w:type="paragraph" w:styleId="Heading8">
    <w:name w:val="heading 8"/>
    <w:basedOn w:val="Normal"/>
    <w:next w:val="Normal"/>
    <w:link w:val="Heading8Char"/>
    <w:uiPriority w:val="7"/>
    <w:qFormat/>
    <w:rsid w:val="002B5D74"/>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12"/>
    <w:rsid w:val="002A4503"/>
    <w:pPr>
      <w:numPr>
        <w:ilvl w:val="8"/>
      </w:num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C83"/>
    <w:rPr>
      <w:rFonts w:eastAsiaTheme="majorEastAsia" w:cstheme="majorBidi"/>
      <w:b/>
      <w:sz w:val="32"/>
      <w:szCs w:val="28"/>
    </w:rPr>
  </w:style>
  <w:style w:type="character" w:customStyle="1" w:styleId="Heading2Char">
    <w:name w:val="Heading 2 Char"/>
    <w:basedOn w:val="DefaultParagraphFont"/>
    <w:link w:val="Heading2"/>
    <w:uiPriority w:val="9"/>
    <w:rsid w:val="00670E11"/>
    <w:rPr>
      <w:rFonts w:ascii="Times New Roman" w:eastAsiaTheme="majorEastAsia" w:hAnsi="Times New Roman" w:cstheme="majorBidi"/>
      <w:i/>
      <w:snapToGrid w:val="0"/>
      <w:color w:val="000000" w:themeColor="text1"/>
      <w:sz w:val="24"/>
      <w:szCs w:val="28"/>
    </w:rPr>
  </w:style>
  <w:style w:type="character" w:customStyle="1" w:styleId="Heading3Char">
    <w:name w:val="Heading 3 Char"/>
    <w:basedOn w:val="DefaultParagraphFont"/>
    <w:link w:val="Heading3"/>
    <w:uiPriority w:val="3"/>
    <w:rsid w:val="00245AD1"/>
    <w:rPr>
      <w:rFonts w:eastAsiaTheme="majorEastAsia" w:cstheme="majorBidi"/>
      <w:b/>
      <w:color w:val="000000" w:themeColor="text1"/>
      <w:sz w:val="28"/>
      <w:szCs w:val="28"/>
    </w:rPr>
  </w:style>
  <w:style w:type="paragraph" w:styleId="ListParagraph">
    <w:name w:val="List Paragraph"/>
    <w:aliases w:val="PBAC ES Paragraph,Numbered para,BulletPoints,List Paragraph1,Body Text Bullet Points,Bullet point,List Paragraph11,Recommendation,Section heading,Footnote,Styl moj,Akapit z listą1,Akapit z listą11,ES Paragraph,PBAC normal points"/>
    <w:basedOn w:val="Normal"/>
    <w:link w:val="ListParagraphChar"/>
    <w:uiPriority w:val="34"/>
    <w:qFormat/>
    <w:rsid w:val="004908B7"/>
    <w:pPr>
      <w:numPr>
        <w:ilvl w:val="4"/>
        <w:numId w:val="6"/>
      </w:numPr>
    </w:pPr>
  </w:style>
  <w:style w:type="paragraph" w:styleId="BalloonText">
    <w:name w:val="Balloon Text"/>
    <w:basedOn w:val="Normal"/>
    <w:link w:val="BalloonTextChar"/>
    <w:uiPriority w:val="99"/>
    <w:semiHidden/>
    <w:unhideWhenUsed/>
    <w:rsid w:val="00F0542E"/>
    <w:pPr>
      <w:spacing w:before="0" w:after="0"/>
    </w:pPr>
    <w:rPr>
      <w:rFonts w:ascii="Segoe UI" w:hAnsi="Segoe UI" w:cs="Segoe UI"/>
      <w:sz w:val="18"/>
      <w:szCs w:val="18"/>
    </w:rPr>
  </w:style>
  <w:style w:type="paragraph" w:customStyle="1" w:styleId="InstructionalText">
    <w:name w:val="Instructional Text"/>
    <w:basedOn w:val="Normal"/>
    <w:link w:val="InstructionalTextChar"/>
    <w:uiPriority w:val="3"/>
    <w:qFormat/>
    <w:rsid w:val="00C71A5D"/>
    <w:rPr>
      <w:color w:val="0070C0"/>
    </w:rPr>
  </w:style>
  <w:style w:type="character" w:customStyle="1" w:styleId="Heading4Char">
    <w:name w:val="Heading 4 Char"/>
    <w:basedOn w:val="DefaultParagraphFont"/>
    <w:link w:val="Heading4"/>
    <w:uiPriority w:val="3"/>
    <w:rsid w:val="00245AD1"/>
    <w:rPr>
      <w:rFonts w:eastAsiaTheme="majorEastAsia" w:cstheme="majorBidi"/>
      <w:b/>
      <w:color w:val="000000" w:themeColor="text1"/>
      <w:sz w:val="24"/>
      <w:szCs w:val="28"/>
    </w:rPr>
  </w:style>
  <w:style w:type="character" w:customStyle="1" w:styleId="Heading5Char">
    <w:name w:val="Heading 5 Char"/>
    <w:aliases w:val="Heading 2 - Body Char"/>
    <w:basedOn w:val="DefaultParagraphFont"/>
    <w:link w:val="Heading5"/>
    <w:uiPriority w:val="10"/>
    <w:rsid w:val="00481549"/>
    <w:rPr>
      <w:rFonts w:ascii="Arial" w:eastAsiaTheme="majorEastAsia" w:hAnsi="Arial" w:cstheme="majorBidi"/>
      <w:b/>
      <w:i/>
      <w:snapToGrid w:val="0"/>
      <w:sz w:val="28"/>
      <w:szCs w:val="28"/>
    </w:rPr>
  </w:style>
  <w:style w:type="character" w:customStyle="1" w:styleId="Heading6Char">
    <w:name w:val="Heading 6 Char"/>
    <w:aliases w:val="Heading 3 - Body Char"/>
    <w:basedOn w:val="DefaultParagraphFont"/>
    <w:link w:val="Heading6"/>
    <w:uiPriority w:val="12"/>
    <w:rsid w:val="00481549"/>
    <w:rPr>
      <w:rFonts w:eastAsiaTheme="majorEastAsia" w:cstheme="majorBidi"/>
      <w:b/>
      <w:color w:val="000000" w:themeColor="text1"/>
      <w:sz w:val="24"/>
      <w:szCs w:val="28"/>
    </w:rPr>
  </w:style>
  <w:style w:type="character" w:customStyle="1" w:styleId="Heading7Char">
    <w:name w:val="Heading 7 Char"/>
    <w:basedOn w:val="DefaultParagraphFont"/>
    <w:link w:val="Heading7"/>
    <w:uiPriority w:val="12"/>
    <w:rsid w:val="00481549"/>
    <w:rPr>
      <w:rFonts w:eastAsiaTheme="majorEastAsia" w:cstheme="majorBidi"/>
      <w:b/>
      <w:i/>
      <w:sz w:val="24"/>
      <w:szCs w:val="24"/>
    </w:rPr>
  </w:style>
  <w:style w:type="character" w:customStyle="1" w:styleId="Heading8Char">
    <w:name w:val="Heading 8 Char"/>
    <w:basedOn w:val="DefaultParagraphFont"/>
    <w:link w:val="Heading8"/>
    <w:uiPriority w:val="7"/>
    <w:rsid w:val="004E6CFF"/>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12"/>
    <w:rsid w:val="00645AB3"/>
    <w:rPr>
      <w:rFonts w:eastAsiaTheme="majorEastAsia" w:cstheme="majorBidi"/>
      <w:b/>
      <w:sz w:val="36"/>
      <w:szCs w:val="28"/>
    </w:rPr>
  </w:style>
  <w:style w:type="character" w:customStyle="1" w:styleId="BalloonTextChar">
    <w:name w:val="Balloon Text Char"/>
    <w:basedOn w:val="DefaultParagraphFont"/>
    <w:link w:val="BalloonText"/>
    <w:uiPriority w:val="99"/>
    <w:semiHidden/>
    <w:rsid w:val="00F0542E"/>
    <w:rPr>
      <w:rFonts w:ascii="Segoe UI" w:hAnsi="Segoe UI" w:cs="Segoe UI"/>
      <w:sz w:val="18"/>
      <w:szCs w:val="18"/>
    </w:rPr>
  </w:style>
  <w:style w:type="table" w:styleId="TableGrid">
    <w:name w:val="Table Grid"/>
    <w:aliases w:val="Summary box,Table Gridbeth,CMA Table Template,ASD Table"/>
    <w:basedOn w:val="TableNormal"/>
    <w:uiPriority w:val="3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Table and Figure Name,Table and Figure name,Caption Char2 Char,Caption Char Char Char2,Caption Char1 Char Char Char1,Caption Char2 Char Char Char1 Char1,Caption Char Char1 Char Char Char1 Char1,Caption Char1 Char Char Char Char Char Char,c"/>
    <w:next w:val="Normal"/>
    <w:link w:val="CaptionChar"/>
    <w:uiPriority w:val="2"/>
    <w:qFormat/>
    <w:rsid w:val="003A265B"/>
    <w:pPr>
      <w:keepNext/>
      <w:tabs>
        <w:tab w:val="left" w:pos="1276"/>
      </w:tabs>
      <w:spacing w:before="40" w:after="0"/>
      <w:ind w:left="851" w:hanging="851"/>
      <w:contextualSpacing/>
      <w:jc w:val="both"/>
    </w:pPr>
    <w:rPr>
      <w:rFonts w:ascii="Arial Narrow" w:hAnsi="Arial Narrow"/>
      <w:b/>
      <w:iCs/>
      <w:sz w:val="20"/>
      <w:szCs w:val="18"/>
    </w:rPr>
  </w:style>
  <w:style w:type="paragraph" w:customStyle="1" w:styleId="TableText">
    <w:name w:val="Table Text"/>
    <w:basedOn w:val="Normal"/>
    <w:link w:val="TableTextChar"/>
    <w:qFormat/>
    <w:rsid w:val="00F0152D"/>
    <w:pPr>
      <w:widowControl w:val="0"/>
      <w:spacing w:before="40" w:after="40" w:line="256" w:lineRule="auto"/>
      <w:jc w:val="left"/>
    </w:pPr>
    <w:rPr>
      <w:rFonts w:ascii="Arial Narrow" w:hAnsi="Arial Narrow"/>
      <w:sz w:val="20"/>
    </w:rPr>
  </w:style>
  <w:style w:type="character" w:styleId="Hyperlink">
    <w:name w:val="Hyperlink"/>
    <w:basedOn w:val="DefaultParagraphFont"/>
    <w:uiPriority w:val="99"/>
    <w:rsid w:val="00BA3306"/>
    <w:rPr>
      <w:color w:val="00B0F0"/>
      <w:u w:val="single"/>
    </w:rPr>
  </w:style>
  <w:style w:type="paragraph" w:styleId="FootnoteText">
    <w:name w:val="footnote text"/>
    <w:basedOn w:val="Normal"/>
    <w:link w:val="FootnoteTextChar"/>
    <w:uiPriority w:val="99"/>
    <w:semiHidden/>
    <w:rsid w:val="00BA3306"/>
    <w:pPr>
      <w:spacing w:before="0" w:after="0"/>
    </w:pPr>
    <w:rPr>
      <w:sz w:val="18"/>
      <w:szCs w:val="20"/>
    </w:rPr>
  </w:style>
  <w:style w:type="character" w:customStyle="1" w:styleId="FootnoteTextChar">
    <w:name w:val="Footnote Text Char"/>
    <w:basedOn w:val="DefaultParagraphFont"/>
    <w:link w:val="FootnoteText"/>
    <w:uiPriority w:val="99"/>
    <w:semiHidden/>
    <w:rsid w:val="00481549"/>
    <w:rPr>
      <w:sz w:val="18"/>
      <w:szCs w:val="20"/>
    </w:rPr>
  </w:style>
  <w:style w:type="character" w:styleId="FootnoteReference">
    <w:name w:val="footnote reference"/>
    <w:basedOn w:val="DefaultParagraphFont"/>
    <w:uiPriority w:val="99"/>
    <w:semiHidden/>
    <w:rsid w:val="00BA3306"/>
    <w:rPr>
      <w:vertAlign w:val="superscript"/>
    </w:rPr>
  </w:style>
  <w:style w:type="character" w:styleId="CommentReference">
    <w:name w:val="annotation reference"/>
    <w:aliases w:val="Table Title"/>
    <w:basedOn w:val="DefaultParagraphFont"/>
    <w:uiPriority w:val="99"/>
    <w:qFormat/>
    <w:rsid w:val="00F12ED0"/>
    <w:rPr>
      <w:rFonts w:ascii="Arial Narrow" w:hAnsi="Arial Narrow"/>
      <w:b/>
      <w:sz w:val="20"/>
      <w:szCs w:val="16"/>
    </w:rPr>
  </w:style>
  <w:style w:type="paragraph" w:styleId="CommentSubject">
    <w:name w:val="annotation subject"/>
    <w:basedOn w:val="Normal"/>
    <w:link w:val="CommentSubjectChar"/>
    <w:uiPriority w:val="99"/>
    <w:rsid w:val="004E6CFF"/>
    <w:rPr>
      <w:b/>
      <w:bCs/>
      <w:sz w:val="20"/>
      <w:szCs w:val="20"/>
    </w:rPr>
  </w:style>
  <w:style w:type="character" w:customStyle="1" w:styleId="CommentSubjectChar">
    <w:name w:val="Comment Subject Char"/>
    <w:basedOn w:val="DefaultParagraphFont"/>
    <w:link w:val="CommentSubject"/>
    <w:uiPriority w:val="99"/>
    <w:rsid w:val="004E6CFF"/>
    <w:rPr>
      <w:b/>
      <w:bCs/>
      <w:sz w:val="20"/>
      <w:szCs w:val="20"/>
    </w:rPr>
  </w:style>
  <w:style w:type="character" w:customStyle="1" w:styleId="InstructionalTextChar">
    <w:name w:val="Instructional Text Char"/>
    <w:basedOn w:val="DefaultParagraphFont"/>
    <w:link w:val="InstructionalText"/>
    <w:uiPriority w:val="3"/>
    <w:rsid w:val="00F95F0A"/>
    <w:rPr>
      <w:color w:val="0070C0"/>
      <w:sz w:val="24"/>
    </w:rPr>
  </w:style>
  <w:style w:type="character" w:customStyle="1" w:styleId="CaptionChar">
    <w:name w:val="Caption Char"/>
    <w:aliases w:val="Table and Figure Name Char,Table and Figure name Char,Caption Char2 Char Char,Caption Char Char Char2 Char,Caption Char1 Char Char Char1 Char,Caption Char2 Char Char Char1 Char1 Char,Caption Char Char1 Char Char Char1 Char1 Char,c Char"/>
    <w:link w:val="Caption"/>
    <w:uiPriority w:val="2"/>
    <w:rsid w:val="003A265B"/>
    <w:rPr>
      <w:rFonts w:ascii="Arial Narrow" w:hAnsi="Arial Narrow"/>
      <w:b/>
      <w:iCs/>
      <w:sz w:val="20"/>
      <w:szCs w:val="18"/>
    </w:rPr>
  </w:style>
  <w:style w:type="paragraph" w:customStyle="1" w:styleId="TableFooter">
    <w:name w:val="Table Footer"/>
    <w:basedOn w:val="Normal"/>
    <w:link w:val="TableFooterChar"/>
    <w:qFormat/>
    <w:rsid w:val="00140A20"/>
    <w:pPr>
      <w:widowControl w:val="0"/>
      <w:spacing w:before="0" w:after="240"/>
      <w:contextualSpacing/>
    </w:pPr>
    <w:rPr>
      <w:rFonts w:ascii="Arial Narrow" w:eastAsia="Times New Roman" w:hAnsi="Arial Narrow" w:cs="Arial"/>
      <w:snapToGrid w:val="0"/>
      <w:sz w:val="18"/>
      <w:szCs w:val="20"/>
    </w:rPr>
  </w:style>
  <w:style w:type="character" w:customStyle="1" w:styleId="TableFooterChar">
    <w:name w:val="Table Footer Char"/>
    <w:link w:val="TableFooter"/>
    <w:rsid w:val="00245AD1"/>
    <w:rPr>
      <w:rFonts w:ascii="Arial Narrow" w:eastAsia="Times New Roman" w:hAnsi="Arial Narrow" w:cs="Arial"/>
      <w:snapToGrid w:val="0"/>
      <w:sz w:val="18"/>
      <w:szCs w:val="20"/>
    </w:rPr>
  </w:style>
  <w:style w:type="paragraph" w:styleId="Header">
    <w:name w:val="header"/>
    <w:aliases w:val="Page Header,Header title,he=header,cntr/bld"/>
    <w:basedOn w:val="Normal"/>
    <w:link w:val="HeaderChar"/>
    <w:uiPriority w:val="99"/>
    <w:qFormat/>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481549"/>
    <w:rPr>
      <w:sz w:val="24"/>
    </w:rPr>
  </w:style>
  <w:style w:type="paragraph" w:styleId="Footer">
    <w:name w:val="footer"/>
    <w:basedOn w:val="Normal"/>
    <w:link w:val="FooterChar"/>
    <w:uiPriority w:val="99"/>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481549"/>
    <w:rPr>
      <w:sz w:val="24"/>
    </w:rPr>
  </w:style>
  <w:style w:type="paragraph" w:styleId="TOC2">
    <w:name w:val="toc 2"/>
    <w:basedOn w:val="Normal"/>
    <w:next w:val="Normal"/>
    <w:autoRedefine/>
    <w:uiPriority w:val="39"/>
    <w:rsid w:val="00F825B5"/>
    <w:pPr>
      <w:widowControl w:val="0"/>
      <w:tabs>
        <w:tab w:val="left" w:pos="1134"/>
        <w:tab w:val="right" w:leader="dot" w:pos="9016"/>
      </w:tabs>
      <w:spacing w:after="0"/>
      <w:ind w:left="1134" w:hanging="624"/>
    </w:pPr>
    <w:rPr>
      <w:rFonts w:ascii="Arial" w:eastAsia="Times New Roman" w:hAnsi="Arial" w:cs="Arial"/>
      <w:iCs/>
      <w:snapToGrid w:val="0"/>
      <w:sz w:val="20"/>
      <w:szCs w:val="20"/>
    </w:rPr>
  </w:style>
  <w:style w:type="paragraph" w:styleId="TOC1">
    <w:name w:val="toc 1"/>
    <w:basedOn w:val="Normal"/>
    <w:next w:val="Normal"/>
    <w:autoRedefine/>
    <w:uiPriority w:val="39"/>
    <w:rsid w:val="00F825B5"/>
    <w:pPr>
      <w:widowControl w:val="0"/>
      <w:tabs>
        <w:tab w:val="left" w:pos="510"/>
        <w:tab w:val="left" w:pos="1077"/>
        <w:tab w:val="right" w:leader="dot" w:pos="9015"/>
      </w:tabs>
      <w:spacing w:before="240" w:after="120"/>
    </w:pPr>
    <w:rPr>
      <w:rFonts w:ascii="Arial" w:eastAsia="Times New Roman" w:hAnsi="Arial" w:cs="Arial"/>
      <w:b/>
      <w:bCs/>
      <w:snapToGrid w:val="0"/>
      <w:sz w:val="20"/>
      <w:szCs w:val="20"/>
    </w:rPr>
  </w:style>
  <w:style w:type="paragraph" w:styleId="NoSpacing">
    <w:name w:val="No Spacing"/>
    <w:uiPriority w:val="10"/>
    <w:rsid w:val="00C317F3"/>
    <w:pPr>
      <w:widowControl w:val="0"/>
      <w:spacing w:after="0" w:line="240" w:lineRule="auto"/>
      <w:jc w:val="both"/>
    </w:pPr>
    <w:rPr>
      <w:rFonts w:ascii="Arial" w:eastAsia="Times New Roman" w:hAnsi="Arial" w:cs="Arial"/>
      <w:snapToGrid w:val="0"/>
      <w:szCs w:val="20"/>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42"/>
    <w:rsid w:val="00C317F3"/>
    <w:p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rsid w:val="00D93D75"/>
    <w:pPr>
      <w:widowControl w:val="0"/>
      <w:tabs>
        <w:tab w:val="right" w:pos="1134"/>
        <w:tab w:val="right" w:leader="dot" w:pos="9015"/>
      </w:tabs>
      <w:spacing w:after="0"/>
      <w:ind w:left="1758" w:hanging="879"/>
    </w:pPr>
    <w:rPr>
      <w:rFonts w:ascii="Arial" w:eastAsia="Times New Roman" w:hAnsi="Arial" w:cs="Arial"/>
      <w:snapToGrid w:val="0"/>
      <w:sz w:val="20"/>
      <w:szCs w:val="20"/>
    </w:rPr>
  </w:style>
  <w:style w:type="paragraph" w:styleId="TOC4">
    <w:name w:val="toc 4"/>
    <w:basedOn w:val="Normal"/>
    <w:next w:val="Normal"/>
    <w:autoRedefine/>
    <w:uiPriority w:val="3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3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3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3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3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spacing w:before="0" w:after="0"/>
      <w:ind w:left="1760"/>
    </w:pPr>
    <w:rPr>
      <w:rFonts w:eastAsia="Times New Roman" w:cs="Arial"/>
      <w:snapToGrid w:val="0"/>
      <w:sz w:val="20"/>
      <w:szCs w:val="20"/>
    </w:r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character" w:customStyle="1" w:styleId="ListParagraphChar">
    <w:name w:val="List Paragraph Char"/>
    <w:aliases w:val="PBAC ES Paragraph Char,Numbered para Char,BulletPoints Char,List Paragraph1 Char,Body Text Bullet Points Char,Bullet point Char,List Paragraph11 Char,Recommendation Char,Section heading Char,Footnote Char,Styl moj Char"/>
    <w:basedOn w:val="DefaultParagraphFont"/>
    <w:link w:val="ListParagraph"/>
    <w:uiPriority w:val="34"/>
    <w:qFormat/>
    <w:locked/>
    <w:rsid w:val="00F12ED0"/>
    <w:rPr>
      <w:color w:val="000000" w:themeColor="text1"/>
      <w:sz w:val="24"/>
    </w:rPr>
  </w:style>
  <w:style w:type="numbering" w:customStyle="1" w:styleId="Headings">
    <w:name w:val="Headings"/>
    <w:uiPriority w:val="99"/>
    <w:rsid w:val="00C317F3"/>
    <w:pPr>
      <w:numPr>
        <w:numId w:val="2"/>
      </w:numPr>
    </w:pPr>
  </w:style>
  <w:style w:type="character" w:styleId="FollowedHyperlink">
    <w:name w:val="FollowedHyperlink"/>
    <w:basedOn w:val="DefaultParagraphFont"/>
    <w:uiPriority w:val="99"/>
    <w:semiHidden/>
    <w:rsid w:val="00177893"/>
    <w:rPr>
      <w:color w:val="954F72" w:themeColor="followedHyperlink"/>
      <w:u w:val="single"/>
    </w:rPr>
  </w:style>
  <w:style w:type="paragraph" w:customStyle="1" w:styleId="PBACESHeading1">
    <w:name w:val="PBAC ES Heading 1"/>
    <w:basedOn w:val="Heading1"/>
    <w:next w:val="ListParagraph"/>
    <w:link w:val="PBACESHeading1Char"/>
    <w:uiPriority w:val="1"/>
    <w:qFormat/>
    <w:rsid w:val="009A580E"/>
    <w:pPr>
      <w:numPr>
        <w:numId w:val="6"/>
      </w:numPr>
      <w:tabs>
        <w:tab w:val="left" w:pos="1077"/>
      </w:tabs>
      <w:spacing w:before="240" w:line="240" w:lineRule="auto"/>
    </w:pPr>
    <w:rPr>
      <w:rFonts w:eastAsia="Times New Roman" w:cs="Arial"/>
      <w:snapToGrid w:val="0"/>
      <w:szCs w:val="32"/>
    </w:rPr>
  </w:style>
  <w:style w:type="paragraph" w:customStyle="1" w:styleId="Heading1subheading">
    <w:name w:val="Heading 1 subheading"/>
    <w:basedOn w:val="Heading1"/>
    <w:next w:val="Normal"/>
    <w:link w:val="Heading1subheadingChar"/>
    <w:uiPriority w:val="3"/>
    <w:qFormat/>
    <w:rsid w:val="00225FCB"/>
    <w:pPr>
      <w:numPr>
        <w:ilvl w:val="1"/>
      </w:numPr>
    </w:pPr>
    <w:rPr>
      <w:caps/>
    </w:rPr>
  </w:style>
  <w:style w:type="paragraph" w:customStyle="1" w:styleId="Heading2SECTION2">
    <w:name w:val="Heading 2 SECTION 2"/>
    <w:basedOn w:val="Heading2"/>
    <w:next w:val="Normal"/>
    <w:link w:val="Heading2SECTION2Char"/>
    <w:uiPriority w:val="3"/>
    <w:qFormat/>
    <w:rsid w:val="00C934DC"/>
    <w:pPr>
      <w:numPr>
        <w:ilvl w:val="2"/>
      </w:numPr>
      <w:tabs>
        <w:tab w:val="left" w:pos="1134"/>
      </w:tabs>
    </w:pPr>
  </w:style>
  <w:style w:type="character" w:customStyle="1" w:styleId="Heading1subheadingChar">
    <w:name w:val="Heading 1 subheading Char"/>
    <w:basedOn w:val="Heading1Char"/>
    <w:link w:val="Heading1subheading"/>
    <w:uiPriority w:val="3"/>
    <w:rsid w:val="00245AD1"/>
    <w:rPr>
      <w:rFonts w:eastAsiaTheme="majorEastAsia" w:cstheme="majorBidi"/>
      <w:b/>
      <w:caps/>
      <w:sz w:val="32"/>
      <w:szCs w:val="28"/>
    </w:rPr>
  </w:style>
  <w:style w:type="character" w:customStyle="1" w:styleId="Heading2SECTION2Char">
    <w:name w:val="Heading 2 SECTION 2 Char"/>
    <w:basedOn w:val="Heading2Char"/>
    <w:link w:val="Heading2SECTION2"/>
    <w:uiPriority w:val="3"/>
    <w:rsid w:val="00394C83"/>
    <w:rPr>
      <w:rFonts w:ascii="Arial" w:eastAsiaTheme="majorEastAsia" w:hAnsi="Arial" w:cstheme="majorBidi"/>
      <w:b w:val="0"/>
      <w:i/>
      <w:snapToGrid w:val="0"/>
      <w:color w:val="000000" w:themeColor="text1"/>
      <w:sz w:val="28"/>
      <w:szCs w:val="28"/>
    </w:rPr>
  </w:style>
  <w:style w:type="paragraph" w:customStyle="1" w:styleId="Comment">
    <w:name w:val="Comment"/>
    <w:basedOn w:val="Normal"/>
    <w:link w:val="CommentChar"/>
    <w:uiPriority w:val="4"/>
    <w:semiHidden/>
    <w:rsid w:val="0048761C"/>
    <w:pPr>
      <w:tabs>
        <w:tab w:val="num" w:pos="720"/>
      </w:tabs>
      <w:spacing w:before="0" w:after="240" w:line="312" w:lineRule="auto"/>
    </w:pPr>
    <w:rPr>
      <w:rFonts w:ascii="Calibri" w:eastAsia="Times New Roman" w:hAnsi="Calibri" w:cs="Tahoma"/>
      <w:i/>
      <w:color w:val="C00000"/>
      <w:sz w:val="22"/>
      <w:lang w:eastAsia="en-AU"/>
    </w:rPr>
  </w:style>
  <w:style w:type="character" w:customStyle="1" w:styleId="CommentChar">
    <w:name w:val="Comment Char"/>
    <w:basedOn w:val="DefaultParagraphFont"/>
    <w:link w:val="Comment"/>
    <w:uiPriority w:val="4"/>
    <w:semiHidden/>
    <w:rsid w:val="00481549"/>
    <w:rPr>
      <w:rFonts w:ascii="Calibri" w:eastAsia="Times New Roman" w:hAnsi="Calibri" w:cs="Tahoma"/>
      <w:i/>
      <w:color w:val="C00000"/>
      <w:lang w:eastAsia="en-AU"/>
    </w:rPr>
  </w:style>
  <w:style w:type="character" w:customStyle="1" w:styleId="TableTextChar">
    <w:name w:val="Table Text Char"/>
    <w:link w:val="TableText"/>
    <w:rsid w:val="00F0152D"/>
    <w:rPr>
      <w:rFonts w:ascii="Arial Narrow" w:hAnsi="Arial Narrow"/>
      <w:sz w:val="20"/>
    </w:rPr>
  </w:style>
  <w:style w:type="paragraph" w:customStyle="1" w:styleId="OutlineHeading1">
    <w:name w:val="Outline Heading 1"/>
    <w:basedOn w:val="Heading1"/>
    <w:next w:val="Normal"/>
    <w:link w:val="OutlineHeading1Char"/>
    <w:uiPriority w:val="3"/>
    <w:qFormat/>
    <w:rsid w:val="00243F24"/>
    <w:pPr>
      <w:numPr>
        <w:numId w:val="0"/>
      </w:numPr>
    </w:pPr>
  </w:style>
  <w:style w:type="table" w:customStyle="1" w:styleId="PBACTableStyle">
    <w:name w:val="PBAC Table Style"/>
    <w:basedOn w:val="TableGrid1"/>
    <w:uiPriority w:val="99"/>
    <w:rsid w:val="004A5746"/>
    <w:pPr>
      <w:widowControl w:val="0"/>
      <w:spacing w:after="0"/>
      <w:contextualSpacing/>
      <w:jc w:val="center"/>
    </w:pPr>
    <w:rPr>
      <w:rFonts w:ascii="Arial Narrow" w:hAnsi="Arial Narrow"/>
      <w:color w:val="000000" w:themeColor="text1"/>
      <w:sz w:val="20"/>
      <w:szCs w:val="20"/>
      <w:lang w:val="en-US"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57" w:firstLineChars="0" w:firstLine="0"/>
        <w:jc w:val="center"/>
      </w:pPr>
      <w:rPr>
        <w:rFonts w:ascii="Bahnschrift" w:hAnsi="Bahnschrift"/>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Bahnschrift" w:hAnsi="Bahnschrift"/>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Bahnschrift" w:hAnsi="Bahnschrift"/>
        <w:i/>
        <w:i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table" w:styleId="ListTable1Light">
    <w:name w:val="List Table 1 Light"/>
    <w:basedOn w:val="TableNormal"/>
    <w:uiPriority w:val="46"/>
    <w:rsid w:val="0006201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6">
    <w:name w:val="List Table 7 Colorful Accent 6"/>
    <w:basedOn w:val="TableNormal"/>
    <w:uiPriority w:val="52"/>
    <w:rsid w:val="00062018"/>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InstructionBulletpoint">
    <w:name w:val="Instruction Bullet point"/>
    <w:basedOn w:val="InstructionalText"/>
    <w:link w:val="InstructionBulletpointChar"/>
    <w:uiPriority w:val="3"/>
    <w:qFormat/>
    <w:rsid w:val="002532B4"/>
    <w:pPr>
      <w:numPr>
        <w:numId w:val="9"/>
      </w:numPr>
      <w:spacing w:after="120"/>
      <w:jc w:val="left"/>
    </w:pPr>
    <w:rPr>
      <w:rFonts w:ascii="Calibri" w:hAnsi="Calibri"/>
    </w:rPr>
  </w:style>
  <w:style w:type="paragraph" w:customStyle="1" w:styleId="PBACESHeading2">
    <w:name w:val="PBAC ES Heading 2"/>
    <w:basedOn w:val="Heading2"/>
    <w:link w:val="PBACESHeading2Char"/>
    <w:uiPriority w:val="1"/>
    <w:qFormat/>
    <w:rsid w:val="00434533"/>
    <w:pPr>
      <w:numPr>
        <w:ilvl w:val="2"/>
        <w:numId w:val="1"/>
      </w:numPr>
    </w:pPr>
    <w:rPr>
      <w:rFonts w:asciiTheme="minorHAnsi" w:hAnsiTheme="minorHAnsi" w:cstheme="minorHAnsi"/>
      <w:b/>
      <w:sz w:val="28"/>
    </w:rPr>
  </w:style>
  <w:style w:type="character" w:customStyle="1" w:styleId="InstructionBulletpointChar">
    <w:name w:val="Instruction Bullet point Char"/>
    <w:basedOn w:val="InstructionalTextChar"/>
    <w:link w:val="InstructionBulletpoint"/>
    <w:uiPriority w:val="3"/>
    <w:rsid w:val="002532B4"/>
    <w:rPr>
      <w:rFonts w:ascii="Calibri" w:hAnsi="Calibri"/>
      <w:color w:val="0070C0"/>
      <w:sz w:val="24"/>
    </w:rPr>
  </w:style>
  <w:style w:type="character" w:customStyle="1" w:styleId="PBACESHeading2Char">
    <w:name w:val="PBAC ES Heading 2 Char"/>
    <w:basedOn w:val="Heading2Char"/>
    <w:link w:val="PBACESHeading2"/>
    <w:uiPriority w:val="1"/>
    <w:rsid w:val="00434533"/>
    <w:rPr>
      <w:rFonts w:ascii="Times New Roman" w:eastAsiaTheme="majorEastAsia" w:hAnsi="Times New Roman" w:cstheme="minorHAnsi"/>
      <w:b/>
      <w:i/>
      <w:snapToGrid w:val="0"/>
      <w:color w:val="000000" w:themeColor="text1"/>
      <w:sz w:val="28"/>
      <w:szCs w:val="28"/>
    </w:rPr>
  </w:style>
  <w:style w:type="paragraph" w:customStyle="1" w:styleId="CommentTabletext">
    <w:name w:val="Comment Table text"/>
    <w:basedOn w:val="Normal"/>
    <w:uiPriority w:val="4"/>
    <w:semiHidden/>
    <w:rsid w:val="00900174"/>
    <w:pPr>
      <w:tabs>
        <w:tab w:val="num" w:pos="720"/>
      </w:tabs>
      <w:spacing w:before="40" w:after="40"/>
      <w:ind w:left="720"/>
    </w:pPr>
    <w:rPr>
      <w:rFonts w:ascii="Arial Narrow" w:eastAsia="Times New Roman" w:hAnsi="Arial Narrow" w:cs="Tahoma"/>
      <w:i/>
      <w:sz w:val="20"/>
      <w:szCs w:val="20"/>
      <w:lang w:eastAsia="en-AU"/>
    </w:rPr>
  </w:style>
  <w:style w:type="paragraph" w:customStyle="1" w:styleId="PBACESHeadingCAPS">
    <w:name w:val="PBAC ES Heading CAPS"/>
    <w:basedOn w:val="PBACESHeading2"/>
    <w:link w:val="PBACESHeadingCAPSChar"/>
    <w:uiPriority w:val="1"/>
    <w:qFormat/>
    <w:rsid w:val="00BC1ECD"/>
    <w:pPr>
      <w:numPr>
        <w:ilvl w:val="0"/>
        <w:numId w:val="0"/>
      </w:numPr>
    </w:pPr>
    <w:rPr>
      <w:i w:val="0"/>
      <w:smallCaps/>
      <w:sz w:val="32"/>
    </w:rPr>
  </w:style>
  <w:style w:type="paragraph" w:customStyle="1" w:styleId="PBACESHeading3">
    <w:name w:val="PBAC ES Heading 3"/>
    <w:basedOn w:val="PBACESHeading2"/>
    <w:link w:val="PBACESHeading3Char"/>
    <w:uiPriority w:val="1"/>
    <w:qFormat/>
    <w:rsid w:val="00396339"/>
    <w:pPr>
      <w:numPr>
        <w:ilvl w:val="3"/>
      </w:numPr>
    </w:pPr>
    <w:rPr>
      <w:i w:val="0"/>
    </w:rPr>
  </w:style>
  <w:style w:type="character" w:customStyle="1" w:styleId="PBACESHeadingCAPSChar">
    <w:name w:val="PBAC ES Heading CAPS Char"/>
    <w:basedOn w:val="PBACESHeading2Char"/>
    <w:link w:val="PBACESHeadingCAPS"/>
    <w:uiPriority w:val="1"/>
    <w:rsid w:val="00245AD1"/>
    <w:rPr>
      <w:rFonts w:asciiTheme="majorHAnsi" w:eastAsiaTheme="majorEastAsia" w:hAnsiTheme="majorHAnsi" w:cstheme="majorBidi"/>
      <w:b/>
      <w:i w:val="0"/>
      <w:smallCaps/>
      <w:snapToGrid w:val="0"/>
      <w:color w:val="000000" w:themeColor="text1"/>
      <w:sz w:val="32"/>
      <w:szCs w:val="28"/>
    </w:rPr>
  </w:style>
  <w:style w:type="character" w:customStyle="1" w:styleId="PBACESHeading3Char">
    <w:name w:val="PBAC ES Heading 3 Char"/>
    <w:basedOn w:val="PBACESHeading2Char"/>
    <w:link w:val="PBACESHeading3"/>
    <w:uiPriority w:val="1"/>
    <w:rsid w:val="00245AD1"/>
    <w:rPr>
      <w:rFonts w:ascii="Times New Roman" w:eastAsiaTheme="majorEastAsia" w:hAnsi="Times New Roman" w:cstheme="minorHAnsi"/>
      <w:b/>
      <w:i w:val="0"/>
      <w:snapToGrid w:val="0"/>
      <w:color w:val="000000" w:themeColor="text1"/>
      <w:sz w:val="28"/>
      <w:szCs w:val="28"/>
    </w:rPr>
  </w:style>
  <w:style w:type="paragraph" w:customStyle="1" w:styleId="Level1">
    <w:name w:val="Level 1"/>
    <w:basedOn w:val="Normal"/>
    <w:uiPriority w:val="3"/>
    <w:semiHidden/>
    <w:rsid w:val="001059D6"/>
  </w:style>
  <w:style w:type="paragraph" w:customStyle="1" w:styleId="PBACESParagraphBulletPoint">
    <w:name w:val="PBAC ES Paragraph Bullet Point"/>
    <w:basedOn w:val="ListParagraph"/>
    <w:link w:val="PBACESParagraphBulletPointChar"/>
    <w:uiPriority w:val="1"/>
    <w:qFormat/>
    <w:rsid w:val="00F0152D"/>
    <w:pPr>
      <w:numPr>
        <w:ilvl w:val="0"/>
        <w:numId w:val="10"/>
      </w:numPr>
      <w:spacing w:after="120"/>
    </w:pPr>
  </w:style>
  <w:style w:type="character" w:customStyle="1" w:styleId="PBACESParagraphBulletPointChar">
    <w:name w:val="PBAC ES Paragraph Bullet Point Char"/>
    <w:basedOn w:val="ListParagraphChar"/>
    <w:link w:val="PBACESParagraphBulletPoint"/>
    <w:uiPriority w:val="1"/>
    <w:rsid w:val="00245AD1"/>
    <w:rPr>
      <w:color w:val="000000" w:themeColor="text1"/>
      <w:sz w:val="24"/>
    </w:rPr>
  </w:style>
  <w:style w:type="paragraph" w:customStyle="1" w:styleId="OutlineHeading2">
    <w:name w:val="Outline Heading 2"/>
    <w:basedOn w:val="Normal"/>
    <w:link w:val="OutlineHeading2Char"/>
    <w:uiPriority w:val="3"/>
    <w:qFormat/>
    <w:rsid w:val="00BA035A"/>
    <w:pPr>
      <w:keepNext/>
      <w:keepLines/>
      <w:spacing w:before="360" w:after="120"/>
      <w:jc w:val="left"/>
      <w:outlineLvl w:val="1"/>
    </w:pPr>
    <w:rPr>
      <w:rFonts w:eastAsiaTheme="majorEastAsia" w:cstheme="minorHAnsi"/>
      <w:b/>
      <w:i/>
      <w:snapToGrid w:val="0"/>
      <w:color w:val="auto"/>
      <w:sz w:val="28"/>
      <w:szCs w:val="28"/>
    </w:rPr>
  </w:style>
  <w:style w:type="character" w:customStyle="1" w:styleId="OutlineHeading2Char">
    <w:name w:val="Outline Heading 2 Char"/>
    <w:basedOn w:val="Heading2Char"/>
    <w:link w:val="OutlineHeading2"/>
    <w:uiPriority w:val="3"/>
    <w:rsid w:val="00BA035A"/>
    <w:rPr>
      <w:rFonts w:ascii="Arial" w:eastAsiaTheme="majorEastAsia" w:hAnsi="Arial" w:cstheme="minorHAnsi"/>
      <w:b w:val="0"/>
      <w:i/>
      <w:snapToGrid w:val="0"/>
      <w:color w:val="000000" w:themeColor="text1"/>
      <w:sz w:val="28"/>
      <w:szCs w:val="28"/>
    </w:rPr>
  </w:style>
  <w:style w:type="table" w:styleId="TableGrid1">
    <w:name w:val="Table Grid 1"/>
    <w:basedOn w:val="TableNormal"/>
    <w:uiPriority w:val="99"/>
    <w:semiHidden/>
    <w:unhideWhenUsed/>
    <w:rsid w:val="00264773"/>
    <w:pPr>
      <w:spacing w:before="12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Number">
    <w:name w:val="Table Number"/>
    <w:basedOn w:val="TableText"/>
    <w:link w:val="TableNumberChar"/>
    <w:qFormat/>
    <w:rsid w:val="007A0C94"/>
    <w:pPr>
      <w:tabs>
        <w:tab w:val="decimal" w:pos="396"/>
      </w:tabs>
      <w:jc w:val="center"/>
    </w:pPr>
  </w:style>
  <w:style w:type="paragraph" w:customStyle="1" w:styleId="TableRowHeader">
    <w:name w:val="Table Row Header"/>
    <w:basedOn w:val="TableText"/>
    <w:link w:val="TableRowHeaderChar"/>
    <w:qFormat/>
    <w:rsid w:val="0015150F"/>
    <w:pPr>
      <w:jc w:val="center"/>
    </w:pPr>
    <w:rPr>
      <w:b/>
    </w:rPr>
  </w:style>
  <w:style w:type="character" w:styleId="HTMLCite">
    <w:name w:val="HTML Cite"/>
    <w:basedOn w:val="DefaultParagraphFont"/>
    <w:uiPriority w:val="99"/>
    <w:semiHidden/>
    <w:rsid w:val="00D61F15"/>
    <w:rPr>
      <w:i/>
      <w:iCs/>
    </w:rPr>
  </w:style>
  <w:style w:type="paragraph" w:customStyle="1" w:styleId="Heading2Clinical">
    <w:name w:val="Heading 2 Clinical"/>
    <w:basedOn w:val="Heading3"/>
    <w:next w:val="Normal"/>
    <w:link w:val="Heading2ClinicalChar"/>
    <w:uiPriority w:val="1"/>
    <w:semiHidden/>
    <w:rsid w:val="000B35EA"/>
    <w:pPr>
      <w:numPr>
        <w:ilvl w:val="4"/>
      </w:numPr>
      <w:tabs>
        <w:tab w:val="left" w:pos="1418"/>
      </w:tabs>
    </w:pPr>
    <w:rPr>
      <w:i/>
    </w:rPr>
  </w:style>
  <w:style w:type="character" w:customStyle="1" w:styleId="Heading2ClinicalChar">
    <w:name w:val="Heading 2 Clinical Char"/>
    <w:basedOn w:val="Heading4Char"/>
    <w:link w:val="Heading2Clinical"/>
    <w:uiPriority w:val="1"/>
    <w:semiHidden/>
    <w:rsid w:val="00394C83"/>
    <w:rPr>
      <w:rFonts w:eastAsiaTheme="majorEastAsia" w:cstheme="majorBidi"/>
      <w:b/>
      <w:i/>
      <w:color w:val="000000" w:themeColor="text1"/>
      <w:sz w:val="28"/>
      <w:szCs w:val="28"/>
    </w:rPr>
  </w:style>
  <w:style w:type="paragraph" w:customStyle="1" w:styleId="MSACSubtitle">
    <w:name w:val="MSAC Subtitle"/>
    <w:basedOn w:val="Normal"/>
    <w:next w:val="Normal"/>
    <w:link w:val="MSACSubtitleChar"/>
    <w:uiPriority w:val="1"/>
    <w:qFormat/>
    <w:rsid w:val="00111951"/>
    <w:pPr>
      <w:spacing w:before="0" w:after="240"/>
      <w:jc w:val="center"/>
    </w:pPr>
    <w:rPr>
      <w:rFonts w:ascii="Arial" w:hAnsi="Arial"/>
      <w:b/>
      <w:i/>
      <w:color w:val="000080"/>
      <w:sz w:val="28"/>
    </w:rPr>
  </w:style>
  <w:style w:type="character" w:customStyle="1" w:styleId="PBACESHeading1Char">
    <w:name w:val="PBAC ES Heading 1 Char"/>
    <w:basedOn w:val="Heading1Char"/>
    <w:link w:val="PBACESHeading1"/>
    <w:uiPriority w:val="1"/>
    <w:rsid w:val="00245AD1"/>
    <w:rPr>
      <w:rFonts w:eastAsia="Times New Roman" w:cs="Arial"/>
      <w:b/>
      <w:snapToGrid w:val="0"/>
      <w:sz w:val="32"/>
      <w:szCs w:val="32"/>
    </w:rPr>
  </w:style>
  <w:style w:type="character" w:customStyle="1" w:styleId="MSACSubtitleChar">
    <w:name w:val="MSAC Subtitle Char"/>
    <w:basedOn w:val="DefaultParagraphFont"/>
    <w:link w:val="MSACSubtitle"/>
    <w:uiPriority w:val="1"/>
    <w:rsid w:val="00245AD1"/>
    <w:rPr>
      <w:rFonts w:ascii="Arial" w:hAnsi="Arial"/>
      <w:b/>
      <w:i/>
      <w:color w:val="000080"/>
      <w:sz w:val="28"/>
    </w:rPr>
  </w:style>
  <w:style w:type="paragraph" w:customStyle="1" w:styleId="MSACHeading1">
    <w:name w:val="MSAC Heading 1"/>
    <w:basedOn w:val="Heading1"/>
    <w:next w:val="MSACESParagraph"/>
    <w:link w:val="MSACHeading1Char"/>
    <w:uiPriority w:val="1"/>
    <w:qFormat/>
    <w:rsid w:val="001E1827"/>
    <w:pPr>
      <w:numPr>
        <w:ilvl w:val="5"/>
        <w:numId w:val="6"/>
      </w:numPr>
      <w:spacing w:before="160" w:after="240"/>
    </w:pPr>
    <w:rPr>
      <w:rFonts w:ascii="Arial" w:hAnsi="Arial"/>
      <w:sz w:val="24"/>
    </w:rPr>
  </w:style>
  <w:style w:type="paragraph" w:customStyle="1" w:styleId="MSACESParagraph">
    <w:name w:val="MSAC ES Paragraph"/>
    <w:link w:val="MSACESParagraphChar"/>
    <w:uiPriority w:val="1"/>
    <w:qFormat/>
    <w:rsid w:val="00EB360C"/>
    <w:pPr>
      <w:spacing w:after="240" w:line="240" w:lineRule="auto"/>
    </w:pPr>
    <w:rPr>
      <w:rFonts w:ascii="Times New Roman" w:hAnsi="Times New Roman"/>
      <w:sz w:val="24"/>
    </w:rPr>
  </w:style>
  <w:style w:type="character" w:customStyle="1" w:styleId="MSACHeading1Char">
    <w:name w:val="MSAC Heading 1 Char"/>
    <w:basedOn w:val="DefaultParagraphFont"/>
    <w:link w:val="MSACHeading1"/>
    <w:uiPriority w:val="1"/>
    <w:rsid w:val="00245AD1"/>
    <w:rPr>
      <w:rFonts w:ascii="Arial" w:eastAsiaTheme="majorEastAsia" w:hAnsi="Arial" w:cstheme="majorBidi"/>
      <w:b/>
      <w:sz w:val="24"/>
      <w:szCs w:val="28"/>
    </w:rPr>
  </w:style>
  <w:style w:type="paragraph" w:customStyle="1" w:styleId="MSACESHeading2">
    <w:name w:val="MSAC ES Heading 2"/>
    <w:basedOn w:val="Heading2"/>
    <w:next w:val="MSACESParagraph"/>
    <w:link w:val="MSACESHeading2Char"/>
    <w:uiPriority w:val="1"/>
    <w:qFormat/>
    <w:rsid w:val="001E1827"/>
    <w:pPr>
      <w:numPr>
        <w:ilvl w:val="6"/>
        <w:numId w:val="6"/>
      </w:numPr>
    </w:pPr>
    <w:rPr>
      <w:rFonts w:ascii="Cambria" w:hAnsi="Cambria"/>
      <w:i w:val="0"/>
    </w:rPr>
  </w:style>
  <w:style w:type="paragraph" w:customStyle="1" w:styleId="MSACESBulletPoint">
    <w:name w:val="MSAC ES Bullet Point"/>
    <w:basedOn w:val="MSACESParagraph"/>
    <w:link w:val="MSACESBulletPointChar"/>
    <w:uiPriority w:val="1"/>
    <w:qFormat/>
    <w:rsid w:val="002532B4"/>
    <w:pPr>
      <w:numPr>
        <w:numId w:val="5"/>
      </w:numPr>
      <w:spacing w:before="120" w:after="120"/>
    </w:pPr>
  </w:style>
  <w:style w:type="character" w:customStyle="1" w:styleId="MSACESHeading2Char">
    <w:name w:val="MSAC ES Heading 2 Char"/>
    <w:basedOn w:val="DefaultParagraphFont"/>
    <w:link w:val="MSACESHeading2"/>
    <w:uiPriority w:val="1"/>
    <w:rsid w:val="00245AD1"/>
    <w:rPr>
      <w:rFonts w:ascii="Cambria" w:eastAsiaTheme="majorEastAsia" w:hAnsi="Cambria" w:cstheme="majorBidi"/>
      <w:snapToGrid w:val="0"/>
      <w:color w:val="000000" w:themeColor="text1"/>
      <w:sz w:val="24"/>
      <w:szCs w:val="28"/>
    </w:rPr>
  </w:style>
  <w:style w:type="character" w:customStyle="1" w:styleId="TableNumberChar">
    <w:name w:val="Table Number Char"/>
    <w:basedOn w:val="TableTextChar"/>
    <w:link w:val="TableNumber"/>
    <w:rsid w:val="007A0C94"/>
    <w:rPr>
      <w:rFonts w:ascii="Arial Narrow" w:hAnsi="Arial Narrow"/>
      <w:sz w:val="20"/>
    </w:rPr>
  </w:style>
  <w:style w:type="character" w:customStyle="1" w:styleId="MSACESParagraphChar">
    <w:name w:val="MSAC ES Paragraph Char"/>
    <w:basedOn w:val="DefaultParagraphFont"/>
    <w:link w:val="MSACESParagraph"/>
    <w:uiPriority w:val="1"/>
    <w:rsid w:val="004E6CFF"/>
    <w:rPr>
      <w:rFonts w:ascii="Times New Roman" w:hAnsi="Times New Roman"/>
      <w:sz w:val="24"/>
    </w:rPr>
  </w:style>
  <w:style w:type="character" w:customStyle="1" w:styleId="MSACESBulletPointChar">
    <w:name w:val="MSAC ES Bullet Point Char"/>
    <w:basedOn w:val="MSACESParagraphChar"/>
    <w:link w:val="MSACESBulletPoint"/>
    <w:uiPriority w:val="1"/>
    <w:rsid w:val="00394C83"/>
    <w:rPr>
      <w:rFonts w:ascii="Times New Roman" w:hAnsi="Times New Roman"/>
      <w:sz w:val="24"/>
    </w:rPr>
  </w:style>
  <w:style w:type="paragraph" w:customStyle="1" w:styleId="ESHeading1">
    <w:name w:val="ES Heading 1"/>
    <w:basedOn w:val="Heading1"/>
    <w:next w:val="Heading1"/>
    <w:uiPriority w:val="8"/>
    <w:semiHidden/>
    <w:rsid w:val="00703418"/>
    <w:pPr>
      <w:numPr>
        <w:numId w:val="0"/>
      </w:numPr>
      <w:spacing w:before="240" w:line="240" w:lineRule="auto"/>
      <w:ind w:left="720" w:hanging="720"/>
    </w:pPr>
    <w:rPr>
      <w:rFonts w:eastAsia="Times New Roman" w:cs="Arial"/>
      <w:snapToGrid w:val="0"/>
      <w:szCs w:val="32"/>
    </w:rPr>
  </w:style>
  <w:style w:type="paragraph" w:customStyle="1" w:styleId="ESHeading2">
    <w:name w:val="ES Heading 2"/>
    <w:basedOn w:val="Heading2"/>
    <w:uiPriority w:val="8"/>
    <w:semiHidden/>
    <w:rsid w:val="00703418"/>
    <w:pPr>
      <w:ind w:left="720" w:hanging="720"/>
    </w:pPr>
    <w:rPr>
      <w:rFonts w:asciiTheme="majorHAnsi" w:hAnsiTheme="majorHAnsi"/>
    </w:rPr>
  </w:style>
  <w:style w:type="paragraph" w:customStyle="1" w:styleId="ESHeadingCAPS">
    <w:name w:val="ES Heading CAPS"/>
    <w:basedOn w:val="ESHeading2"/>
    <w:uiPriority w:val="8"/>
    <w:semiHidden/>
    <w:rsid w:val="00703418"/>
    <w:rPr>
      <w:i w:val="0"/>
      <w:smallCaps/>
      <w:sz w:val="32"/>
    </w:rPr>
  </w:style>
  <w:style w:type="paragraph" w:customStyle="1" w:styleId="ESHeading3">
    <w:name w:val="ES Heading 3"/>
    <w:basedOn w:val="ESHeading2"/>
    <w:uiPriority w:val="8"/>
    <w:semiHidden/>
    <w:rsid w:val="00703418"/>
    <w:pPr>
      <w:ind w:left="1080" w:hanging="1080"/>
    </w:pPr>
    <w:rPr>
      <w:i w:val="0"/>
    </w:rPr>
  </w:style>
  <w:style w:type="numbering" w:customStyle="1" w:styleId="MSACESBulletpoints">
    <w:name w:val="MSAC ES Bullet points"/>
    <w:uiPriority w:val="99"/>
    <w:rsid w:val="00FA1A77"/>
    <w:pPr>
      <w:numPr>
        <w:numId w:val="7"/>
      </w:numPr>
    </w:pPr>
  </w:style>
  <w:style w:type="paragraph" w:customStyle="1" w:styleId="MainBodyBulletPoint">
    <w:name w:val="MainBody Bullet Point"/>
    <w:basedOn w:val="InstructionBulletpoint"/>
    <w:link w:val="MainBodyBulletPointChar"/>
    <w:uiPriority w:val="1"/>
    <w:qFormat/>
    <w:rsid w:val="002532B4"/>
    <w:pPr>
      <w:numPr>
        <w:numId w:val="8"/>
      </w:numPr>
      <w:ind w:left="714" w:hanging="357"/>
    </w:pPr>
    <w:rPr>
      <w:color w:val="auto"/>
    </w:rPr>
  </w:style>
  <w:style w:type="character" w:customStyle="1" w:styleId="MainBodyBulletPointChar">
    <w:name w:val="MainBody Bullet Point Char"/>
    <w:basedOn w:val="InstructionBulletpointChar"/>
    <w:link w:val="MainBodyBulletPoint"/>
    <w:uiPriority w:val="1"/>
    <w:rsid w:val="00F61E38"/>
    <w:rPr>
      <w:rFonts w:ascii="Calibri" w:hAnsi="Calibri"/>
      <w:color w:val="0070C0"/>
      <w:sz w:val="24"/>
    </w:rPr>
  </w:style>
  <w:style w:type="character" w:customStyle="1" w:styleId="OutlineHeading1Char">
    <w:name w:val="Outline Heading 1 Char"/>
    <w:basedOn w:val="Heading1Char"/>
    <w:link w:val="OutlineHeading1"/>
    <w:uiPriority w:val="3"/>
    <w:rsid w:val="00F630C9"/>
    <w:rPr>
      <w:rFonts w:eastAsiaTheme="majorEastAsia" w:cstheme="majorBidi"/>
      <w:b/>
      <w:sz w:val="32"/>
      <w:szCs w:val="28"/>
    </w:rPr>
  </w:style>
  <w:style w:type="numbering" w:customStyle="1" w:styleId="Style1">
    <w:name w:val="Style1"/>
    <w:uiPriority w:val="99"/>
    <w:rsid w:val="009A580E"/>
    <w:pPr>
      <w:numPr>
        <w:numId w:val="11"/>
      </w:numPr>
    </w:pPr>
  </w:style>
  <w:style w:type="numbering" w:customStyle="1" w:styleId="Style2">
    <w:name w:val="Style2"/>
    <w:uiPriority w:val="99"/>
    <w:rsid w:val="002A391F"/>
    <w:pPr>
      <w:numPr>
        <w:numId w:val="12"/>
      </w:numPr>
    </w:pPr>
  </w:style>
  <w:style w:type="table" w:customStyle="1" w:styleId="ListTable1Light1">
    <w:name w:val="List Table 1 Light1"/>
    <w:basedOn w:val="TableNormal"/>
    <w:uiPriority w:val="46"/>
    <w:rsid w:val="00104A1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Accent61">
    <w:name w:val="List Table 7 Colorful - Accent 61"/>
    <w:basedOn w:val="TableNormal"/>
    <w:uiPriority w:val="52"/>
    <w:rsid w:val="00104A1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Emphasis">
    <w:name w:val="Emphasis"/>
    <w:basedOn w:val="DefaultParagraphFont"/>
    <w:uiPriority w:val="20"/>
    <w:qFormat/>
    <w:rsid w:val="003D1FB3"/>
    <w:rPr>
      <w:i/>
      <w:iCs/>
    </w:rPr>
  </w:style>
  <w:style w:type="numbering" w:customStyle="1" w:styleId="Style3">
    <w:name w:val="Style3"/>
    <w:uiPriority w:val="99"/>
    <w:rsid w:val="0076446C"/>
    <w:pPr>
      <w:numPr>
        <w:numId w:val="13"/>
      </w:numPr>
    </w:pPr>
  </w:style>
  <w:style w:type="character" w:customStyle="1" w:styleId="TableRowHeaderChar">
    <w:name w:val="Table Row Header Char"/>
    <w:basedOn w:val="TableTextChar"/>
    <w:link w:val="TableRowHeader"/>
    <w:rsid w:val="0015150F"/>
    <w:rPr>
      <w:rFonts w:ascii="Arial Narrow" w:hAnsi="Arial Narrow"/>
      <w:b/>
      <w:sz w:val="20"/>
    </w:rPr>
  </w:style>
  <w:style w:type="paragraph" w:customStyle="1" w:styleId="EndNoteBibliographyTitle">
    <w:name w:val="EndNote Bibliography Title"/>
    <w:basedOn w:val="Normal"/>
    <w:link w:val="EndNoteBibliographyTitleChar"/>
    <w:rsid w:val="00391E3A"/>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391E3A"/>
    <w:rPr>
      <w:rFonts w:ascii="Calibri" w:hAnsi="Calibri" w:cs="Calibri"/>
      <w:noProof/>
      <w:color w:val="000000" w:themeColor="text1"/>
      <w:sz w:val="24"/>
      <w:lang w:val="en-US"/>
    </w:rPr>
  </w:style>
  <w:style w:type="paragraph" w:customStyle="1" w:styleId="EndNoteBibliography">
    <w:name w:val="EndNote Bibliography"/>
    <w:basedOn w:val="Normal"/>
    <w:link w:val="EndNoteBibliographyChar"/>
    <w:rsid w:val="00391E3A"/>
    <w:pPr>
      <w:jc w:val="left"/>
    </w:pPr>
    <w:rPr>
      <w:rFonts w:ascii="Calibri" w:hAnsi="Calibri" w:cs="Calibri"/>
      <w:noProof/>
      <w:lang w:val="en-US"/>
    </w:rPr>
  </w:style>
  <w:style w:type="character" w:customStyle="1" w:styleId="EndNoteBibliographyChar">
    <w:name w:val="EndNote Bibliography Char"/>
    <w:basedOn w:val="DefaultParagraphFont"/>
    <w:link w:val="EndNoteBibliography"/>
    <w:rsid w:val="00391E3A"/>
    <w:rPr>
      <w:rFonts w:ascii="Calibri" w:hAnsi="Calibri" w:cs="Calibri"/>
      <w:noProof/>
      <w:color w:val="000000" w:themeColor="text1"/>
      <w:sz w:val="24"/>
      <w:lang w:val="en-US"/>
    </w:rPr>
  </w:style>
  <w:style w:type="table" w:customStyle="1" w:styleId="TableGrid10">
    <w:name w:val="Table Grid1"/>
    <w:basedOn w:val="TableNormal"/>
    <w:next w:val="TableGrid"/>
    <w:uiPriority w:val="59"/>
    <w:rsid w:val="00513E42"/>
    <w:pPr>
      <w:spacing w:after="0" w:line="240" w:lineRule="auto"/>
    </w:pPr>
    <w:rPr>
      <w:rFonts w:eastAsia="SimSu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Notes">
    <w:name w:val="TableNotes"/>
    <w:basedOn w:val="Normal"/>
    <w:next w:val="Normal"/>
    <w:uiPriority w:val="3"/>
    <w:qFormat/>
    <w:rsid w:val="00D77003"/>
    <w:pPr>
      <w:tabs>
        <w:tab w:val="left" w:pos="1100"/>
      </w:tabs>
      <w:spacing w:before="0" w:after="0"/>
      <w:ind w:left="1100" w:hanging="1100"/>
      <w:jc w:val="left"/>
    </w:pPr>
    <w:rPr>
      <w:rFonts w:ascii="Calibri" w:eastAsiaTheme="minorEastAsia" w:hAnsi="Calibri"/>
      <w:sz w:val="18"/>
      <w:szCs w:val="18"/>
    </w:rPr>
  </w:style>
  <w:style w:type="table" w:customStyle="1" w:styleId="TableGrid2">
    <w:name w:val="Table Grid2"/>
    <w:basedOn w:val="TableNormal"/>
    <w:next w:val="TableGrid"/>
    <w:uiPriority w:val="39"/>
    <w:rsid w:val="00D77003"/>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90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Text"/>
    <w:basedOn w:val="Normal"/>
    <w:link w:val="TableTextChar0"/>
    <w:uiPriority w:val="3"/>
    <w:qFormat/>
    <w:rsid w:val="00B870E2"/>
    <w:pPr>
      <w:spacing w:before="40" w:after="40"/>
      <w:jc w:val="left"/>
    </w:pPr>
    <w:rPr>
      <w:rFonts w:ascii="Calibri" w:eastAsia="Times New Roman" w:hAnsi="Calibri" w:cstheme="minorHAnsi"/>
      <w:bCs/>
      <w:sz w:val="20"/>
      <w:szCs w:val="20"/>
    </w:rPr>
  </w:style>
  <w:style w:type="character" w:customStyle="1" w:styleId="TableTextChar0">
    <w:name w:val="TableText Char"/>
    <w:basedOn w:val="DefaultParagraphFont"/>
    <w:link w:val="TableText0"/>
    <w:uiPriority w:val="3"/>
    <w:rsid w:val="00B870E2"/>
    <w:rPr>
      <w:rFonts w:ascii="Calibri" w:eastAsia="Times New Roman" w:hAnsi="Calibri" w:cstheme="minorHAnsi"/>
      <w:bCs/>
      <w:sz w:val="20"/>
      <w:szCs w:val="20"/>
    </w:rPr>
  </w:style>
  <w:style w:type="paragraph" w:customStyle="1" w:styleId="TableHeadingRow">
    <w:name w:val="TableHeadingRow"/>
    <w:basedOn w:val="Normal"/>
    <w:uiPriority w:val="3"/>
    <w:qFormat/>
    <w:rsid w:val="0035675A"/>
    <w:pPr>
      <w:keepNext/>
      <w:spacing w:before="20" w:after="20"/>
      <w:jc w:val="left"/>
    </w:pPr>
    <w:rPr>
      <w:rFonts w:ascii="Calibri" w:eastAsia="Times New Roman" w:hAnsi="Calibri" w:cstheme="minorHAnsi"/>
      <w:b/>
      <w:color w:val="auto"/>
      <w:sz w:val="20"/>
      <w:szCs w:val="20"/>
    </w:rPr>
  </w:style>
  <w:style w:type="numbering" w:customStyle="1" w:styleId="NoList1">
    <w:name w:val="No List1"/>
    <w:next w:val="NoList"/>
    <w:uiPriority w:val="99"/>
    <w:semiHidden/>
    <w:unhideWhenUsed/>
    <w:rsid w:val="00702F43"/>
  </w:style>
  <w:style w:type="table" w:customStyle="1" w:styleId="TableGridbeth1">
    <w:name w:val="Table Gridbeth1"/>
    <w:basedOn w:val="TableNormal"/>
    <w:next w:val="TableGrid"/>
    <w:uiPriority w:val="59"/>
    <w:rsid w:val="00702F43"/>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table" w:customStyle="1" w:styleId="PBACTableStyle1">
    <w:name w:val="PBAC Table Style1"/>
    <w:basedOn w:val="TableGrid1"/>
    <w:uiPriority w:val="99"/>
    <w:rsid w:val="00702F43"/>
    <w:pPr>
      <w:widowControl w:val="0"/>
      <w:spacing w:after="0"/>
      <w:contextualSpacing/>
      <w:jc w:val="center"/>
    </w:pPr>
    <w:rPr>
      <w:rFonts w:ascii="Arial Narrow" w:hAnsi="Arial Narrow"/>
      <w:color w:val="000000" w:themeColor="text1"/>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57" w:firstLineChars="0" w:firstLine="0"/>
        <w:jc w:val="center"/>
      </w:pPr>
      <w:rPr>
        <w:rFonts w:ascii="Open Sans" w:hAnsi="Open Sans"/>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Open Sans" w:hAnsi="Open Sans"/>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Open Sans" w:hAnsi="Open Sans"/>
        <w:i/>
        <w:i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table" w:customStyle="1" w:styleId="ListTable1Light2">
    <w:name w:val="List Table 1 Light2"/>
    <w:basedOn w:val="TableNormal"/>
    <w:next w:val="ListTable1Light"/>
    <w:uiPriority w:val="46"/>
    <w:rsid w:val="00702F4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Accent62">
    <w:name w:val="List Table 7 Colorful - Accent 62"/>
    <w:basedOn w:val="TableNormal"/>
    <w:next w:val="ListTable7Colorful-Accent6"/>
    <w:uiPriority w:val="52"/>
    <w:rsid w:val="00702F43"/>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11">
    <w:name w:val="Table Grid 11"/>
    <w:basedOn w:val="TableNormal"/>
    <w:next w:val="TableGrid1"/>
    <w:uiPriority w:val="99"/>
    <w:semiHidden/>
    <w:unhideWhenUsed/>
    <w:rsid w:val="00702F43"/>
    <w:pPr>
      <w:spacing w:before="12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stTable1Light11">
    <w:name w:val="List Table 1 Light11"/>
    <w:basedOn w:val="TableNormal"/>
    <w:uiPriority w:val="46"/>
    <w:rsid w:val="00702F4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Accent611">
    <w:name w:val="List Table 7 Colorful - Accent 611"/>
    <w:basedOn w:val="TableNormal"/>
    <w:uiPriority w:val="52"/>
    <w:rsid w:val="00702F43"/>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2">
    <w:name w:val="No List2"/>
    <w:next w:val="NoList"/>
    <w:uiPriority w:val="99"/>
    <w:semiHidden/>
    <w:unhideWhenUsed/>
    <w:rsid w:val="00C21388"/>
  </w:style>
  <w:style w:type="table" w:customStyle="1" w:styleId="PBACTableStyle2">
    <w:name w:val="PBAC Table Style2"/>
    <w:basedOn w:val="TableGrid1"/>
    <w:uiPriority w:val="99"/>
    <w:rsid w:val="00C21388"/>
    <w:pPr>
      <w:widowControl w:val="0"/>
      <w:spacing w:after="0"/>
      <w:contextualSpacing/>
      <w:jc w:val="center"/>
    </w:pPr>
    <w:rPr>
      <w:rFonts w:ascii="Arial Narrow" w:hAnsi="Arial Narrow"/>
      <w:color w:val="000000" w:themeColor="text1"/>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57" w:firstLineChars="0" w:firstLine="0"/>
        <w:jc w:val="center"/>
      </w:pPr>
      <w:rPr>
        <w:rFonts w:ascii="Open Sans" w:hAnsi="Open Sans"/>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Open Sans" w:hAnsi="Open Sans"/>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Open Sans" w:hAnsi="Open Sans"/>
        <w:i/>
        <w:i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paragraph" w:styleId="CommentText">
    <w:name w:val="annotation text"/>
    <w:basedOn w:val="Normal"/>
    <w:link w:val="CommentTextChar"/>
    <w:uiPriority w:val="99"/>
    <w:unhideWhenUsed/>
    <w:rsid w:val="00EF3984"/>
    <w:rPr>
      <w:sz w:val="20"/>
      <w:szCs w:val="20"/>
    </w:rPr>
  </w:style>
  <w:style w:type="character" w:customStyle="1" w:styleId="CommentTextChar">
    <w:name w:val="Comment Text Char"/>
    <w:basedOn w:val="DefaultParagraphFont"/>
    <w:link w:val="CommentText"/>
    <w:uiPriority w:val="99"/>
    <w:rsid w:val="00EF3984"/>
    <w:rPr>
      <w:color w:val="000000" w:themeColor="text1"/>
      <w:sz w:val="20"/>
      <w:szCs w:val="20"/>
    </w:rPr>
  </w:style>
  <w:style w:type="table" w:customStyle="1" w:styleId="ASDTable1">
    <w:name w:val="ASD Table1"/>
    <w:basedOn w:val="TableNormal"/>
    <w:next w:val="TableGrid"/>
    <w:uiPriority w:val="39"/>
    <w:rsid w:val="006C7A43"/>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4"/>
    <w:unhideWhenUsed/>
    <w:qFormat/>
    <w:rsid w:val="00F511E3"/>
    <w:pPr>
      <w:numPr>
        <w:numId w:val="14"/>
      </w:numPr>
      <w:spacing w:before="0" w:after="0"/>
      <w:contextualSpacing/>
    </w:pPr>
    <w:rPr>
      <w:rFonts w:ascii="Calibri" w:eastAsia="Times New Roman" w:hAnsi="Calibri" w:cs="Arial"/>
      <w:color w:val="auto"/>
      <w:szCs w:val="24"/>
      <w:lang w:eastAsia="en-AU"/>
    </w:rPr>
  </w:style>
  <w:style w:type="paragraph" w:customStyle="1" w:styleId="TableFigureFooter">
    <w:name w:val="Table/Figure Footer"/>
    <w:basedOn w:val="Normal"/>
    <w:link w:val="TableFigureFooterChar"/>
    <w:qFormat/>
    <w:rsid w:val="00CE2CA1"/>
    <w:pPr>
      <w:spacing w:before="0" w:after="120"/>
      <w:contextualSpacing/>
    </w:pPr>
    <w:rPr>
      <w:rFonts w:ascii="Arial Narrow" w:eastAsia="Times New Roman" w:hAnsi="Arial Narrow" w:cs="Arial"/>
      <w:snapToGrid w:val="0"/>
      <w:color w:val="auto"/>
      <w:sz w:val="18"/>
      <w:lang w:eastAsia="en-AU"/>
    </w:rPr>
  </w:style>
  <w:style w:type="character" w:customStyle="1" w:styleId="TableFigureFooterChar">
    <w:name w:val="Table/Figure Footer Char"/>
    <w:link w:val="TableFigureFooter"/>
    <w:rsid w:val="00CE2CA1"/>
    <w:rPr>
      <w:rFonts w:ascii="Arial Narrow" w:eastAsia="Times New Roman" w:hAnsi="Arial Narrow" w:cs="Arial"/>
      <w:snapToGrid w:val="0"/>
      <w:sz w:val="18"/>
      <w:lang w:eastAsia="en-AU"/>
    </w:rPr>
  </w:style>
  <w:style w:type="paragraph" w:customStyle="1" w:styleId="In-tableHeading">
    <w:name w:val="In-table Heading"/>
    <w:qFormat/>
    <w:rsid w:val="00CE2CA1"/>
    <w:pPr>
      <w:keepNext/>
      <w:spacing w:after="0" w:line="240" w:lineRule="auto"/>
    </w:pPr>
    <w:rPr>
      <w:rFonts w:ascii="Arial Narrow" w:eastAsiaTheme="majorEastAsia" w:hAnsi="Arial Narrow" w:cs="Times New Roman"/>
      <w:b/>
      <w:sz w:val="20"/>
      <w:szCs w:val="24"/>
      <w:lang w:val="en-US" w:eastAsia="en-AU"/>
    </w:rPr>
  </w:style>
  <w:style w:type="paragraph" w:customStyle="1" w:styleId="Tabletext1">
    <w:name w:val="Table text"/>
    <w:basedOn w:val="Normal"/>
    <w:link w:val="TabletextChar1"/>
    <w:qFormat/>
    <w:rsid w:val="00475A1A"/>
    <w:pPr>
      <w:spacing w:before="0" w:after="0"/>
      <w:jc w:val="left"/>
    </w:pPr>
    <w:rPr>
      <w:rFonts w:ascii="Arial Narrow" w:eastAsia="Times New Roman" w:hAnsi="Arial Narrow" w:cs="Times New Roman"/>
      <w:color w:val="auto"/>
      <w:sz w:val="20"/>
    </w:rPr>
  </w:style>
  <w:style w:type="character" w:customStyle="1" w:styleId="TabletextChar1">
    <w:name w:val="Table text Char"/>
    <w:link w:val="Tabletext1"/>
    <w:rsid w:val="00475A1A"/>
    <w:rPr>
      <w:rFonts w:ascii="Arial Narrow" w:eastAsia="Times New Roman" w:hAnsi="Arial Narrow" w:cs="Times New Roman"/>
      <w:sz w:val="20"/>
    </w:rPr>
  </w:style>
  <w:style w:type="paragraph" w:customStyle="1" w:styleId="TableFigureHeading">
    <w:name w:val="Table/Figure Heading"/>
    <w:next w:val="Normal"/>
    <w:link w:val="TableFigureHeadingChar"/>
    <w:qFormat/>
    <w:rsid w:val="00475A1A"/>
    <w:pPr>
      <w:keepNext/>
      <w:spacing w:after="0" w:line="240" w:lineRule="auto"/>
    </w:pPr>
    <w:rPr>
      <w:rFonts w:ascii="Arial Narrow" w:eastAsiaTheme="majorEastAsia" w:hAnsi="Arial Narrow" w:cstheme="majorBidi"/>
      <w:b/>
      <w:bCs/>
      <w:sz w:val="20"/>
      <w:szCs w:val="24"/>
      <w:lang w:eastAsia="en-AU"/>
    </w:rPr>
  </w:style>
  <w:style w:type="character" w:customStyle="1" w:styleId="TableFigureHeadingChar">
    <w:name w:val="Table/Figure Heading Char"/>
    <w:basedOn w:val="DefaultParagraphFont"/>
    <w:link w:val="TableFigureHeading"/>
    <w:rsid w:val="00475A1A"/>
    <w:rPr>
      <w:rFonts w:ascii="Arial Narrow" w:eastAsiaTheme="majorEastAsia" w:hAnsi="Arial Narrow" w:cstheme="majorBidi"/>
      <w:b/>
      <w:bCs/>
      <w:sz w:val="20"/>
      <w:szCs w:val="24"/>
      <w:lang w:eastAsia="en-AU"/>
    </w:rPr>
  </w:style>
  <w:style w:type="paragraph" w:customStyle="1" w:styleId="Commentitalics">
    <w:name w:val="Comment (italics)"/>
    <w:basedOn w:val="Normal"/>
    <w:next w:val="Normal"/>
    <w:qFormat/>
    <w:rsid w:val="002131D8"/>
    <w:pPr>
      <w:widowControl w:val="0"/>
      <w:spacing w:before="0" w:after="0"/>
    </w:pPr>
    <w:rPr>
      <w:rFonts w:ascii="Calibri" w:eastAsia="Times New Roman" w:hAnsi="Calibri" w:cs="Arial"/>
      <w:i/>
      <w:snapToGrid w:val="0"/>
      <w:color w:val="auto"/>
      <w:szCs w:val="24"/>
    </w:rPr>
  </w:style>
  <w:style w:type="paragraph" w:customStyle="1" w:styleId="TableBullet">
    <w:name w:val="Table Bullet"/>
    <w:basedOn w:val="TableText"/>
    <w:qFormat/>
    <w:rsid w:val="002131D8"/>
    <w:pPr>
      <w:widowControl/>
      <w:numPr>
        <w:numId w:val="15"/>
      </w:numPr>
      <w:spacing w:line="240" w:lineRule="auto"/>
      <w:ind w:left="357" w:hanging="357"/>
    </w:pPr>
    <w:rPr>
      <w:rFonts w:asciiTheme="minorHAnsi" w:eastAsiaTheme="minorEastAsia" w:hAnsiTheme="minorHAnsi" w:cstheme="minorHAnsi"/>
      <w:color w:val="auto"/>
      <w:lang w:eastAsia="zh-CN"/>
    </w:rPr>
  </w:style>
  <w:style w:type="table" w:customStyle="1" w:styleId="ASDTable2">
    <w:name w:val="ASD Table2"/>
    <w:basedOn w:val="TableNormal"/>
    <w:next w:val="TableGrid"/>
    <w:uiPriority w:val="39"/>
    <w:rsid w:val="00013605"/>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uiPriority w:val="3"/>
    <w:rsid w:val="0056512A"/>
    <w:pPr>
      <w:widowControl w:val="0"/>
      <w:spacing w:before="0" w:after="0"/>
    </w:pPr>
    <w:rPr>
      <w:rFonts w:ascii="Calibri" w:eastAsia="Times New Roman" w:hAnsi="Calibri" w:cs="Arial"/>
      <w:b/>
      <w:snapToGrid w:val="0"/>
      <w:color w:val="auto"/>
      <w:sz w:val="20"/>
    </w:rPr>
  </w:style>
  <w:style w:type="paragraph" w:styleId="Title">
    <w:name w:val="Title"/>
    <w:basedOn w:val="Normal"/>
    <w:next w:val="Normal"/>
    <w:link w:val="TitleChar"/>
    <w:rsid w:val="0056512A"/>
    <w:pPr>
      <w:widowControl w:val="0"/>
      <w:spacing w:before="240" w:after="60"/>
      <w:jc w:val="center"/>
      <w:outlineLvl w:val="0"/>
    </w:pPr>
    <w:rPr>
      <w:rFonts w:ascii="Cambria" w:eastAsia="Times New Roman" w:hAnsi="Cambria" w:cs="Arial"/>
      <w:b/>
      <w:bCs/>
      <w:snapToGrid w:val="0"/>
      <w:color w:val="auto"/>
      <w:kern w:val="28"/>
      <w:sz w:val="32"/>
      <w:szCs w:val="32"/>
    </w:rPr>
  </w:style>
  <w:style w:type="character" w:customStyle="1" w:styleId="TitleChar">
    <w:name w:val="Title Char"/>
    <w:basedOn w:val="DefaultParagraphFont"/>
    <w:link w:val="Title"/>
    <w:rsid w:val="0056512A"/>
    <w:rPr>
      <w:rFonts w:ascii="Cambria" w:eastAsia="Times New Roman" w:hAnsi="Cambria" w:cs="Arial"/>
      <w:b/>
      <w:bCs/>
      <w:snapToGrid w:val="0"/>
      <w:kern w:val="28"/>
      <w:sz w:val="32"/>
      <w:szCs w:val="32"/>
    </w:rPr>
  </w:style>
  <w:style w:type="paragraph" w:styleId="BodyText">
    <w:name w:val="Body Text"/>
    <w:basedOn w:val="Normal"/>
    <w:link w:val="BodyTextChar"/>
    <w:qFormat/>
    <w:rsid w:val="0056512A"/>
    <w:pPr>
      <w:widowControl w:val="0"/>
      <w:spacing w:before="0" w:after="0"/>
      <w:jc w:val="left"/>
    </w:pPr>
    <w:rPr>
      <w:rFonts w:ascii="Calibri" w:eastAsia="Times New Roman" w:hAnsi="Calibri" w:cs="Arial"/>
      <w:snapToGrid w:val="0"/>
      <w:color w:val="auto"/>
    </w:rPr>
  </w:style>
  <w:style w:type="character" w:customStyle="1" w:styleId="BodyTextChar">
    <w:name w:val="Body Text Char"/>
    <w:basedOn w:val="DefaultParagraphFont"/>
    <w:link w:val="BodyText"/>
    <w:rsid w:val="0056512A"/>
    <w:rPr>
      <w:rFonts w:ascii="Calibri" w:eastAsia="Times New Roman" w:hAnsi="Calibri" w:cs="Arial"/>
      <w:snapToGrid w:val="0"/>
      <w:sz w:val="24"/>
    </w:rPr>
  </w:style>
  <w:style w:type="paragraph" w:customStyle="1" w:styleId="RegularText">
    <w:name w:val="Regular Text"/>
    <w:basedOn w:val="BodyText"/>
    <w:link w:val="RegularTextChar"/>
    <w:rsid w:val="0056512A"/>
    <w:rPr>
      <w:b/>
    </w:rPr>
  </w:style>
  <w:style w:type="character" w:customStyle="1" w:styleId="RegularTextChar">
    <w:name w:val="Regular Text Char"/>
    <w:basedOn w:val="BodyTextChar"/>
    <w:link w:val="RegularText"/>
    <w:rsid w:val="0056512A"/>
    <w:rPr>
      <w:rFonts w:ascii="Calibri" w:eastAsia="Times New Roman" w:hAnsi="Calibri" w:cs="Arial"/>
      <w:b/>
      <w:snapToGrid w:val="0"/>
      <w:sz w:val="24"/>
    </w:rPr>
  </w:style>
  <w:style w:type="paragraph" w:customStyle="1" w:styleId="TableHeading">
    <w:name w:val="TableHeading"/>
    <w:basedOn w:val="Normal"/>
    <w:qFormat/>
    <w:rsid w:val="0056512A"/>
    <w:pPr>
      <w:keepNext/>
      <w:spacing w:before="40" w:after="40"/>
      <w:jc w:val="left"/>
    </w:pPr>
    <w:rPr>
      <w:rFonts w:ascii="Arial Narrow" w:eastAsia="Times New Roman" w:hAnsi="Arial Narrow" w:cs="Arial Narrow"/>
      <w:b/>
      <w:bCs/>
      <w:color w:val="auto"/>
      <w:sz w:val="20"/>
    </w:rPr>
  </w:style>
  <w:style w:type="paragraph" w:customStyle="1" w:styleId="Corpsdetextemarge">
    <w:name w:val="Corps de texte marge"/>
    <w:basedOn w:val="BodyText"/>
    <w:uiPriority w:val="99"/>
    <w:rsid w:val="0056512A"/>
    <w:pPr>
      <w:widowControl/>
      <w:jc w:val="both"/>
    </w:pPr>
    <w:rPr>
      <w:rFonts w:ascii="Times" w:hAnsi="Times" w:cs="Times New Roman"/>
      <w:snapToGrid/>
      <w:lang w:val="en-US"/>
    </w:rPr>
  </w:style>
  <w:style w:type="paragraph" w:customStyle="1" w:styleId="Bulletpoints">
    <w:name w:val="Bullet points"/>
    <w:basedOn w:val="ListParagraph"/>
    <w:link w:val="BulletpointsChar"/>
    <w:qFormat/>
    <w:rsid w:val="0056512A"/>
    <w:pPr>
      <w:widowControl w:val="0"/>
      <w:numPr>
        <w:ilvl w:val="0"/>
        <w:numId w:val="16"/>
      </w:numPr>
      <w:spacing w:before="0" w:after="0"/>
    </w:pPr>
    <w:rPr>
      <w:rFonts w:ascii="Calibri" w:eastAsia="Times New Roman" w:hAnsi="Calibri" w:cs="Arial"/>
      <w:snapToGrid w:val="0"/>
      <w:szCs w:val="24"/>
    </w:rPr>
  </w:style>
  <w:style w:type="paragraph" w:customStyle="1" w:styleId="TableName">
    <w:name w:val="TableName"/>
    <w:basedOn w:val="Normal"/>
    <w:rsid w:val="0056512A"/>
    <w:pPr>
      <w:keepNext/>
      <w:spacing w:after="120"/>
      <w:ind w:left="1800" w:hanging="1080"/>
      <w:jc w:val="left"/>
    </w:pPr>
    <w:rPr>
      <w:rFonts w:ascii="Arial Narrow" w:eastAsia="Times New Roman" w:hAnsi="Arial Narrow" w:cs="Arial Narrow"/>
      <w:b/>
      <w:bCs/>
      <w:color w:val="auto"/>
    </w:rPr>
  </w:style>
  <w:style w:type="paragraph" w:customStyle="1" w:styleId="TableNotes18">
    <w:name w:val="TableNotes+18"/>
    <w:basedOn w:val="Normal"/>
    <w:rsid w:val="0056512A"/>
    <w:pPr>
      <w:keepLines/>
      <w:spacing w:before="0" w:after="360"/>
      <w:ind w:left="720"/>
      <w:jc w:val="left"/>
    </w:pPr>
    <w:rPr>
      <w:rFonts w:ascii="Arial Narrow" w:eastAsia="Times New Roman" w:hAnsi="Arial Narrow" w:cs="Arial Narrow"/>
      <w:color w:val="auto"/>
      <w:sz w:val="18"/>
      <w:szCs w:val="18"/>
    </w:rPr>
  </w:style>
  <w:style w:type="paragraph" w:customStyle="1" w:styleId="TableNotes0">
    <w:name w:val="TableNotes+0"/>
    <w:basedOn w:val="TableNotes18"/>
    <w:rsid w:val="0056512A"/>
    <w:pPr>
      <w:keepNext/>
      <w:spacing w:after="0"/>
    </w:pPr>
  </w:style>
  <w:style w:type="paragraph" w:styleId="BodyTextIndent">
    <w:name w:val="Body Text Indent"/>
    <w:basedOn w:val="Normal"/>
    <w:link w:val="BodyTextIndentChar"/>
    <w:rsid w:val="0056512A"/>
    <w:pPr>
      <w:widowControl w:val="0"/>
      <w:spacing w:before="0" w:after="120"/>
      <w:ind w:left="283"/>
    </w:pPr>
    <w:rPr>
      <w:rFonts w:ascii="Calibri" w:eastAsia="Times New Roman" w:hAnsi="Calibri" w:cs="Arial"/>
      <w:snapToGrid w:val="0"/>
      <w:color w:val="auto"/>
    </w:rPr>
  </w:style>
  <w:style w:type="character" w:customStyle="1" w:styleId="BodyTextIndentChar">
    <w:name w:val="Body Text Indent Char"/>
    <w:basedOn w:val="DefaultParagraphFont"/>
    <w:link w:val="BodyTextIndent"/>
    <w:rsid w:val="0056512A"/>
    <w:rPr>
      <w:rFonts w:ascii="Calibri" w:eastAsia="Times New Roman" w:hAnsi="Calibri" w:cs="Arial"/>
      <w:snapToGrid w:val="0"/>
      <w:sz w:val="24"/>
    </w:rPr>
  </w:style>
  <w:style w:type="paragraph" w:customStyle="1" w:styleId="Char1CharCharChar">
    <w:name w:val="Char1 Char Char Char"/>
    <w:basedOn w:val="Normal"/>
    <w:rsid w:val="0056512A"/>
    <w:pPr>
      <w:spacing w:before="0" w:line="240" w:lineRule="exact"/>
      <w:jc w:val="left"/>
    </w:pPr>
    <w:rPr>
      <w:rFonts w:ascii="Verdana" w:eastAsia="MS Mincho" w:hAnsi="Verdana" w:cs="Verdana"/>
      <w:color w:val="auto"/>
      <w:sz w:val="20"/>
      <w:lang w:val="en-US"/>
    </w:rPr>
  </w:style>
  <w:style w:type="character" w:customStyle="1" w:styleId="SubtitleChar">
    <w:name w:val="Subtitle Char"/>
    <w:link w:val="Subtitle"/>
    <w:rsid w:val="0056512A"/>
  </w:style>
  <w:style w:type="paragraph" w:styleId="Subtitle">
    <w:name w:val="Subtitle"/>
    <w:basedOn w:val="Normal"/>
    <w:link w:val="SubtitleChar"/>
    <w:qFormat/>
    <w:rsid w:val="0056512A"/>
    <w:pPr>
      <w:spacing w:before="0" w:after="0"/>
    </w:pPr>
    <w:rPr>
      <w:color w:val="auto"/>
      <w:sz w:val="22"/>
    </w:rPr>
  </w:style>
  <w:style w:type="character" w:customStyle="1" w:styleId="SubtitleChar1">
    <w:name w:val="Subtitle Char1"/>
    <w:basedOn w:val="DefaultParagraphFont"/>
    <w:rsid w:val="0056512A"/>
    <w:rPr>
      <w:rFonts w:eastAsiaTheme="minorEastAsia"/>
      <w:color w:val="5A5A5A" w:themeColor="text1" w:themeTint="A5"/>
      <w:spacing w:val="15"/>
    </w:rPr>
  </w:style>
  <w:style w:type="paragraph" w:customStyle="1" w:styleId="PBACHeading1">
    <w:name w:val="PBAC Heading 1"/>
    <w:qFormat/>
    <w:rsid w:val="0056512A"/>
    <w:pPr>
      <w:spacing w:after="0" w:line="240" w:lineRule="auto"/>
      <w:ind w:left="720" w:hanging="720"/>
    </w:pPr>
    <w:rPr>
      <w:rFonts w:ascii="Calibri" w:eastAsia="Times New Roman" w:hAnsi="Calibri" w:cs="Arial"/>
      <w:b/>
      <w:snapToGrid w:val="0"/>
      <w:sz w:val="32"/>
    </w:rPr>
  </w:style>
  <w:style w:type="table" w:customStyle="1" w:styleId="PlainTable21">
    <w:name w:val="Plain Table 21"/>
    <w:basedOn w:val="TableNormal"/>
    <w:uiPriority w:val="42"/>
    <w:rsid w:val="0056512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ageNumber">
    <w:name w:val="page number"/>
    <w:basedOn w:val="DefaultParagraphFont"/>
    <w:semiHidden/>
    <w:unhideWhenUsed/>
    <w:rsid w:val="0056512A"/>
  </w:style>
  <w:style w:type="paragraph" w:styleId="TableofFigures">
    <w:name w:val="table of figures"/>
    <w:next w:val="Normal"/>
    <w:uiPriority w:val="99"/>
    <w:rsid w:val="0056512A"/>
    <w:pPr>
      <w:tabs>
        <w:tab w:val="left" w:pos="1418"/>
        <w:tab w:val="right" w:leader="dot" w:pos="9356"/>
      </w:tabs>
      <w:spacing w:after="40" w:line="240" w:lineRule="auto"/>
      <w:ind w:left="1418" w:right="284" w:hanging="1418"/>
    </w:pPr>
    <w:rPr>
      <w:rFonts w:ascii="Calibri" w:eastAsiaTheme="majorEastAsia" w:hAnsi="Calibri" w:cstheme="minorHAnsi"/>
      <w:noProof/>
      <w:spacing w:val="5"/>
      <w:kern w:val="28"/>
      <w:lang w:eastAsia="zh-CN"/>
    </w:rPr>
  </w:style>
  <w:style w:type="paragraph" w:customStyle="1" w:styleId="TableNumbered">
    <w:name w:val="Table Numbered"/>
    <w:basedOn w:val="TableBullet"/>
    <w:qFormat/>
    <w:rsid w:val="0056512A"/>
    <w:pPr>
      <w:numPr>
        <w:numId w:val="17"/>
      </w:numPr>
      <w:ind w:left="357" w:hanging="357"/>
    </w:pPr>
  </w:style>
  <w:style w:type="character" w:customStyle="1" w:styleId="BulletpointsChar">
    <w:name w:val="Bullet points Char"/>
    <w:basedOn w:val="ListParagraphChar"/>
    <w:link w:val="Bulletpoints"/>
    <w:rsid w:val="0056512A"/>
    <w:rPr>
      <w:rFonts w:ascii="Calibri" w:eastAsia="Times New Roman" w:hAnsi="Calibri" w:cs="Arial"/>
      <w:snapToGrid w:val="0"/>
      <w:color w:val="000000" w:themeColor="text1"/>
      <w:sz w:val="24"/>
      <w:szCs w:val="24"/>
    </w:rPr>
  </w:style>
  <w:style w:type="paragraph" w:customStyle="1" w:styleId="V50Tablename">
    <w:name w:val="V5.0 Table name"/>
    <w:basedOn w:val="Normal"/>
    <w:link w:val="V50TablenameChar"/>
    <w:rsid w:val="0056512A"/>
    <w:pPr>
      <w:keepNext/>
      <w:spacing w:before="0" w:after="0"/>
      <w:jc w:val="left"/>
    </w:pPr>
    <w:rPr>
      <w:b/>
      <w:snapToGrid w:val="0"/>
      <w:color w:val="auto"/>
      <w:sz w:val="20"/>
      <w:szCs w:val="24"/>
      <w:lang w:val="en-US" w:eastAsia="en-AU"/>
    </w:rPr>
  </w:style>
  <w:style w:type="character" w:customStyle="1" w:styleId="V50TablenameChar">
    <w:name w:val="V5.0 Table name Char"/>
    <w:basedOn w:val="DefaultParagraphFont"/>
    <w:link w:val="V50Tablename"/>
    <w:rsid w:val="0056512A"/>
    <w:rPr>
      <w:b/>
      <w:snapToGrid w:val="0"/>
      <w:sz w:val="20"/>
      <w:szCs w:val="24"/>
      <w:lang w:val="en-US" w:eastAsia="en-AU"/>
    </w:rPr>
  </w:style>
  <w:style w:type="paragraph" w:customStyle="1" w:styleId="GeneralHeading">
    <w:name w:val="General Heading"/>
    <w:qFormat/>
    <w:rsid w:val="0056512A"/>
    <w:pPr>
      <w:keepNext/>
      <w:spacing w:before="120" w:after="120" w:line="240" w:lineRule="auto"/>
      <w:ind w:left="720" w:hanging="720"/>
      <w:outlineLvl w:val="0"/>
    </w:pPr>
    <w:rPr>
      <w:rFonts w:ascii="Calibri" w:eastAsia="Times New Roman" w:hAnsi="Calibri" w:cs="Arial"/>
      <w:b/>
      <w:snapToGrid w:val="0"/>
      <w:sz w:val="28"/>
      <w:lang w:eastAsia="en-AU"/>
    </w:rPr>
  </w:style>
  <w:style w:type="paragraph" w:customStyle="1" w:styleId="2-SectionHeading">
    <w:name w:val="2-Section Heading"/>
    <w:qFormat/>
    <w:rsid w:val="0056512A"/>
    <w:pPr>
      <w:keepNext/>
      <w:numPr>
        <w:numId w:val="18"/>
      </w:numPr>
      <w:spacing w:before="240" w:after="120" w:line="240" w:lineRule="auto"/>
      <w:outlineLvl w:val="0"/>
    </w:pPr>
    <w:rPr>
      <w:rFonts w:eastAsia="Times New Roman" w:cs="Arial"/>
      <w:b/>
      <w:snapToGrid w:val="0"/>
      <w:sz w:val="32"/>
      <w:szCs w:val="32"/>
      <w:lang w:eastAsia="en-AU"/>
    </w:rPr>
  </w:style>
  <w:style w:type="paragraph" w:customStyle="1" w:styleId="1-MainHeading">
    <w:name w:val="1-Main Heading"/>
    <w:link w:val="1-MainHeadingChar"/>
    <w:qFormat/>
    <w:rsid w:val="0056512A"/>
    <w:pPr>
      <w:keepNext/>
      <w:spacing w:before="120" w:line="240" w:lineRule="auto"/>
      <w:ind w:left="720" w:hanging="720"/>
      <w:outlineLvl w:val="0"/>
    </w:pPr>
    <w:rPr>
      <w:rFonts w:eastAsiaTheme="majorEastAsia" w:cstheme="majorBidi"/>
      <w:b/>
      <w:spacing w:val="5"/>
      <w:kern w:val="28"/>
      <w:sz w:val="36"/>
      <w:szCs w:val="36"/>
      <w:lang w:eastAsia="en-AU"/>
    </w:rPr>
  </w:style>
  <w:style w:type="character" w:customStyle="1" w:styleId="1-MainHeadingChar">
    <w:name w:val="1-Main Heading Char"/>
    <w:basedOn w:val="DefaultParagraphFont"/>
    <w:link w:val="1-MainHeading"/>
    <w:rsid w:val="0056512A"/>
    <w:rPr>
      <w:rFonts w:eastAsiaTheme="majorEastAsia" w:cstheme="majorBidi"/>
      <w:b/>
      <w:spacing w:val="5"/>
      <w:kern w:val="28"/>
      <w:sz w:val="36"/>
      <w:szCs w:val="36"/>
      <w:lang w:eastAsia="en-AU"/>
    </w:rPr>
  </w:style>
  <w:style w:type="paragraph" w:customStyle="1" w:styleId="3-BodyText">
    <w:name w:val="3-Body Text"/>
    <w:basedOn w:val="ListParagraph"/>
    <w:link w:val="3-BodyTextChar"/>
    <w:qFormat/>
    <w:rsid w:val="0056512A"/>
    <w:pPr>
      <w:numPr>
        <w:ilvl w:val="1"/>
        <w:numId w:val="18"/>
      </w:numPr>
      <w:spacing w:before="0" w:after="120"/>
    </w:pPr>
    <w:rPr>
      <w:rFonts w:eastAsia="Times New Roman" w:cs="Arial"/>
      <w:snapToGrid w:val="0"/>
      <w:szCs w:val="24"/>
    </w:rPr>
  </w:style>
  <w:style w:type="character" w:customStyle="1" w:styleId="3-BodyTextChar">
    <w:name w:val="3-Body Text Char"/>
    <w:basedOn w:val="ListParagraphChar"/>
    <w:link w:val="3-BodyText"/>
    <w:uiPriority w:val="99"/>
    <w:rsid w:val="0056512A"/>
    <w:rPr>
      <w:rFonts w:eastAsia="Times New Roman" w:cs="Arial"/>
      <w:snapToGrid w:val="0"/>
      <w:color w:val="000000" w:themeColor="text1"/>
      <w:sz w:val="24"/>
      <w:szCs w:val="24"/>
    </w:rPr>
  </w:style>
  <w:style w:type="paragraph" w:customStyle="1" w:styleId="PageFooter">
    <w:name w:val="Page Footer"/>
    <w:basedOn w:val="Normal"/>
    <w:link w:val="PageFooterChar"/>
    <w:qFormat/>
    <w:rsid w:val="0056512A"/>
    <w:pPr>
      <w:keepNext/>
      <w:tabs>
        <w:tab w:val="center" w:pos="4153"/>
        <w:tab w:val="center" w:pos="4513"/>
        <w:tab w:val="right" w:pos="8306"/>
        <w:tab w:val="right" w:pos="9026"/>
      </w:tabs>
      <w:spacing w:before="0" w:after="0"/>
      <w:jc w:val="center"/>
    </w:pPr>
    <w:rPr>
      <w:rFonts w:ascii="Calibri" w:eastAsia="Times New Roman" w:hAnsi="Calibri" w:cs="Arial"/>
      <w:b/>
      <w:color w:val="auto"/>
      <w:szCs w:val="24"/>
      <w:lang w:eastAsia="en-AU"/>
    </w:rPr>
  </w:style>
  <w:style w:type="character" w:customStyle="1" w:styleId="PageFooterChar">
    <w:name w:val="Page Footer Char"/>
    <w:basedOn w:val="DefaultParagraphFont"/>
    <w:link w:val="PageFooter"/>
    <w:rsid w:val="0056512A"/>
    <w:rPr>
      <w:rFonts w:ascii="Calibri" w:eastAsia="Times New Roman" w:hAnsi="Calibri" w:cs="Arial"/>
      <w:b/>
      <w:sz w:val="24"/>
      <w:szCs w:val="24"/>
      <w:lang w:eastAsia="en-AU"/>
    </w:rPr>
  </w:style>
  <w:style w:type="paragraph" w:customStyle="1" w:styleId="4-SubsectionHeading">
    <w:name w:val="4-Subsection Heading"/>
    <w:basedOn w:val="Heading2"/>
    <w:next w:val="3-BodyText"/>
    <w:link w:val="4-SubsectionHeadingChar"/>
    <w:qFormat/>
    <w:rsid w:val="0056512A"/>
    <w:pPr>
      <w:keepLines w:val="0"/>
      <w:spacing w:before="120"/>
      <w:jc w:val="both"/>
    </w:pPr>
    <w:rPr>
      <w:snapToGrid/>
      <w:spacing w:val="5"/>
      <w:kern w:val="28"/>
      <w:szCs w:val="36"/>
    </w:rPr>
  </w:style>
  <w:style w:type="character" w:customStyle="1" w:styleId="4-SubsectionHeadingChar">
    <w:name w:val="4-Subsection Heading Char"/>
    <w:basedOn w:val="Heading2Char"/>
    <w:link w:val="4-SubsectionHeading"/>
    <w:rsid w:val="0056512A"/>
    <w:rPr>
      <w:rFonts w:ascii="Arial" w:eastAsiaTheme="majorEastAsia" w:hAnsi="Arial" w:cstheme="majorBidi"/>
      <w:b w:val="0"/>
      <w:i/>
      <w:snapToGrid/>
      <w:color w:val="000000" w:themeColor="text1"/>
      <w:spacing w:val="5"/>
      <w:kern w:val="28"/>
      <w:sz w:val="28"/>
      <w:szCs w:val="36"/>
    </w:rPr>
  </w:style>
  <w:style w:type="paragraph" w:customStyle="1" w:styleId="5-SubsectionSubheading">
    <w:name w:val="5-Subsection Subheading"/>
    <w:basedOn w:val="Heading3"/>
    <w:next w:val="3-BodyText"/>
    <w:link w:val="5-SubsectionSubheadingChar"/>
    <w:qFormat/>
    <w:rsid w:val="0056512A"/>
    <w:pPr>
      <w:numPr>
        <w:ilvl w:val="0"/>
        <w:numId w:val="0"/>
      </w:numPr>
      <w:spacing w:before="160"/>
    </w:pPr>
    <w:rPr>
      <w:sz w:val="24"/>
      <w:szCs w:val="24"/>
      <w:lang w:eastAsia="en-AU"/>
    </w:rPr>
  </w:style>
  <w:style w:type="character" w:customStyle="1" w:styleId="5-SubsectionSubheadingChar">
    <w:name w:val="5-Subsection Subheading Char"/>
    <w:basedOn w:val="DefaultParagraphFont"/>
    <w:link w:val="5-SubsectionSubheading"/>
    <w:rsid w:val="0056512A"/>
    <w:rPr>
      <w:rFonts w:eastAsiaTheme="majorEastAsia" w:cstheme="majorBidi"/>
      <w:b/>
      <w:color w:val="000000" w:themeColor="text1"/>
      <w:sz w:val="24"/>
      <w:szCs w:val="24"/>
      <w:lang w:eastAsia="en-AU"/>
    </w:rPr>
  </w:style>
  <w:style w:type="paragraph" w:customStyle="1" w:styleId="Default">
    <w:name w:val="Default"/>
    <w:rsid w:val="0056512A"/>
    <w:pPr>
      <w:autoSpaceDE w:val="0"/>
      <w:autoSpaceDN w:val="0"/>
      <w:adjustRightInd w:val="0"/>
      <w:spacing w:after="0" w:line="240" w:lineRule="auto"/>
    </w:pPr>
    <w:rPr>
      <w:rFonts w:ascii="Franklin Gothic Medium" w:eastAsiaTheme="minorEastAsia" w:hAnsi="Franklin Gothic Medium" w:cs="Franklin Gothic Medium"/>
      <w:color w:val="000000"/>
      <w:sz w:val="24"/>
      <w:szCs w:val="24"/>
      <w:lang w:eastAsia="zh-CN"/>
    </w:rPr>
  </w:style>
  <w:style w:type="paragraph" w:styleId="PlainText">
    <w:name w:val="Plain Text"/>
    <w:basedOn w:val="Normal"/>
    <w:link w:val="PlainTextChar"/>
    <w:uiPriority w:val="99"/>
    <w:semiHidden/>
    <w:unhideWhenUsed/>
    <w:rsid w:val="00095E93"/>
    <w:pPr>
      <w:spacing w:before="0" w:after="0"/>
      <w:jc w:val="left"/>
    </w:pPr>
    <w:rPr>
      <w:rFonts w:ascii="Calibri" w:hAnsi="Calibri"/>
      <w:color w:val="auto"/>
      <w:sz w:val="22"/>
      <w:szCs w:val="21"/>
    </w:rPr>
  </w:style>
  <w:style w:type="character" w:customStyle="1" w:styleId="PlainTextChar">
    <w:name w:val="Plain Text Char"/>
    <w:basedOn w:val="DefaultParagraphFont"/>
    <w:link w:val="PlainText"/>
    <w:uiPriority w:val="99"/>
    <w:semiHidden/>
    <w:rsid w:val="00095E93"/>
    <w:rPr>
      <w:rFonts w:ascii="Calibri" w:hAnsi="Calibri"/>
      <w:szCs w:val="21"/>
    </w:rPr>
  </w:style>
  <w:style w:type="character" w:customStyle="1" w:styleId="e24kjd">
    <w:name w:val="e24kjd"/>
    <w:basedOn w:val="DefaultParagraphFont"/>
    <w:rsid w:val="002838EB"/>
  </w:style>
  <w:style w:type="paragraph" w:customStyle="1" w:styleId="V50Heading2nonumbers">
    <w:name w:val="V5.0 Heading 2 no numbers"/>
    <w:basedOn w:val="Heading2"/>
    <w:qFormat/>
    <w:rsid w:val="00C325B8"/>
    <w:pPr>
      <w:spacing w:before="240"/>
      <w:ind w:left="578" w:hanging="578"/>
    </w:pPr>
    <w:rPr>
      <w:rFonts w:asciiTheme="minorHAnsi" w:hAnsiTheme="minorHAnsi"/>
      <w:snapToGrid/>
      <w:color w:val="auto"/>
    </w:rPr>
  </w:style>
  <w:style w:type="table" w:customStyle="1" w:styleId="Summarybox1">
    <w:name w:val="Summary box1"/>
    <w:basedOn w:val="TableNormal"/>
    <w:next w:val="TableGrid"/>
    <w:uiPriority w:val="59"/>
    <w:rsid w:val="00380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ulletList">
    <w:name w:val="Normal Bullet List"/>
    <w:basedOn w:val="Normal"/>
    <w:uiPriority w:val="3"/>
    <w:qFormat/>
    <w:rsid w:val="003809C0"/>
    <w:pPr>
      <w:numPr>
        <w:numId w:val="23"/>
      </w:numPr>
      <w:spacing w:before="0" w:after="240" w:line="276" w:lineRule="auto"/>
      <w:ind w:left="717"/>
      <w:contextualSpacing/>
    </w:pPr>
    <w:rPr>
      <w:rFonts w:ascii="Candara" w:eastAsia="Times New Roman" w:hAnsi="Candara" w:cs="Times New Roman"/>
      <w:color w:val="auto"/>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3532">
      <w:bodyDiv w:val="1"/>
      <w:marLeft w:val="0"/>
      <w:marRight w:val="0"/>
      <w:marTop w:val="0"/>
      <w:marBottom w:val="0"/>
      <w:divBdr>
        <w:top w:val="none" w:sz="0" w:space="0" w:color="auto"/>
        <w:left w:val="none" w:sz="0" w:space="0" w:color="auto"/>
        <w:bottom w:val="none" w:sz="0" w:space="0" w:color="auto"/>
        <w:right w:val="none" w:sz="0" w:space="0" w:color="auto"/>
      </w:divBdr>
    </w:div>
    <w:div w:id="22218924">
      <w:bodyDiv w:val="1"/>
      <w:marLeft w:val="0"/>
      <w:marRight w:val="0"/>
      <w:marTop w:val="0"/>
      <w:marBottom w:val="0"/>
      <w:divBdr>
        <w:top w:val="none" w:sz="0" w:space="0" w:color="auto"/>
        <w:left w:val="none" w:sz="0" w:space="0" w:color="auto"/>
        <w:bottom w:val="none" w:sz="0" w:space="0" w:color="auto"/>
        <w:right w:val="none" w:sz="0" w:space="0" w:color="auto"/>
      </w:divBdr>
    </w:div>
    <w:div w:id="103692235">
      <w:bodyDiv w:val="1"/>
      <w:marLeft w:val="0"/>
      <w:marRight w:val="0"/>
      <w:marTop w:val="0"/>
      <w:marBottom w:val="0"/>
      <w:divBdr>
        <w:top w:val="none" w:sz="0" w:space="0" w:color="auto"/>
        <w:left w:val="none" w:sz="0" w:space="0" w:color="auto"/>
        <w:bottom w:val="none" w:sz="0" w:space="0" w:color="auto"/>
        <w:right w:val="none" w:sz="0" w:space="0" w:color="auto"/>
      </w:divBdr>
    </w:div>
    <w:div w:id="144401855">
      <w:bodyDiv w:val="1"/>
      <w:marLeft w:val="0"/>
      <w:marRight w:val="0"/>
      <w:marTop w:val="0"/>
      <w:marBottom w:val="0"/>
      <w:divBdr>
        <w:top w:val="none" w:sz="0" w:space="0" w:color="auto"/>
        <w:left w:val="none" w:sz="0" w:space="0" w:color="auto"/>
        <w:bottom w:val="none" w:sz="0" w:space="0" w:color="auto"/>
        <w:right w:val="none" w:sz="0" w:space="0" w:color="auto"/>
      </w:divBdr>
    </w:div>
    <w:div w:id="156386980">
      <w:bodyDiv w:val="1"/>
      <w:marLeft w:val="0"/>
      <w:marRight w:val="0"/>
      <w:marTop w:val="0"/>
      <w:marBottom w:val="0"/>
      <w:divBdr>
        <w:top w:val="none" w:sz="0" w:space="0" w:color="auto"/>
        <w:left w:val="none" w:sz="0" w:space="0" w:color="auto"/>
        <w:bottom w:val="none" w:sz="0" w:space="0" w:color="auto"/>
        <w:right w:val="none" w:sz="0" w:space="0" w:color="auto"/>
      </w:divBdr>
    </w:div>
    <w:div w:id="162473670">
      <w:bodyDiv w:val="1"/>
      <w:marLeft w:val="0"/>
      <w:marRight w:val="0"/>
      <w:marTop w:val="0"/>
      <w:marBottom w:val="0"/>
      <w:divBdr>
        <w:top w:val="none" w:sz="0" w:space="0" w:color="auto"/>
        <w:left w:val="none" w:sz="0" w:space="0" w:color="auto"/>
        <w:bottom w:val="none" w:sz="0" w:space="0" w:color="auto"/>
        <w:right w:val="none" w:sz="0" w:space="0" w:color="auto"/>
      </w:divBdr>
      <w:divsChild>
        <w:div w:id="821971233">
          <w:marLeft w:val="547"/>
          <w:marRight w:val="0"/>
          <w:marTop w:val="115"/>
          <w:marBottom w:val="0"/>
          <w:divBdr>
            <w:top w:val="none" w:sz="0" w:space="0" w:color="auto"/>
            <w:left w:val="none" w:sz="0" w:space="0" w:color="auto"/>
            <w:bottom w:val="none" w:sz="0" w:space="0" w:color="auto"/>
            <w:right w:val="none" w:sz="0" w:space="0" w:color="auto"/>
          </w:divBdr>
        </w:div>
      </w:divsChild>
    </w:div>
    <w:div w:id="169567324">
      <w:bodyDiv w:val="1"/>
      <w:marLeft w:val="0"/>
      <w:marRight w:val="0"/>
      <w:marTop w:val="0"/>
      <w:marBottom w:val="0"/>
      <w:divBdr>
        <w:top w:val="none" w:sz="0" w:space="0" w:color="auto"/>
        <w:left w:val="none" w:sz="0" w:space="0" w:color="auto"/>
        <w:bottom w:val="none" w:sz="0" w:space="0" w:color="auto"/>
        <w:right w:val="none" w:sz="0" w:space="0" w:color="auto"/>
      </w:divBdr>
    </w:div>
    <w:div w:id="203254904">
      <w:bodyDiv w:val="1"/>
      <w:marLeft w:val="0"/>
      <w:marRight w:val="0"/>
      <w:marTop w:val="0"/>
      <w:marBottom w:val="0"/>
      <w:divBdr>
        <w:top w:val="none" w:sz="0" w:space="0" w:color="auto"/>
        <w:left w:val="none" w:sz="0" w:space="0" w:color="auto"/>
        <w:bottom w:val="none" w:sz="0" w:space="0" w:color="auto"/>
        <w:right w:val="none" w:sz="0" w:space="0" w:color="auto"/>
      </w:divBdr>
      <w:divsChild>
        <w:div w:id="384335804">
          <w:marLeft w:val="0"/>
          <w:marRight w:val="0"/>
          <w:marTop w:val="0"/>
          <w:marBottom w:val="0"/>
          <w:divBdr>
            <w:top w:val="none" w:sz="0" w:space="0" w:color="auto"/>
            <w:left w:val="none" w:sz="0" w:space="0" w:color="auto"/>
            <w:bottom w:val="none" w:sz="0" w:space="0" w:color="auto"/>
            <w:right w:val="none" w:sz="0" w:space="0" w:color="auto"/>
          </w:divBdr>
          <w:divsChild>
            <w:div w:id="11189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7305">
      <w:bodyDiv w:val="1"/>
      <w:marLeft w:val="0"/>
      <w:marRight w:val="0"/>
      <w:marTop w:val="0"/>
      <w:marBottom w:val="0"/>
      <w:divBdr>
        <w:top w:val="none" w:sz="0" w:space="0" w:color="auto"/>
        <w:left w:val="none" w:sz="0" w:space="0" w:color="auto"/>
        <w:bottom w:val="none" w:sz="0" w:space="0" w:color="auto"/>
        <w:right w:val="none" w:sz="0" w:space="0" w:color="auto"/>
      </w:divBdr>
    </w:div>
    <w:div w:id="208152601">
      <w:bodyDiv w:val="1"/>
      <w:marLeft w:val="0"/>
      <w:marRight w:val="0"/>
      <w:marTop w:val="0"/>
      <w:marBottom w:val="0"/>
      <w:divBdr>
        <w:top w:val="none" w:sz="0" w:space="0" w:color="auto"/>
        <w:left w:val="none" w:sz="0" w:space="0" w:color="auto"/>
        <w:bottom w:val="none" w:sz="0" w:space="0" w:color="auto"/>
        <w:right w:val="none" w:sz="0" w:space="0" w:color="auto"/>
      </w:divBdr>
      <w:divsChild>
        <w:div w:id="1321422363">
          <w:marLeft w:val="0"/>
          <w:marRight w:val="0"/>
          <w:marTop w:val="0"/>
          <w:marBottom w:val="0"/>
          <w:divBdr>
            <w:top w:val="none" w:sz="0" w:space="0" w:color="auto"/>
            <w:left w:val="none" w:sz="0" w:space="0" w:color="auto"/>
            <w:bottom w:val="none" w:sz="0" w:space="0" w:color="auto"/>
            <w:right w:val="none" w:sz="0" w:space="0" w:color="auto"/>
          </w:divBdr>
          <w:divsChild>
            <w:div w:id="104668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72679">
      <w:bodyDiv w:val="1"/>
      <w:marLeft w:val="0"/>
      <w:marRight w:val="0"/>
      <w:marTop w:val="0"/>
      <w:marBottom w:val="0"/>
      <w:divBdr>
        <w:top w:val="none" w:sz="0" w:space="0" w:color="auto"/>
        <w:left w:val="none" w:sz="0" w:space="0" w:color="auto"/>
        <w:bottom w:val="none" w:sz="0" w:space="0" w:color="auto"/>
        <w:right w:val="none" w:sz="0" w:space="0" w:color="auto"/>
      </w:divBdr>
    </w:div>
    <w:div w:id="276957444">
      <w:bodyDiv w:val="1"/>
      <w:marLeft w:val="0"/>
      <w:marRight w:val="0"/>
      <w:marTop w:val="0"/>
      <w:marBottom w:val="0"/>
      <w:divBdr>
        <w:top w:val="none" w:sz="0" w:space="0" w:color="auto"/>
        <w:left w:val="none" w:sz="0" w:space="0" w:color="auto"/>
        <w:bottom w:val="none" w:sz="0" w:space="0" w:color="auto"/>
        <w:right w:val="none" w:sz="0" w:space="0" w:color="auto"/>
      </w:divBdr>
      <w:divsChild>
        <w:div w:id="1321926850">
          <w:marLeft w:val="547"/>
          <w:marRight w:val="0"/>
          <w:marTop w:val="154"/>
          <w:marBottom w:val="0"/>
          <w:divBdr>
            <w:top w:val="none" w:sz="0" w:space="0" w:color="auto"/>
            <w:left w:val="none" w:sz="0" w:space="0" w:color="auto"/>
            <w:bottom w:val="none" w:sz="0" w:space="0" w:color="auto"/>
            <w:right w:val="none" w:sz="0" w:space="0" w:color="auto"/>
          </w:divBdr>
        </w:div>
      </w:divsChild>
    </w:div>
    <w:div w:id="349066557">
      <w:bodyDiv w:val="1"/>
      <w:marLeft w:val="0"/>
      <w:marRight w:val="0"/>
      <w:marTop w:val="0"/>
      <w:marBottom w:val="0"/>
      <w:divBdr>
        <w:top w:val="none" w:sz="0" w:space="0" w:color="auto"/>
        <w:left w:val="none" w:sz="0" w:space="0" w:color="auto"/>
        <w:bottom w:val="none" w:sz="0" w:space="0" w:color="auto"/>
        <w:right w:val="none" w:sz="0" w:space="0" w:color="auto"/>
      </w:divBdr>
    </w:div>
    <w:div w:id="375936502">
      <w:bodyDiv w:val="1"/>
      <w:marLeft w:val="0"/>
      <w:marRight w:val="0"/>
      <w:marTop w:val="0"/>
      <w:marBottom w:val="0"/>
      <w:divBdr>
        <w:top w:val="none" w:sz="0" w:space="0" w:color="auto"/>
        <w:left w:val="none" w:sz="0" w:space="0" w:color="auto"/>
        <w:bottom w:val="none" w:sz="0" w:space="0" w:color="auto"/>
        <w:right w:val="none" w:sz="0" w:space="0" w:color="auto"/>
      </w:divBdr>
    </w:div>
    <w:div w:id="397214490">
      <w:bodyDiv w:val="1"/>
      <w:marLeft w:val="0"/>
      <w:marRight w:val="0"/>
      <w:marTop w:val="0"/>
      <w:marBottom w:val="0"/>
      <w:divBdr>
        <w:top w:val="none" w:sz="0" w:space="0" w:color="auto"/>
        <w:left w:val="none" w:sz="0" w:space="0" w:color="auto"/>
        <w:bottom w:val="none" w:sz="0" w:space="0" w:color="auto"/>
        <w:right w:val="none" w:sz="0" w:space="0" w:color="auto"/>
      </w:divBdr>
    </w:div>
    <w:div w:id="410081824">
      <w:bodyDiv w:val="1"/>
      <w:marLeft w:val="0"/>
      <w:marRight w:val="0"/>
      <w:marTop w:val="0"/>
      <w:marBottom w:val="0"/>
      <w:divBdr>
        <w:top w:val="none" w:sz="0" w:space="0" w:color="auto"/>
        <w:left w:val="none" w:sz="0" w:space="0" w:color="auto"/>
        <w:bottom w:val="none" w:sz="0" w:space="0" w:color="auto"/>
        <w:right w:val="none" w:sz="0" w:space="0" w:color="auto"/>
      </w:divBdr>
    </w:div>
    <w:div w:id="427238174">
      <w:bodyDiv w:val="1"/>
      <w:marLeft w:val="0"/>
      <w:marRight w:val="0"/>
      <w:marTop w:val="0"/>
      <w:marBottom w:val="0"/>
      <w:divBdr>
        <w:top w:val="none" w:sz="0" w:space="0" w:color="auto"/>
        <w:left w:val="none" w:sz="0" w:space="0" w:color="auto"/>
        <w:bottom w:val="none" w:sz="0" w:space="0" w:color="auto"/>
        <w:right w:val="none" w:sz="0" w:space="0" w:color="auto"/>
      </w:divBdr>
    </w:div>
    <w:div w:id="433285969">
      <w:bodyDiv w:val="1"/>
      <w:marLeft w:val="0"/>
      <w:marRight w:val="0"/>
      <w:marTop w:val="0"/>
      <w:marBottom w:val="0"/>
      <w:divBdr>
        <w:top w:val="none" w:sz="0" w:space="0" w:color="auto"/>
        <w:left w:val="none" w:sz="0" w:space="0" w:color="auto"/>
        <w:bottom w:val="none" w:sz="0" w:space="0" w:color="auto"/>
        <w:right w:val="none" w:sz="0" w:space="0" w:color="auto"/>
      </w:divBdr>
    </w:div>
    <w:div w:id="443892654">
      <w:bodyDiv w:val="1"/>
      <w:marLeft w:val="0"/>
      <w:marRight w:val="0"/>
      <w:marTop w:val="0"/>
      <w:marBottom w:val="0"/>
      <w:divBdr>
        <w:top w:val="none" w:sz="0" w:space="0" w:color="auto"/>
        <w:left w:val="none" w:sz="0" w:space="0" w:color="auto"/>
        <w:bottom w:val="none" w:sz="0" w:space="0" w:color="auto"/>
        <w:right w:val="none" w:sz="0" w:space="0" w:color="auto"/>
      </w:divBdr>
    </w:div>
    <w:div w:id="468520501">
      <w:bodyDiv w:val="1"/>
      <w:marLeft w:val="0"/>
      <w:marRight w:val="0"/>
      <w:marTop w:val="0"/>
      <w:marBottom w:val="0"/>
      <w:divBdr>
        <w:top w:val="none" w:sz="0" w:space="0" w:color="auto"/>
        <w:left w:val="none" w:sz="0" w:space="0" w:color="auto"/>
        <w:bottom w:val="none" w:sz="0" w:space="0" w:color="auto"/>
        <w:right w:val="none" w:sz="0" w:space="0" w:color="auto"/>
      </w:divBdr>
      <w:divsChild>
        <w:div w:id="1615402123">
          <w:marLeft w:val="547"/>
          <w:marRight w:val="0"/>
          <w:marTop w:val="96"/>
          <w:marBottom w:val="0"/>
          <w:divBdr>
            <w:top w:val="none" w:sz="0" w:space="0" w:color="auto"/>
            <w:left w:val="none" w:sz="0" w:space="0" w:color="auto"/>
            <w:bottom w:val="none" w:sz="0" w:space="0" w:color="auto"/>
            <w:right w:val="none" w:sz="0" w:space="0" w:color="auto"/>
          </w:divBdr>
        </w:div>
      </w:divsChild>
    </w:div>
    <w:div w:id="474418239">
      <w:bodyDiv w:val="1"/>
      <w:marLeft w:val="0"/>
      <w:marRight w:val="0"/>
      <w:marTop w:val="0"/>
      <w:marBottom w:val="0"/>
      <w:divBdr>
        <w:top w:val="none" w:sz="0" w:space="0" w:color="auto"/>
        <w:left w:val="none" w:sz="0" w:space="0" w:color="auto"/>
        <w:bottom w:val="none" w:sz="0" w:space="0" w:color="auto"/>
        <w:right w:val="none" w:sz="0" w:space="0" w:color="auto"/>
      </w:divBdr>
    </w:div>
    <w:div w:id="527917685">
      <w:bodyDiv w:val="1"/>
      <w:marLeft w:val="0"/>
      <w:marRight w:val="0"/>
      <w:marTop w:val="0"/>
      <w:marBottom w:val="0"/>
      <w:divBdr>
        <w:top w:val="none" w:sz="0" w:space="0" w:color="auto"/>
        <w:left w:val="none" w:sz="0" w:space="0" w:color="auto"/>
        <w:bottom w:val="none" w:sz="0" w:space="0" w:color="auto"/>
        <w:right w:val="none" w:sz="0" w:space="0" w:color="auto"/>
      </w:divBdr>
      <w:divsChild>
        <w:div w:id="629475426">
          <w:marLeft w:val="0"/>
          <w:marRight w:val="0"/>
          <w:marTop w:val="0"/>
          <w:marBottom w:val="0"/>
          <w:divBdr>
            <w:top w:val="none" w:sz="0" w:space="0" w:color="auto"/>
            <w:left w:val="none" w:sz="0" w:space="0" w:color="auto"/>
            <w:bottom w:val="none" w:sz="0" w:space="0" w:color="auto"/>
            <w:right w:val="none" w:sz="0" w:space="0" w:color="auto"/>
          </w:divBdr>
          <w:divsChild>
            <w:div w:id="30023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5357">
      <w:bodyDiv w:val="1"/>
      <w:marLeft w:val="0"/>
      <w:marRight w:val="0"/>
      <w:marTop w:val="0"/>
      <w:marBottom w:val="0"/>
      <w:divBdr>
        <w:top w:val="none" w:sz="0" w:space="0" w:color="auto"/>
        <w:left w:val="none" w:sz="0" w:space="0" w:color="auto"/>
        <w:bottom w:val="none" w:sz="0" w:space="0" w:color="auto"/>
        <w:right w:val="none" w:sz="0" w:space="0" w:color="auto"/>
      </w:divBdr>
      <w:divsChild>
        <w:div w:id="510920979">
          <w:marLeft w:val="0"/>
          <w:marRight w:val="0"/>
          <w:marTop w:val="0"/>
          <w:marBottom w:val="0"/>
          <w:divBdr>
            <w:top w:val="none" w:sz="0" w:space="0" w:color="auto"/>
            <w:left w:val="none" w:sz="0" w:space="0" w:color="auto"/>
            <w:bottom w:val="none" w:sz="0" w:space="0" w:color="auto"/>
            <w:right w:val="none" w:sz="0" w:space="0" w:color="auto"/>
          </w:divBdr>
          <w:divsChild>
            <w:div w:id="191909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569831">
      <w:bodyDiv w:val="1"/>
      <w:marLeft w:val="0"/>
      <w:marRight w:val="0"/>
      <w:marTop w:val="0"/>
      <w:marBottom w:val="0"/>
      <w:divBdr>
        <w:top w:val="none" w:sz="0" w:space="0" w:color="auto"/>
        <w:left w:val="none" w:sz="0" w:space="0" w:color="auto"/>
        <w:bottom w:val="none" w:sz="0" w:space="0" w:color="auto"/>
        <w:right w:val="none" w:sz="0" w:space="0" w:color="auto"/>
      </w:divBdr>
    </w:div>
    <w:div w:id="624577652">
      <w:bodyDiv w:val="1"/>
      <w:marLeft w:val="0"/>
      <w:marRight w:val="0"/>
      <w:marTop w:val="0"/>
      <w:marBottom w:val="0"/>
      <w:divBdr>
        <w:top w:val="none" w:sz="0" w:space="0" w:color="auto"/>
        <w:left w:val="none" w:sz="0" w:space="0" w:color="auto"/>
        <w:bottom w:val="none" w:sz="0" w:space="0" w:color="auto"/>
        <w:right w:val="none" w:sz="0" w:space="0" w:color="auto"/>
      </w:divBdr>
      <w:divsChild>
        <w:div w:id="944389295">
          <w:marLeft w:val="0"/>
          <w:marRight w:val="0"/>
          <w:marTop w:val="0"/>
          <w:marBottom w:val="0"/>
          <w:divBdr>
            <w:top w:val="none" w:sz="0" w:space="0" w:color="auto"/>
            <w:left w:val="none" w:sz="0" w:space="0" w:color="auto"/>
            <w:bottom w:val="none" w:sz="0" w:space="0" w:color="auto"/>
            <w:right w:val="none" w:sz="0" w:space="0" w:color="auto"/>
          </w:divBdr>
          <w:divsChild>
            <w:div w:id="146119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308097">
      <w:bodyDiv w:val="1"/>
      <w:marLeft w:val="0"/>
      <w:marRight w:val="0"/>
      <w:marTop w:val="0"/>
      <w:marBottom w:val="0"/>
      <w:divBdr>
        <w:top w:val="none" w:sz="0" w:space="0" w:color="auto"/>
        <w:left w:val="none" w:sz="0" w:space="0" w:color="auto"/>
        <w:bottom w:val="none" w:sz="0" w:space="0" w:color="auto"/>
        <w:right w:val="none" w:sz="0" w:space="0" w:color="auto"/>
      </w:divBdr>
    </w:div>
    <w:div w:id="658385345">
      <w:bodyDiv w:val="1"/>
      <w:marLeft w:val="0"/>
      <w:marRight w:val="0"/>
      <w:marTop w:val="0"/>
      <w:marBottom w:val="0"/>
      <w:divBdr>
        <w:top w:val="none" w:sz="0" w:space="0" w:color="auto"/>
        <w:left w:val="none" w:sz="0" w:space="0" w:color="auto"/>
        <w:bottom w:val="none" w:sz="0" w:space="0" w:color="auto"/>
        <w:right w:val="none" w:sz="0" w:space="0" w:color="auto"/>
      </w:divBdr>
    </w:div>
    <w:div w:id="674311200">
      <w:bodyDiv w:val="1"/>
      <w:marLeft w:val="0"/>
      <w:marRight w:val="0"/>
      <w:marTop w:val="0"/>
      <w:marBottom w:val="0"/>
      <w:divBdr>
        <w:top w:val="none" w:sz="0" w:space="0" w:color="auto"/>
        <w:left w:val="none" w:sz="0" w:space="0" w:color="auto"/>
        <w:bottom w:val="none" w:sz="0" w:space="0" w:color="auto"/>
        <w:right w:val="none" w:sz="0" w:space="0" w:color="auto"/>
      </w:divBdr>
    </w:div>
    <w:div w:id="694883898">
      <w:bodyDiv w:val="1"/>
      <w:marLeft w:val="0"/>
      <w:marRight w:val="0"/>
      <w:marTop w:val="0"/>
      <w:marBottom w:val="0"/>
      <w:divBdr>
        <w:top w:val="none" w:sz="0" w:space="0" w:color="auto"/>
        <w:left w:val="none" w:sz="0" w:space="0" w:color="auto"/>
        <w:bottom w:val="none" w:sz="0" w:space="0" w:color="auto"/>
        <w:right w:val="none" w:sz="0" w:space="0" w:color="auto"/>
      </w:divBdr>
    </w:div>
    <w:div w:id="701636569">
      <w:bodyDiv w:val="1"/>
      <w:marLeft w:val="0"/>
      <w:marRight w:val="0"/>
      <w:marTop w:val="0"/>
      <w:marBottom w:val="0"/>
      <w:divBdr>
        <w:top w:val="none" w:sz="0" w:space="0" w:color="auto"/>
        <w:left w:val="none" w:sz="0" w:space="0" w:color="auto"/>
        <w:bottom w:val="none" w:sz="0" w:space="0" w:color="auto"/>
        <w:right w:val="none" w:sz="0" w:space="0" w:color="auto"/>
      </w:divBdr>
      <w:divsChild>
        <w:div w:id="1815175266">
          <w:marLeft w:val="0"/>
          <w:marRight w:val="0"/>
          <w:marTop w:val="0"/>
          <w:marBottom w:val="0"/>
          <w:divBdr>
            <w:top w:val="none" w:sz="0" w:space="0" w:color="auto"/>
            <w:left w:val="none" w:sz="0" w:space="0" w:color="auto"/>
            <w:bottom w:val="none" w:sz="0" w:space="0" w:color="auto"/>
            <w:right w:val="none" w:sz="0" w:space="0" w:color="auto"/>
          </w:divBdr>
          <w:divsChild>
            <w:div w:id="174549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761775">
      <w:bodyDiv w:val="1"/>
      <w:marLeft w:val="0"/>
      <w:marRight w:val="0"/>
      <w:marTop w:val="0"/>
      <w:marBottom w:val="0"/>
      <w:divBdr>
        <w:top w:val="none" w:sz="0" w:space="0" w:color="auto"/>
        <w:left w:val="none" w:sz="0" w:space="0" w:color="auto"/>
        <w:bottom w:val="none" w:sz="0" w:space="0" w:color="auto"/>
        <w:right w:val="none" w:sz="0" w:space="0" w:color="auto"/>
      </w:divBdr>
    </w:div>
    <w:div w:id="745953349">
      <w:bodyDiv w:val="1"/>
      <w:marLeft w:val="0"/>
      <w:marRight w:val="0"/>
      <w:marTop w:val="0"/>
      <w:marBottom w:val="0"/>
      <w:divBdr>
        <w:top w:val="none" w:sz="0" w:space="0" w:color="auto"/>
        <w:left w:val="none" w:sz="0" w:space="0" w:color="auto"/>
        <w:bottom w:val="none" w:sz="0" w:space="0" w:color="auto"/>
        <w:right w:val="none" w:sz="0" w:space="0" w:color="auto"/>
      </w:divBdr>
    </w:div>
    <w:div w:id="764226960">
      <w:bodyDiv w:val="1"/>
      <w:marLeft w:val="0"/>
      <w:marRight w:val="0"/>
      <w:marTop w:val="0"/>
      <w:marBottom w:val="0"/>
      <w:divBdr>
        <w:top w:val="none" w:sz="0" w:space="0" w:color="auto"/>
        <w:left w:val="none" w:sz="0" w:space="0" w:color="auto"/>
        <w:bottom w:val="none" w:sz="0" w:space="0" w:color="auto"/>
        <w:right w:val="none" w:sz="0" w:space="0" w:color="auto"/>
      </w:divBdr>
    </w:div>
    <w:div w:id="809514623">
      <w:bodyDiv w:val="1"/>
      <w:marLeft w:val="0"/>
      <w:marRight w:val="0"/>
      <w:marTop w:val="0"/>
      <w:marBottom w:val="0"/>
      <w:divBdr>
        <w:top w:val="none" w:sz="0" w:space="0" w:color="auto"/>
        <w:left w:val="none" w:sz="0" w:space="0" w:color="auto"/>
        <w:bottom w:val="none" w:sz="0" w:space="0" w:color="auto"/>
        <w:right w:val="none" w:sz="0" w:space="0" w:color="auto"/>
      </w:divBdr>
    </w:div>
    <w:div w:id="812061884">
      <w:bodyDiv w:val="1"/>
      <w:marLeft w:val="0"/>
      <w:marRight w:val="0"/>
      <w:marTop w:val="0"/>
      <w:marBottom w:val="0"/>
      <w:divBdr>
        <w:top w:val="none" w:sz="0" w:space="0" w:color="auto"/>
        <w:left w:val="none" w:sz="0" w:space="0" w:color="auto"/>
        <w:bottom w:val="none" w:sz="0" w:space="0" w:color="auto"/>
        <w:right w:val="none" w:sz="0" w:space="0" w:color="auto"/>
      </w:divBdr>
    </w:div>
    <w:div w:id="844127300">
      <w:bodyDiv w:val="1"/>
      <w:marLeft w:val="0"/>
      <w:marRight w:val="0"/>
      <w:marTop w:val="0"/>
      <w:marBottom w:val="0"/>
      <w:divBdr>
        <w:top w:val="none" w:sz="0" w:space="0" w:color="auto"/>
        <w:left w:val="none" w:sz="0" w:space="0" w:color="auto"/>
        <w:bottom w:val="none" w:sz="0" w:space="0" w:color="auto"/>
        <w:right w:val="none" w:sz="0" w:space="0" w:color="auto"/>
      </w:divBdr>
    </w:div>
    <w:div w:id="879512144">
      <w:bodyDiv w:val="1"/>
      <w:marLeft w:val="0"/>
      <w:marRight w:val="0"/>
      <w:marTop w:val="0"/>
      <w:marBottom w:val="0"/>
      <w:divBdr>
        <w:top w:val="none" w:sz="0" w:space="0" w:color="auto"/>
        <w:left w:val="none" w:sz="0" w:space="0" w:color="auto"/>
        <w:bottom w:val="none" w:sz="0" w:space="0" w:color="auto"/>
        <w:right w:val="none" w:sz="0" w:space="0" w:color="auto"/>
      </w:divBdr>
      <w:divsChild>
        <w:div w:id="1862695836">
          <w:marLeft w:val="0"/>
          <w:marRight w:val="0"/>
          <w:marTop w:val="0"/>
          <w:marBottom w:val="0"/>
          <w:divBdr>
            <w:top w:val="none" w:sz="0" w:space="0" w:color="auto"/>
            <w:left w:val="none" w:sz="0" w:space="0" w:color="auto"/>
            <w:bottom w:val="none" w:sz="0" w:space="0" w:color="auto"/>
            <w:right w:val="none" w:sz="0" w:space="0" w:color="auto"/>
          </w:divBdr>
          <w:divsChild>
            <w:div w:id="142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451577">
      <w:bodyDiv w:val="1"/>
      <w:marLeft w:val="0"/>
      <w:marRight w:val="0"/>
      <w:marTop w:val="0"/>
      <w:marBottom w:val="0"/>
      <w:divBdr>
        <w:top w:val="none" w:sz="0" w:space="0" w:color="auto"/>
        <w:left w:val="none" w:sz="0" w:space="0" w:color="auto"/>
        <w:bottom w:val="none" w:sz="0" w:space="0" w:color="auto"/>
        <w:right w:val="none" w:sz="0" w:space="0" w:color="auto"/>
      </w:divBdr>
    </w:div>
    <w:div w:id="898590279">
      <w:bodyDiv w:val="1"/>
      <w:marLeft w:val="0"/>
      <w:marRight w:val="0"/>
      <w:marTop w:val="0"/>
      <w:marBottom w:val="0"/>
      <w:divBdr>
        <w:top w:val="none" w:sz="0" w:space="0" w:color="auto"/>
        <w:left w:val="none" w:sz="0" w:space="0" w:color="auto"/>
        <w:bottom w:val="none" w:sz="0" w:space="0" w:color="auto"/>
        <w:right w:val="none" w:sz="0" w:space="0" w:color="auto"/>
      </w:divBdr>
    </w:div>
    <w:div w:id="917522720">
      <w:bodyDiv w:val="1"/>
      <w:marLeft w:val="0"/>
      <w:marRight w:val="0"/>
      <w:marTop w:val="0"/>
      <w:marBottom w:val="0"/>
      <w:divBdr>
        <w:top w:val="none" w:sz="0" w:space="0" w:color="auto"/>
        <w:left w:val="none" w:sz="0" w:space="0" w:color="auto"/>
        <w:bottom w:val="none" w:sz="0" w:space="0" w:color="auto"/>
        <w:right w:val="none" w:sz="0" w:space="0" w:color="auto"/>
      </w:divBdr>
    </w:div>
    <w:div w:id="918752575">
      <w:bodyDiv w:val="1"/>
      <w:marLeft w:val="0"/>
      <w:marRight w:val="0"/>
      <w:marTop w:val="0"/>
      <w:marBottom w:val="0"/>
      <w:divBdr>
        <w:top w:val="none" w:sz="0" w:space="0" w:color="auto"/>
        <w:left w:val="none" w:sz="0" w:space="0" w:color="auto"/>
        <w:bottom w:val="none" w:sz="0" w:space="0" w:color="auto"/>
        <w:right w:val="none" w:sz="0" w:space="0" w:color="auto"/>
      </w:divBdr>
    </w:div>
    <w:div w:id="956721213">
      <w:bodyDiv w:val="1"/>
      <w:marLeft w:val="0"/>
      <w:marRight w:val="0"/>
      <w:marTop w:val="0"/>
      <w:marBottom w:val="0"/>
      <w:divBdr>
        <w:top w:val="none" w:sz="0" w:space="0" w:color="auto"/>
        <w:left w:val="none" w:sz="0" w:space="0" w:color="auto"/>
        <w:bottom w:val="none" w:sz="0" w:space="0" w:color="auto"/>
        <w:right w:val="none" w:sz="0" w:space="0" w:color="auto"/>
      </w:divBdr>
    </w:div>
    <w:div w:id="959604162">
      <w:bodyDiv w:val="1"/>
      <w:marLeft w:val="0"/>
      <w:marRight w:val="0"/>
      <w:marTop w:val="0"/>
      <w:marBottom w:val="0"/>
      <w:divBdr>
        <w:top w:val="none" w:sz="0" w:space="0" w:color="auto"/>
        <w:left w:val="none" w:sz="0" w:space="0" w:color="auto"/>
        <w:bottom w:val="none" w:sz="0" w:space="0" w:color="auto"/>
        <w:right w:val="none" w:sz="0" w:space="0" w:color="auto"/>
      </w:divBdr>
    </w:div>
    <w:div w:id="975331122">
      <w:bodyDiv w:val="1"/>
      <w:marLeft w:val="0"/>
      <w:marRight w:val="0"/>
      <w:marTop w:val="0"/>
      <w:marBottom w:val="0"/>
      <w:divBdr>
        <w:top w:val="none" w:sz="0" w:space="0" w:color="auto"/>
        <w:left w:val="none" w:sz="0" w:space="0" w:color="auto"/>
        <w:bottom w:val="none" w:sz="0" w:space="0" w:color="auto"/>
        <w:right w:val="none" w:sz="0" w:space="0" w:color="auto"/>
      </w:divBdr>
    </w:div>
    <w:div w:id="990252538">
      <w:bodyDiv w:val="1"/>
      <w:marLeft w:val="0"/>
      <w:marRight w:val="0"/>
      <w:marTop w:val="0"/>
      <w:marBottom w:val="0"/>
      <w:divBdr>
        <w:top w:val="none" w:sz="0" w:space="0" w:color="auto"/>
        <w:left w:val="none" w:sz="0" w:space="0" w:color="auto"/>
        <w:bottom w:val="none" w:sz="0" w:space="0" w:color="auto"/>
        <w:right w:val="none" w:sz="0" w:space="0" w:color="auto"/>
      </w:divBdr>
    </w:div>
    <w:div w:id="994797719">
      <w:bodyDiv w:val="1"/>
      <w:marLeft w:val="0"/>
      <w:marRight w:val="0"/>
      <w:marTop w:val="0"/>
      <w:marBottom w:val="0"/>
      <w:divBdr>
        <w:top w:val="none" w:sz="0" w:space="0" w:color="auto"/>
        <w:left w:val="none" w:sz="0" w:space="0" w:color="auto"/>
        <w:bottom w:val="none" w:sz="0" w:space="0" w:color="auto"/>
        <w:right w:val="none" w:sz="0" w:space="0" w:color="auto"/>
      </w:divBdr>
    </w:div>
    <w:div w:id="1003320280">
      <w:bodyDiv w:val="1"/>
      <w:marLeft w:val="0"/>
      <w:marRight w:val="0"/>
      <w:marTop w:val="0"/>
      <w:marBottom w:val="0"/>
      <w:divBdr>
        <w:top w:val="none" w:sz="0" w:space="0" w:color="auto"/>
        <w:left w:val="none" w:sz="0" w:space="0" w:color="auto"/>
        <w:bottom w:val="none" w:sz="0" w:space="0" w:color="auto"/>
        <w:right w:val="none" w:sz="0" w:space="0" w:color="auto"/>
      </w:divBdr>
      <w:divsChild>
        <w:div w:id="1860461069">
          <w:marLeft w:val="0"/>
          <w:marRight w:val="0"/>
          <w:marTop w:val="0"/>
          <w:marBottom w:val="0"/>
          <w:divBdr>
            <w:top w:val="none" w:sz="0" w:space="0" w:color="auto"/>
            <w:left w:val="none" w:sz="0" w:space="0" w:color="auto"/>
            <w:bottom w:val="none" w:sz="0" w:space="0" w:color="auto"/>
            <w:right w:val="none" w:sz="0" w:space="0" w:color="auto"/>
          </w:divBdr>
          <w:divsChild>
            <w:div w:id="841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32050">
      <w:bodyDiv w:val="1"/>
      <w:marLeft w:val="0"/>
      <w:marRight w:val="0"/>
      <w:marTop w:val="0"/>
      <w:marBottom w:val="0"/>
      <w:divBdr>
        <w:top w:val="none" w:sz="0" w:space="0" w:color="auto"/>
        <w:left w:val="none" w:sz="0" w:space="0" w:color="auto"/>
        <w:bottom w:val="none" w:sz="0" w:space="0" w:color="auto"/>
        <w:right w:val="none" w:sz="0" w:space="0" w:color="auto"/>
      </w:divBdr>
    </w:div>
    <w:div w:id="1005665125">
      <w:bodyDiv w:val="1"/>
      <w:marLeft w:val="0"/>
      <w:marRight w:val="0"/>
      <w:marTop w:val="0"/>
      <w:marBottom w:val="0"/>
      <w:divBdr>
        <w:top w:val="none" w:sz="0" w:space="0" w:color="auto"/>
        <w:left w:val="none" w:sz="0" w:space="0" w:color="auto"/>
        <w:bottom w:val="none" w:sz="0" w:space="0" w:color="auto"/>
        <w:right w:val="none" w:sz="0" w:space="0" w:color="auto"/>
      </w:divBdr>
    </w:div>
    <w:div w:id="1011496443">
      <w:bodyDiv w:val="1"/>
      <w:marLeft w:val="0"/>
      <w:marRight w:val="0"/>
      <w:marTop w:val="0"/>
      <w:marBottom w:val="0"/>
      <w:divBdr>
        <w:top w:val="none" w:sz="0" w:space="0" w:color="auto"/>
        <w:left w:val="none" w:sz="0" w:space="0" w:color="auto"/>
        <w:bottom w:val="none" w:sz="0" w:space="0" w:color="auto"/>
        <w:right w:val="none" w:sz="0" w:space="0" w:color="auto"/>
      </w:divBdr>
      <w:divsChild>
        <w:div w:id="938678232">
          <w:marLeft w:val="0"/>
          <w:marRight w:val="0"/>
          <w:marTop w:val="0"/>
          <w:marBottom w:val="0"/>
          <w:divBdr>
            <w:top w:val="none" w:sz="0" w:space="0" w:color="auto"/>
            <w:left w:val="none" w:sz="0" w:space="0" w:color="auto"/>
            <w:bottom w:val="none" w:sz="0" w:space="0" w:color="auto"/>
            <w:right w:val="none" w:sz="0" w:space="0" w:color="auto"/>
          </w:divBdr>
          <w:divsChild>
            <w:div w:id="880439516">
              <w:marLeft w:val="0"/>
              <w:marRight w:val="0"/>
              <w:marTop w:val="0"/>
              <w:marBottom w:val="0"/>
              <w:divBdr>
                <w:top w:val="none" w:sz="0" w:space="0" w:color="auto"/>
                <w:left w:val="none" w:sz="0" w:space="0" w:color="auto"/>
                <w:bottom w:val="none" w:sz="0" w:space="0" w:color="auto"/>
                <w:right w:val="none" w:sz="0" w:space="0" w:color="auto"/>
              </w:divBdr>
            </w:div>
            <w:div w:id="150230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34639">
      <w:bodyDiv w:val="1"/>
      <w:marLeft w:val="0"/>
      <w:marRight w:val="0"/>
      <w:marTop w:val="0"/>
      <w:marBottom w:val="0"/>
      <w:divBdr>
        <w:top w:val="none" w:sz="0" w:space="0" w:color="auto"/>
        <w:left w:val="none" w:sz="0" w:space="0" w:color="auto"/>
        <w:bottom w:val="none" w:sz="0" w:space="0" w:color="auto"/>
        <w:right w:val="none" w:sz="0" w:space="0" w:color="auto"/>
      </w:divBdr>
    </w:div>
    <w:div w:id="1086338579">
      <w:bodyDiv w:val="1"/>
      <w:marLeft w:val="0"/>
      <w:marRight w:val="0"/>
      <w:marTop w:val="0"/>
      <w:marBottom w:val="0"/>
      <w:divBdr>
        <w:top w:val="none" w:sz="0" w:space="0" w:color="auto"/>
        <w:left w:val="none" w:sz="0" w:space="0" w:color="auto"/>
        <w:bottom w:val="none" w:sz="0" w:space="0" w:color="auto"/>
        <w:right w:val="none" w:sz="0" w:space="0" w:color="auto"/>
      </w:divBdr>
    </w:div>
    <w:div w:id="1117598648">
      <w:bodyDiv w:val="1"/>
      <w:marLeft w:val="0"/>
      <w:marRight w:val="0"/>
      <w:marTop w:val="0"/>
      <w:marBottom w:val="0"/>
      <w:divBdr>
        <w:top w:val="none" w:sz="0" w:space="0" w:color="auto"/>
        <w:left w:val="none" w:sz="0" w:space="0" w:color="auto"/>
        <w:bottom w:val="none" w:sz="0" w:space="0" w:color="auto"/>
        <w:right w:val="none" w:sz="0" w:space="0" w:color="auto"/>
      </w:divBdr>
    </w:div>
    <w:div w:id="1132597820">
      <w:bodyDiv w:val="1"/>
      <w:marLeft w:val="0"/>
      <w:marRight w:val="0"/>
      <w:marTop w:val="0"/>
      <w:marBottom w:val="0"/>
      <w:divBdr>
        <w:top w:val="none" w:sz="0" w:space="0" w:color="auto"/>
        <w:left w:val="none" w:sz="0" w:space="0" w:color="auto"/>
        <w:bottom w:val="none" w:sz="0" w:space="0" w:color="auto"/>
        <w:right w:val="none" w:sz="0" w:space="0" w:color="auto"/>
      </w:divBdr>
    </w:div>
    <w:div w:id="1174955395">
      <w:bodyDiv w:val="1"/>
      <w:marLeft w:val="0"/>
      <w:marRight w:val="0"/>
      <w:marTop w:val="0"/>
      <w:marBottom w:val="0"/>
      <w:divBdr>
        <w:top w:val="none" w:sz="0" w:space="0" w:color="auto"/>
        <w:left w:val="none" w:sz="0" w:space="0" w:color="auto"/>
        <w:bottom w:val="none" w:sz="0" w:space="0" w:color="auto"/>
        <w:right w:val="none" w:sz="0" w:space="0" w:color="auto"/>
      </w:divBdr>
    </w:div>
    <w:div w:id="1190990378">
      <w:bodyDiv w:val="1"/>
      <w:marLeft w:val="0"/>
      <w:marRight w:val="0"/>
      <w:marTop w:val="0"/>
      <w:marBottom w:val="0"/>
      <w:divBdr>
        <w:top w:val="none" w:sz="0" w:space="0" w:color="auto"/>
        <w:left w:val="none" w:sz="0" w:space="0" w:color="auto"/>
        <w:bottom w:val="none" w:sz="0" w:space="0" w:color="auto"/>
        <w:right w:val="none" w:sz="0" w:space="0" w:color="auto"/>
      </w:divBdr>
    </w:div>
    <w:div w:id="1198085706">
      <w:bodyDiv w:val="1"/>
      <w:marLeft w:val="0"/>
      <w:marRight w:val="0"/>
      <w:marTop w:val="0"/>
      <w:marBottom w:val="0"/>
      <w:divBdr>
        <w:top w:val="none" w:sz="0" w:space="0" w:color="auto"/>
        <w:left w:val="none" w:sz="0" w:space="0" w:color="auto"/>
        <w:bottom w:val="none" w:sz="0" w:space="0" w:color="auto"/>
        <w:right w:val="none" w:sz="0" w:space="0" w:color="auto"/>
      </w:divBdr>
    </w:div>
    <w:div w:id="1201162926">
      <w:bodyDiv w:val="1"/>
      <w:marLeft w:val="0"/>
      <w:marRight w:val="0"/>
      <w:marTop w:val="0"/>
      <w:marBottom w:val="0"/>
      <w:divBdr>
        <w:top w:val="none" w:sz="0" w:space="0" w:color="auto"/>
        <w:left w:val="none" w:sz="0" w:space="0" w:color="auto"/>
        <w:bottom w:val="none" w:sz="0" w:space="0" w:color="auto"/>
        <w:right w:val="none" w:sz="0" w:space="0" w:color="auto"/>
      </w:divBdr>
    </w:div>
    <w:div w:id="1201630127">
      <w:bodyDiv w:val="1"/>
      <w:marLeft w:val="0"/>
      <w:marRight w:val="0"/>
      <w:marTop w:val="0"/>
      <w:marBottom w:val="0"/>
      <w:divBdr>
        <w:top w:val="none" w:sz="0" w:space="0" w:color="auto"/>
        <w:left w:val="none" w:sz="0" w:space="0" w:color="auto"/>
        <w:bottom w:val="none" w:sz="0" w:space="0" w:color="auto"/>
        <w:right w:val="none" w:sz="0" w:space="0" w:color="auto"/>
      </w:divBdr>
    </w:div>
    <w:div w:id="1203635752">
      <w:bodyDiv w:val="1"/>
      <w:marLeft w:val="0"/>
      <w:marRight w:val="0"/>
      <w:marTop w:val="0"/>
      <w:marBottom w:val="0"/>
      <w:divBdr>
        <w:top w:val="none" w:sz="0" w:space="0" w:color="auto"/>
        <w:left w:val="none" w:sz="0" w:space="0" w:color="auto"/>
        <w:bottom w:val="none" w:sz="0" w:space="0" w:color="auto"/>
        <w:right w:val="none" w:sz="0" w:space="0" w:color="auto"/>
      </w:divBdr>
    </w:div>
    <w:div w:id="1210915088">
      <w:bodyDiv w:val="1"/>
      <w:marLeft w:val="0"/>
      <w:marRight w:val="0"/>
      <w:marTop w:val="0"/>
      <w:marBottom w:val="0"/>
      <w:divBdr>
        <w:top w:val="none" w:sz="0" w:space="0" w:color="auto"/>
        <w:left w:val="none" w:sz="0" w:space="0" w:color="auto"/>
        <w:bottom w:val="none" w:sz="0" w:space="0" w:color="auto"/>
        <w:right w:val="none" w:sz="0" w:space="0" w:color="auto"/>
      </w:divBdr>
    </w:div>
    <w:div w:id="1214393440">
      <w:bodyDiv w:val="1"/>
      <w:marLeft w:val="0"/>
      <w:marRight w:val="0"/>
      <w:marTop w:val="0"/>
      <w:marBottom w:val="0"/>
      <w:divBdr>
        <w:top w:val="none" w:sz="0" w:space="0" w:color="auto"/>
        <w:left w:val="none" w:sz="0" w:space="0" w:color="auto"/>
        <w:bottom w:val="none" w:sz="0" w:space="0" w:color="auto"/>
        <w:right w:val="none" w:sz="0" w:space="0" w:color="auto"/>
      </w:divBdr>
    </w:div>
    <w:div w:id="1240556994">
      <w:bodyDiv w:val="1"/>
      <w:marLeft w:val="0"/>
      <w:marRight w:val="0"/>
      <w:marTop w:val="0"/>
      <w:marBottom w:val="0"/>
      <w:divBdr>
        <w:top w:val="none" w:sz="0" w:space="0" w:color="auto"/>
        <w:left w:val="none" w:sz="0" w:space="0" w:color="auto"/>
        <w:bottom w:val="none" w:sz="0" w:space="0" w:color="auto"/>
        <w:right w:val="none" w:sz="0" w:space="0" w:color="auto"/>
      </w:divBdr>
    </w:div>
    <w:div w:id="1250046798">
      <w:bodyDiv w:val="1"/>
      <w:marLeft w:val="0"/>
      <w:marRight w:val="0"/>
      <w:marTop w:val="0"/>
      <w:marBottom w:val="0"/>
      <w:divBdr>
        <w:top w:val="none" w:sz="0" w:space="0" w:color="auto"/>
        <w:left w:val="none" w:sz="0" w:space="0" w:color="auto"/>
        <w:bottom w:val="none" w:sz="0" w:space="0" w:color="auto"/>
        <w:right w:val="none" w:sz="0" w:space="0" w:color="auto"/>
      </w:divBdr>
    </w:div>
    <w:div w:id="1250307813">
      <w:bodyDiv w:val="1"/>
      <w:marLeft w:val="0"/>
      <w:marRight w:val="0"/>
      <w:marTop w:val="0"/>
      <w:marBottom w:val="0"/>
      <w:divBdr>
        <w:top w:val="none" w:sz="0" w:space="0" w:color="auto"/>
        <w:left w:val="none" w:sz="0" w:space="0" w:color="auto"/>
        <w:bottom w:val="none" w:sz="0" w:space="0" w:color="auto"/>
        <w:right w:val="none" w:sz="0" w:space="0" w:color="auto"/>
      </w:divBdr>
    </w:div>
    <w:div w:id="1251041256">
      <w:bodyDiv w:val="1"/>
      <w:marLeft w:val="0"/>
      <w:marRight w:val="0"/>
      <w:marTop w:val="0"/>
      <w:marBottom w:val="0"/>
      <w:divBdr>
        <w:top w:val="none" w:sz="0" w:space="0" w:color="auto"/>
        <w:left w:val="none" w:sz="0" w:space="0" w:color="auto"/>
        <w:bottom w:val="none" w:sz="0" w:space="0" w:color="auto"/>
        <w:right w:val="none" w:sz="0" w:space="0" w:color="auto"/>
      </w:divBdr>
    </w:div>
    <w:div w:id="1256131243">
      <w:bodyDiv w:val="1"/>
      <w:marLeft w:val="0"/>
      <w:marRight w:val="0"/>
      <w:marTop w:val="0"/>
      <w:marBottom w:val="0"/>
      <w:divBdr>
        <w:top w:val="none" w:sz="0" w:space="0" w:color="auto"/>
        <w:left w:val="none" w:sz="0" w:space="0" w:color="auto"/>
        <w:bottom w:val="none" w:sz="0" w:space="0" w:color="auto"/>
        <w:right w:val="none" w:sz="0" w:space="0" w:color="auto"/>
      </w:divBdr>
    </w:div>
    <w:div w:id="1265378089">
      <w:bodyDiv w:val="1"/>
      <w:marLeft w:val="0"/>
      <w:marRight w:val="0"/>
      <w:marTop w:val="0"/>
      <w:marBottom w:val="0"/>
      <w:divBdr>
        <w:top w:val="none" w:sz="0" w:space="0" w:color="auto"/>
        <w:left w:val="none" w:sz="0" w:space="0" w:color="auto"/>
        <w:bottom w:val="none" w:sz="0" w:space="0" w:color="auto"/>
        <w:right w:val="none" w:sz="0" w:space="0" w:color="auto"/>
      </w:divBdr>
      <w:divsChild>
        <w:div w:id="1683824858">
          <w:marLeft w:val="547"/>
          <w:marRight w:val="0"/>
          <w:marTop w:val="96"/>
          <w:marBottom w:val="0"/>
          <w:divBdr>
            <w:top w:val="none" w:sz="0" w:space="0" w:color="auto"/>
            <w:left w:val="none" w:sz="0" w:space="0" w:color="auto"/>
            <w:bottom w:val="none" w:sz="0" w:space="0" w:color="auto"/>
            <w:right w:val="none" w:sz="0" w:space="0" w:color="auto"/>
          </w:divBdr>
        </w:div>
        <w:div w:id="1697343484">
          <w:marLeft w:val="1166"/>
          <w:marRight w:val="0"/>
          <w:marTop w:val="96"/>
          <w:marBottom w:val="0"/>
          <w:divBdr>
            <w:top w:val="none" w:sz="0" w:space="0" w:color="auto"/>
            <w:left w:val="none" w:sz="0" w:space="0" w:color="auto"/>
            <w:bottom w:val="none" w:sz="0" w:space="0" w:color="auto"/>
            <w:right w:val="none" w:sz="0" w:space="0" w:color="auto"/>
          </w:divBdr>
        </w:div>
      </w:divsChild>
    </w:div>
    <w:div w:id="1278025284">
      <w:bodyDiv w:val="1"/>
      <w:marLeft w:val="0"/>
      <w:marRight w:val="0"/>
      <w:marTop w:val="0"/>
      <w:marBottom w:val="0"/>
      <w:divBdr>
        <w:top w:val="none" w:sz="0" w:space="0" w:color="auto"/>
        <w:left w:val="none" w:sz="0" w:space="0" w:color="auto"/>
        <w:bottom w:val="none" w:sz="0" w:space="0" w:color="auto"/>
        <w:right w:val="none" w:sz="0" w:space="0" w:color="auto"/>
      </w:divBdr>
      <w:divsChild>
        <w:div w:id="77097303">
          <w:marLeft w:val="1166"/>
          <w:marRight w:val="0"/>
          <w:marTop w:val="134"/>
          <w:marBottom w:val="0"/>
          <w:divBdr>
            <w:top w:val="none" w:sz="0" w:space="0" w:color="auto"/>
            <w:left w:val="none" w:sz="0" w:space="0" w:color="auto"/>
            <w:bottom w:val="none" w:sz="0" w:space="0" w:color="auto"/>
            <w:right w:val="none" w:sz="0" w:space="0" w:color="auto"/>
          </w:divBdr>
        </w:div>
      </w:divsChild>
    </w:div>
    <w:div w:id="1294948841">
      <w:bodyDiv w:val="1"/>
      <w:marLeft w:val="0"/>
      <w:marRight w:val="0"/>
      <w:marTop w:val="0"/>
      <w:marBottom w:val="0"/>
      <w:divBdr>
        <w:top w:val="none" w:sz="0" w:space="0" w:color="auto"/>
        <w:left w:val="none" w:sz="0" w:space="0" w:color="auto"/>
        <w:bottom w:val="none" w:sz="0" w:space="0" w:color="auto"/>
        <w:right w:val="none" w:sz="0" w:space="0" w:color="auto"/>
      </w:divBdr>
    </w:div>
    <w:div w:id="1379469477">
      <w:bodyDiv w:val="1"/>
      <w:marLeft w:val="0"/>
      <w:marRight w:val="0"/>
      <w:marTop w:val="0"/>
      <w:marBottom w:val="0"/>
      <w:divBdr>
        <w:top w:val="none" w:sz="0" w:space="0" w:color="auto"/>
        <w:left w:val="none" w:sz="0" w:space="0" w:color="auto"/>
        <w:bottom w:val="none" w:sz="0" w:space="0" w:color="auto"/>
        <w:right w:val="none" w:sz="0" w:space="0" w:color="auto"/>
      </w:divBdr>
    </w:div>
    <w:div w:id="1384672754">
      <w:bodyDiv w:val="1"/>
      <w:marLeft w:val="0"/>
      <w:marRight w:val="0"/>
      <w:marTop w:val="0"/>
      <w:marBottom w:val="0"/>
      <w:divBdr>
        <w:top w:val="none" w:sz="0" w:space="0" w:color="auto"/>
        <w:left w:val="none" w:sz="0" w:space="0" w:color="auto"/>
        <w:bottom w:val="none" w:sz="0" w:space="0" w:color="auto"/>
        <w:right w:val="none" w:sz="0" w:space="0" w:color="auto"/>
      </w:divBdr>
    </w:div>
    <w:div w:id="1387725168">
      <w:bodyDiv w:val="1"/>
      <w:marLeft w:val="0"/>
      <w:marRight w:val="0"/>
      <w:marTop w:val="0"/>
      <w:marBottom w:val="0"/>
      <w:divBdr>
        <w:top w:val="none" w:sz="0" w:space="0" w:color="auto"/>
        <w:left w:val="none" w:sz="0" w:space="0" w:color="auto"/>
        <w:bottom w:val="none" w:sz="0" w:space="0" w:color="auto"/>
        <w:right w:val="none" w:sz="0" w:space="0" w:color="auto"/>
      </w:divBdr>
    </w:div>
    <w:div w:id="1406562358">
      <w:bodyDiv w:val="1"/>
      <w:marLeft w:val="0"/>
      <w:marRight w:val="0"/>
      <w:marTop w:val="0"/>
      <w:marBottom w:val="0"/>
      <w:divBdr>
        <w:top w:val="none" w:sz="0" w:space="0" w:color="auto"/>
        <w:left w:val="none" w:sz="0" w:space="0" w:color="auto"/>
        <w:bottom w:val="none" w:sz="0" w:space="0" w:color="auto"/>
        <w:right w:val="none" w:sz="0" w:space="0" w:color="auto"/>
      </w:divBdr>
    </w:div>
    <w:div w:id="1413892503">
      <w:bodyDiv w:val="1"/>
      <w:marLeft w:val="0"/>
      <w:marRight w:val="0"/>
      <w:marTop w:val="0"/>
      <w:marBottom w:val="0"/>
      <w:divBdr>
        <w:top w:val="none" w:sz="0" w:space="0" w:color="auto"/>
        <w:left w:val="none" w:sz="0" w:space="0" w:color="auto"/>
        <w:bottom w:val="none" w:sz="0" w:space="0" w:color="auto"/>
        <w:right w:val="none" w:sz="0" w:space="0" w:color="auto"/>
      </w:divBdr>
    </w:div>
    <w:div w:id="1416437287">
      <w:bodyDiv w:val="1"/>
      <w:marLeft w:val="0"/>
      <w:marRight w:val="0"/>
      <w:marTop w:val="0"/>
      <w:marBottom w:val="0"/>
      <w:divBdr>
        <w:top w:val="none" w:sz="0" w:space="0" w:color="auto"/>
        <w:left w:val="none" w:sz="0" w:space="0" w:color="auto"/>
        <w:bottom w:val="none" w:sz="0" w:space="0" w:color="auto"/>
        <w:right w:val="none" w:sz="0" w:space="0" w:color="auto"/>
      </w:divBdr>
    </w:div>
    <w:div w:id="1421945758">
      <w:bodyDiv w:val="1"/>
      <w:marLeft w:val="0"/>
      <w:marRight w:val="0"/>
      <w:marTop w:val="0"/>
      <w:marBottom w:val="0"/>
      <w:divBdr>
        <w:top w:val="none" w:sz="0" w:space="0" w:color="auto"/>
        <w:left w:val="none" w:sz="0" w:space="0" w:color="auto"/>
        <w:bottom w:val="none" w:sz="0" w:space="0" w:color="auto"/>
        <w:right w:val="none" w:sz="0" w:space="0" w:color="auto"/>
      </w:divBdr>
    </w:div>
    <w:div w:id="1439249661">
      <w:bodyDiv w:val="1"/>
      <w:marLeft w:val="0"/>
      <w:marRight w:val="0"/>
      <w:marTop w:val="0"/>
      <w:marBottom w:val="0"/>
      <w:divBdr>
        <w:top w:val="none" w:sz="0" w:space="0" w:color="auto"/>
        <w:left w:val="none" w:sz="0" w:space="0" w:color="auto"/>
        <w:bottom w:val="none" w:sz="0" w:space="0" w:color="auto"/>
        <w:right w:val="none" w:sz="0" w:space="0" w:color="auto"/>
      </w:divBdr>
    </w:div>
    <w:div w:id="1439329483">
      <w:bodyDiv w:val="1"/>
      <w:marLeft w:val="0"/>
      <w:marRight w:val="0"/>
      <w:marTop w:val="0"/>
      <w:marBottom w:val="0"/>
      <w:divBdr>
        <w:top w:val="none" w:sz="0" w:space="0" w:color="auto"/>
        <w:left w:val="none" w:sz="0" w:space="0" w:color="auto"/>
        <w:bottom w:val="none" w:sz="0" w:space="0" w:color="auto"/>
        <w:right w:val="none" w:sz="0" w:space="0" w:color="auto"/>
      </w:divBdr>
    </w:div>
    <w:div w:id="1465393547">
      <w:bodyDiv w:val="1"/>
      <w:marLeft w:val="0"/>
      <w:marRight w:val="0"/>
      <w:marTop w:val="0"/>
      <w:marBottom w:val="0"/>
      <w:divBdr>
        <w:top w:val="none" w:sz="0" w:space="0" w:color="auto"/>
        <w:left w:val="none" w:sz="0" w:space="0" w:color="auto"/>
        <w:bottom w:val="none" w:sz="0" w:space="0" w:color="auto"/>
        <w:right w:val="none" w:sz="0" w:space="0" w:color="auto"/>
      </w:divBdr>
    </w:div>
    <w:div w:id="1471942414">
      <w:bodyDiv w:val="1"/>
      <w:marLeft w:val="0"/>
      <w:marRight w:val="0"/>
      <w:marTop w:val="0"/>
      <w:marBottom w:val="0"/>
      <w:divBdr>
        <w:top w:val="none" w:sz="0" w:space="0" w:color="auto"/>
        <w:left w:val="none" w:sz="0" w:space="0" w:color="auto"/>
        <w:bottom w:val="none" w:sz="0" w:space="0" w:color="auto"/>
        <w:right w:val="none" w:sz="0" w:space="0" w:color="auto"/>
      </w:divBdr>
    </w:div>
    <w:div w:id="1486164747">
      <w:bodyDiv w:val="1"/>
      <w:marLeft w:val="0"/>
      <w:marRight w:val="0"/>
      <w:marTop w:val="0"/>
      <w:marBottom w:val="0"/>
      <w:divBdr>
        <w:top w:val="none" w:sz="0" w:space="0" w:color="auto"/>
        <w:left w:val="none" w:sz="0" w:space="0" w:color="auto"/>
        <w:bottom w:val="none" w:sz="0" w:space="0" w:color="auto"/>
        <w:right w:val="none" w:sz="0" w:space="0" w:color="auto"/>
      </w:divBdr>
    </w:div>
    <w:div w:id="1559708264">
      <w:bodyDiv w:val="1"/>
      <w:marLeft w:val="0"/>
      <w:marRight w:val="0"/>
      <w:marTop w:val="0"/>
      <w:marBottom w:val="0"/>
      <w:divBdr>
        <w:top w:val="none" w:sz="0" w:space="0" w:color="auto"/>
        <w:left w:val="none" w:sz="0" w:space="0" w:color="auto"/>
        <w:bottom w:val="none" w:sz="0" w:space="0" w:color="auto"/>
        <w:right w:val="none" w:sz="0" w:space="0" w:color="auto"/>
      </w:divBdr>
    </w:div>
    <w:div w:id="1563443721">
      <w:bodyDiv w:val="1"/>
      <w:marLeft w:val="0"/>
      <w:marRight w:val="0"/>
      <w:marTop w:val="0"/>
      <w:marBottom w:val="0"/>
      <w:divBdr>
        <w:top w:val="none" w:sz="0" w:space="0" w:color="auto"/>
        <w:left w:val="none" w:sz="0" w:space="0" w:color="auto"/>
        <w:bottom w:val="none" w:sz="0" w:space="0" w:color="auto"/>
        <w:right w:val="none" w:sz="0" w:space="0" w:color="auto"/>
      </w:divBdr>
      <w:divsChild>
        <w:div w:id="686449423">
          <w:marLeft w:val="0"/>
          <w:marRight w:val="0"/>
          <w:marTop w:val="0"/>
          <w:marBottom w:val="0"/>
          <w:divBdr>
            <w:top w:val="none" w:sz="0" w:space="0" w:color="auto"/>
            <w:left w:val="none" w:sz="0" w:space="0" w:color="auto"/>
            <w:bottom w:val="none" w:sz="0" w:space="0" w:color="auto"/>
            <w:right w:val="none" w:sz="0" w:space="0" w:color="auto"/>
          </w:divBdr>
          <w:divsChild>
            <w:div w:id="126656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5617">
      <w:bodyDiv w:val="1"/>
      <w:marLeft w:val="0"/>
      <w:marRight w:val="0"/>
      <w:marTop w:val="0"/>
      <w:marBottom w:val="0"/>
      <w:divBdr>
        <w:top w:val="none" w:sz="0" w:space="0" w:color="auto"/>
        <w:left w:val="none" w:sz="0" w:space="0" w:color="auto"/>
        <w:bottom w:val="none" w:sz="0" w:space="0" w:color="auto"/>
        <w:right w:val="none" w:sz="0" w:space="0" w:color="auto"/>
      </w:divBdr>
    </w:div>
    <w:div w:id="1593854289">
      <w:bodyDiv w:val="1"/>
      <w:marLeft w:val="0"/>
      <w:marRight w:val="0"/>
      <w:marTop w:val="0"/>
      <w:marBottom w:val="0"/>
      <w:divBdr>
        <w:top w:val="none" w:sz="0" w:space="0" w:color="auto"/>
        <w:left w:val="none" w:sz="0" w:space="0" w:color="auto"/>
        <w:bottom w:val="none" w:sz="0" w:space="0" w:color="auto"/>
        <w:right w:val="none" w:sz="0" w:space="0" w:color="auto"/>
      </w:divBdr>
    </w:div>
    <w:div w:id="1602178841">
      <w:bodyDiv w:val="1"/>
      <w:marLeft w:val="0"/>
      <w:marRight w:val="0"/>
      <w:marTop w:val="0"/>
      <w:marBottom w:val="0"/>
      <w:divBdr>
        <w:top w:val="none" w:sz="0" w:space="0" w:color="auto"/>
        <w:left w:val="none" w:sz="0" w:space="0" w:color="auto"/>
        <w:bottom w:val="none" w:sz="0" w:space="0" w:color="auto"/>
        <w:right w:val="none" w:sz="0" w:space="0" w:color="auto"/>
      </w:divBdr>
    </w:div>
    <w:div w:id="1607495924">
      <w:bodyDiv w:val="1"/>
      <w:marLeft w:val="0"/>
      <w:marRight w:val="0"/>
      <w:marTop w:val="0"/>
      <w:marBottom w:val="0"/>
      <w:divBdr>
        <w:top w:val="none" w:sz="0" w:space="0" w:color="auto"/>
        <w:left w:val="none" w:sz="0" w:space="0" w:color="auto"/>
        <w:bottom w:val="none" w:sz="0" w:space="0" w:color="auto"/>
        <w:right w:val="none" w:sz="0" w:space="0" w:color="auto"/>
      </w:divBdr>
    </w:div>
    <w:div w:id="1626034192">
      <w:bodyDiv w:val="1"/>
      <w:marLeft w:val="0"/>
      <w:marRight w:val="0"/>
      <w:marTop w:val="0"/>
      <w:marBottom w:val="0"/>
      <w:divBdr>
        <w:top w:val="none" w:sz="0" w:space="0" w:color="auto"/>
        <w:left w:val="none" w:sz="0" w:space="0" w:color="auto"/>
        <w:bottom w:val="none" w:sz="0" w:space="0" w:color="auto"/>
        <w:right w:val="none" w:sz="0" w:space="0" w:color="auto"/>
      </w:divBdr>
    </w:div>
    <w:div w:id="1627618340">
      <w:bodyDiv w:val="1"/>
      <w:marLeft w:val="0"/>
      <w:marRight w:val="0"/>
      <w:marTop w:val="0"/>
      <w:marBottom w:val="0"/>
      <w:divBdr>
        <w:top w:val="none" w:sz="0" w:space="0" w:color="auto"/>
        <w:left w:val="none" w:sz="0" w:space="0" w:color="auto"/>
        <w:bottom w:val="none" w:sz="0" w:space="0" w:color="auto"/>
        <w:right w:val="none" w:sz="0" w:space="0" w:color="auto"/>
      </w:divBdr>
    </w:div>
    <w:div w:id="1628507856">
      <w:bodyDiv w:val="1"/>
      <w:marLeft w:val="0"/>
      <w:marRight w:val="0"/>
      <w:marTop w:val="0"/>
      <w:marBottom w:val="0"/>
      <w:divBdr>
        <w:top w:val="none" w:sz="0" w:space="0" w:color="auto"/>
        <w:left w:val="none" w:sz="0" w:space="0" w:color="auto"/>
        <w:bottom w:val="none" w:sz="0" w:space="0" w:color="auto"/>
        <w:right w:val="none" w:sz="0" w:space="0" w:color="auto"/>
      </w:divBdr>
    </w:div>
    <w:div w:id="1634097128">
      <w:bodyDiv w:val="1"/>
      <w:marLeft w:val="0"/>
      <w:marRight w:val="0"/>
      <w:marTop w:val="0"/>
      <w:marBottom w:val="0"/>
      <w:divBdr>
        <w:top w:val="none" w:sz="0" w:space="0" w:color="auto"/>
        <w:left w:val="none" w:sz="0" w:space="0" w:color="auto"/>
        <w:bottom w:val="none" w:sz="0" w:space="0" w:color="auto"/>
        <w:right w:val="none" w:sz="0" w:space="0" w:color="auto"/>
      </w:divBdr>
    </w:div>
    <w:div w:id="1643273698">
      <w:bodyDiv w:val="1"/>
      <w:marLeft w:val="0"/>
      <w:marRight w:val="0"/>
      <w:marTop w:val="0"/>
      <w:marBottom w:val="0"/>
      <w:divBdr>
        <w:top w:val="none" w:sz="0" w:space="0" w:color="auto"/>
        <w:left w:val="none" w:sz="0" w:space="0" w:color="auto"/>
        <w:bottom w:val="none" w:sz="0" w:space="0" w:color="auto"/>
        <w:right w:val="none" w:sz="0" w:space="0" w:color="auto"/>
      </w:divBdr>
    </w:div>
    <w:div w:id="1651866572">
      <w:bodyDiv w:val="1"/>
      <w:marLeft w:val="0"/>
      <w:marRight w:val="0"/>
      <w:marTop w:val="0"/>
      <w:marBottom w:val="0"/>
      <w:divBdr>
        <w:top w:val="none" w:sz="0" w:space="0" w:color="auto"/>
        <w:left w:val="none" w:sz="0" w:space="0" w:color="auto"/>
        <w:bottom w:val="none" w:sz="0" w:space="0" w:color="auto"/>
        <w:right w:val="none" w:sz="0" w:space="0" w:color="auto"/>
      </w:divBdr>
    </w:div>
    <w:div w:id="1652517402">
      <w:bodyDiv w:val="1"/>
      <w:marLeft w:val="0"/>
      <w:marRight w:val="0"/>
      <w:marTop w:val="0"/>
      <w:marBottom w:val="0"/>
      <w:divBdr>
        <w:top w:val="none" w:sz="0" w:space="0" w:color="auto"/>
        <w:left w:val="none" w:sz="0" w:space="0" w:color="auto"/>
        <w:bottom w:val="none" w:sz="0" w:space="0" w:color="auto"/>
        <w:right w:val="none" w:sz="0" w:space="0" w:color="auto"/>
      </w:divBdr>
    </w:div>
    <w:div w:id="1693802508">
      <w:bodyDiv w:val="1"/>
      <w:marLeft w:val="0"/>
      <w:marRight w:val="0"/>
      <w:marTop w:val="0"/>
      <w:marBottom w:val="0"/>
      <w:divBdr>
        <w:top w:val="none" w:sz="0" w:space="0" w:color="auto"/>
        <w:left w:val="none" w:sz="0" w:space="0" w:color="auto"/>
        <w:bottom w:val="none" w:sz="0" w:space="0" w:color="auto"/>
        <w:right w:val="none" w:sz="0" w:space="0" w:color="auto"/>
      </w:divBdr>
    </w:div>
    <w:div w:id="1704164142">
      <w:bodyDiv w:val="1"/>
      <w:marLeft w:val="0"/>
      <w:marRight w:val="0"/>
      <w:marTop w:val="0"/>
      <w:marBottom w:val="0"/>
      <w:divBdr>
        <w:top w:val="none" w:sz="0" w:space="0" w:color="auto"/>
        <w:left w:val="none" w:sz="0" w:space="0" w:color="auto"/>
        <w:bottom w:val="none" w:sz="0" w:space="0" w:color="auto"/>
        <w:right w:val="none" w:sz="0" w:space="0" w:color="auto"/>
      </w:divBdr>
    </w:div>
    <w:div w:id="1742484293">
      <w:bodyDiv w:val="1"/>
      <w:marLeft w:val="0"/>
      <w:marRight w:val="0"/>
      <w:marTop w:val="0"/>
      <w:marBottom w:val="0"/>
      <w:divBdr>
        <w:top w:val="none" w:sz="0" w:space="0" w:color="auto"/>
        <w:left w:val="none" w:sz="0" w:space="0" w:color="auto"/>
        <w:bottom w:val="none" w:sz="0" w:space="0" w:color="auto"/>
        <w:right w:val="none" w:sz="0" w:space="0" w:color="auto"/>
      </w:divBdr>
    </w:div>
    <w:div w:id="1746537913">
      <w:bodyDiv w:val="1"/>
      <w:marLeft w:val="0"/>
      <w:marRight w:val="0"/>
      <w:marTop w:val="0"/>
      <w:marBottom w:val="0"/>
      <w:divBdr>
        <w:top w:val="none" w:sz="0" w:space="0" w:color="auto"/>
        <w:left w:val="none" w:sz="0" w:space="0" w:color="auto"/>
        <w:bottom w:val="none" w:sz="0" w:space="0" w:color="auto"/>
        <w:right w:val="none" w:sz="0" w:space="0" w:color="auto"/>
      </w:divBdr>
    </w:div>
    <w:div w:id="1765035094">
      <w:bodyDiv w:val="1"/>
      <w:marLeft w:val="0"/>
      <w:marRight w:val="0"/>
      <w:marTop w:val="0"/>
      <w:marBottom w:val="0"/>
      <w:divBdr>
        <w:top w:val="none" w:sz="0" w:space="0" w:color="auto"/>
        <w:left w:val="none" w:sz="0" w:space="0" w:color="auto"/>
        <w:bottom w:val="none" w:sz="0" w:space="0" w:color="auto"/>
        <w:right w:val="none" w:sz="0" w:space="0" w:color="auto"/>
      </w:divBdr>
    </w:div>
    <w:div w:id="1799713775">
      <w:bodyDiv w:val="1"/>
      <w:marLeft w:val="0"/>
      <w:marRight w:val="0"/>
      <w:marTop w:val="0"/>
      <w:marBottom w:val="0"/>
      <w:divBdr>
        <w:top w:val="none" w:sz="0" w:space="0" w:color="auto"/>
        <w:left w:val="none" w:sz="0" w:space="0" w:color="auto"/>
        <w:bottom w:val="none" w:sz="0" w:space="0" w:color="auto"/>
        <w:right w:val="none" w:sz="0" w:space="0" w:color="auto"/>
      </w:divBdr>
    </w:div>
    <w:div w:id="1820346978">
      <w:bodyDiv w:val="1"/>
      <w:marLeft w:val="0"/>
      <w:marRight w:val="0"/>
      <w:marTop w:val="0"/>
      <w:marBottom w:val="0"/>
      <w:divBdr>
        <w:top w:val="none" w:sz="0" w:space="0" w:color="auto"/>
        <w:left w:val="none" w:sz="0" w:space="0" w:color="auto"/>
        <w:bottom w:val="none" w:sz="0" w:space="0" w:color="auto"/>
        <w:right w:val="none" w:sz="0" w:space="0" w:color="auto"/>
      </w:divBdr>
      <w:divsChild>
        <w:div w:id="1003313231">
          <w:marLeft w:val="0"/>
          <w:marRight w:val="0"/>
          <w:marTop w:val="0"/>
          <w:marBottom w:val="0"/>
          <w:divBdr>
            <w:top w:val="none" w:sz="0" w:space="0" w:color="auto"/>
            <w:left w:val="none" w:sz="0" w:space="0" w:color="auto"/>
            <w:bottom w:val="none" w:sz="0" w:space="0" w:color="auto"/>
            <w:right w:val="none" w:sz="0" w:space="0" w:color="auto"/>
          </w:divBdr>
          <w:divsChild>
            <w:div w:id="583346510">
              <w:marLeft w:val="0"/>
              <w:marRight w:val="0"/>
              <w:marTop w:val="0"/>
              <w:marBottom w:val="0"/>
              <w:divBdr>
                <w:top w:val="none" w:sz="0" w:space="0" w:color="auto"/>
                <w:left w:val="none" w:sz="0" w:space="0" w:color="auto"/>
                <w:bottom w:val="none" w:sz="0" w:space="0" w:color="auto"/>
                <w:right w:val="none" w:sz="0" w:space="0" w:color="auto"/>
              </w:divBdr>
            </w:div>
            <w:div w:id="92746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418651">
      <w:bodyDiv w:val="1"/>
      <w:marLeft w:val="0"/>
      <w:marRight w:val="0"/>
      <w:marTop w:val="0"/>
      <w:marBottom w:val="0"/>
      <w:divBdr>
        <w:top w:val="none" w:sz="0" w:space="0" w:color="auto"/>
        <w:left w:val="none" w:sz="0" w:space="0" w:color="auto"/>
        <w:bottom w:val="none" w:sz="0" w:space="0" w:color="auto"/>
        <w:right w:val="none" w:sz="0" w:space="0" w:color="auto"/>
      </w:divBdr>
    </w:div>
    <w:div w:id="1867328889">
      <w:bodyDiv w:val="1"/>
      <w:marLeft w:val="0"/>
      <w:marRight w:val="0"/>
      <w:marTop w:val="0"/>
      <w:marBottom w:val="0"/>
      <w:divBdr>
        <w:top w:val="none" w:sz="0" w:space="0" w:color="auto"/>
        <w:left w:val="none" w:sz="0" w:space="0" w:color="auto"/>
        <w:bottom w:val="none" w:sz="0" w:space="0" w:color="auto"/>
        <w:right w:val="none" w:sz="0" w:space="0" w:color="auto"/>
      </w:divBdr>
    </w:div>
    <w:div w:id="1885869861">
      <w:bodyDiv w:val="1"/>
      <w:marLeft w:val="0"/>
      <w:marRight w:val="0"/>
      <w:marTop w:val="0"/>
      <w:marBottom w:val="0"/>
      <w:divBdr>
        <w:top w:val="none" w:sz="0" w:space="0" w:color="auto"/>
        <w:left w:val="none" w:sz="0" w:space="0" w:color="auto"/>
        <w:bottom w:val="none" w:sz="0" w:space="0" w:color="auto"/>
        <w:right w:val="none" w:sz="0" w:space="0" w:color="auto"/>
      </w:divBdr>
    </w:div>
    <w:div w:id="1887066797">
      <w:bodyDiv w:val="1"/>
      <w:marLeft w:val="0"/>
      <w:marRight w:val="0"/>
      <w:marTop w:val="0"/>
      <w:marBottom w:val="0"/>
      <w:divBdr>
        <w:top w:val="none" w:sz="0" w:space="0" w:color="auto"/>
        <w:left w:val="none" w:sz="0" w:space="0" w:color="auto"/>
        <w:bottom w:val="none" w:sz="0" w:space="0" w:color="auto"/>
        <w:right w:val="none" w:sz="0" w:space="0" w:color="auto"/>
      </w:divBdr>
    </w:div>
    <w:div w:id="1912499736">
      <w:bodyDiv w:val="1"/>
      <w:marLeft w:val="0"/>
      <w:marRight w:val="0"/>
      <w:marTop w:val="0"/>
      <w:marBottom w:val="0"/>
      <w:divBdr>
        <w:top w:val="none" w:sz="0" w:space="0" w:color="auto"/>
        <w:left w:val="none" w:sz="0" w:space="0" w:color="auto"/>
        <w:bottom w:val="none" w:sz="0" w:space="0" w:color="auto"/>
        <w:right w:val="none" w:sz="0" w:space="0" w:color="auto"/>
      </w:divBdr>
    </w:div>
    <w:div w:id="1936358579">
      <w:bodyDiv w:val="1"/>
      <w:marLeft w:val="0"/>
      <w:marRight w:val="0"/>
      <w:marTop w:val="0"/>
      <w:marBottom w:val="0"/>
      <w:divBdr>
        <w:top w:val="none" w:sz="0" w:space="0" w:color="auto"/>
        <w:left w:val="none" w:sz="0" w:space="0" w:color="auto"/>
        <w:bottom w:val="none" w:sz="0" w:space="0" w:color="auto"/>
        <w:right w:val="none" w:sz="0" w:space="0" w:color="auto"/>
      </w:divBdr>
      <w:divsChild>
        <w:div w:id="681132036">
          <w:marLeft w:val="0"/>
          <w:marRight w:val="0"/>
          <w:marTop w:val="0"/>
          <w:marBottom w:val="0"/>
          <w:divBdr>
            <w:top w:val="none" w:sz="0" w:space="0" w:color="auto"/>
            <w:left w:val="none" w:sz="0" w:space="0" w:color="auto"/>
            <w:bottom w:val="none" w:sz="0" w:space="0" w:color="auto"/>
            <w:right w:val="none" w:sz="0" w:space="0" w:color="auto"/>
          </w:divBdr>
          <w:divsChild>
            <w:div w:id="1549873335">
              <w:marLeft w:val="0"/>
              <w:marRight w:val="0"/>
              <w:marTop w:val="0"/>
              <w:marBottom w:val="0"/>
              <w:divBdr>
                <w:top w:val="none" w:sz="0" w:space="0" w:color="auto"/>
                <w:left w:val="none" w:sz="0" w:space="0" w:color="auto"/>
                <w:bottom w:val="none" w:sz="0" w:space="0" w:color="auto"/>
                <w:right w:val="none" w:sz="0" w:space="0" w:color="auto"/>
              </w:divBdr>
            </w:div>
            <w:div w:id="186143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63701">
      <w:bodyDiv w:val="1"/>
      <w:marLeft w:val="0"/>
      <w:marRight w:val="0"/>
      <w:marTop w:val="0"/>
      <w:marBottom w:val="0"/>
      <w:divBdr>
        <w:top w:val="none" w:sz="0" w:space="0" w:color="auto"/>
        <w:left w:val="none" w:sz="0" w:space="0" w:color="auto"/>
        <w:bottom w:val="none" w:sz="0" w:space="0" w:color="auto"/>
        <w:right w:val="none" w:sz="0" w:space="0" w:color="auto"/>
      </w:divBdr>
    </w:div>
    <w:div w:id="2015569680">
      <w:bodyDiv w:val="1"/>
      <w:marLeft w:val="0"/>
      <w:marRight w:val="0"/>
      <w:marTop w:val="0"/>
      <w:marBottom w:val="0"/>
      <w:divBdr>
        <w:top w:val="none" w:sz="0" w:space="0" w:color="auto"/>
        <w:left w:val="none" w:sz="0" w:space="0" w:color="auto"/>
        <w:bottom w:val="none" w:sz="0" w:space="0" w:color="auto"/>
        <w:right w:val="none" w:sz="0" w:space="0" w:color="auto"/>
      </w:divBdr>
    </w:div>
    <w:div w:id="2041933685">
      <w:bodyDiv w:val="1"/>
      <w:marLeft w:val="0"/>
      <w:marRight w:val="0"/>
      <w:marTop w:val="0"/>
      <w:marBottom w:val="0"/>
      <w:divBdr>
        <w:top w:val="none" w:sz="0" w:space="0" w:color="auto"/>
        <w:left w:val="none" w:sz="0" w:space="0" w:color="auto"/>
        <w:bottom w:val="none" w:sz="0" w:space="0" w:color="auto"/>
        <w:right w:val="none" w:sz="0" w:space="0" w:color="auto"/>
      </w:divBdr>
    </w:div>
    <w:div w:id="2043356934">
      <w:bodyDiv w:val="1"/>
      <w:marLeft w:val="0"/>
      <w:marRight w:val="0"/>
      <w:marTop w:val="0"/>
      <w:marBottom w:val="0"/>
      <w:divBdr>
        <w:top w:val="none" w:sz="0" w:space="0" w:color="auto"/>
        <w:left w:val="none" w:sz="0" w:space="0" w:color="auto"/>
        <w:bottom w:val="none" w:sz="0" w:space="0" w:color="auto"/>
        <w:right w:val="none" w:sz="0" w:space="0" w:color="auto"/>
      </w:divBdr>
    </w:div>
    <w:div w:id="2044095081">
      <w:bodyDiv w:val="1"/>
      <w:marLeft w:val="0"/>
      <w:marRight w:val="0"/>
      <w:marTop w:val="0"/>
      <w:marBottom w:val="0"/>
      <w:divBdr>
        <w:top w:val="none" w:sz="0" w:space="0" w:color="auto"/>
        <w:left w:val="none" w:sz="0" w:space="0" w:color="auto"/>
        <w:bottom w:val="none" w:sz="0" w:space="0" w:color="auto"/>
        <w:right w:val="none" w:sz="0" w:space="0" w:color="auto"/>
      </w:divBdr>
    </w:div>
    <w:div w:id="2045517137">
      <w:bodyDiv w:val="1"/>
      <w:marLeft w:val="0"/>
      <w:marRight w:val="0"/>
      <w:marTop w:val="0"/>
      <w:marBottom w:val="0"/>
      <w:divBdr>
        <w:top w:val="none" w:sz="0" w:space="0" w:color="auto"/>
        <w:left w:val="none" w:sz="0" w:space="0" w:color="auto"/>
        <w:bottom w:val="none" w:sz="0" w:space="0" w:color="auto"/>
        <w:right w:val="none" w:sz="0" w:space="0" w:color="auto"/>
      </w:divBdr>
    </w:div>
    <w:div w:id="2047750647">
      <w:bodyDiv w:val="1"/>
      <w:marLeft w:val="0"/>
      <w:marRight w:val="0"/>
      <w:marTop w:val="0"/>
      <w:marBottom w:val="0"/>
      <w:divBdr>
        <w:top w:val="none" w:sz="0" w:space="0" w:color="auto"/>
        <w:left w:val="none" w:sz="0" w:space="0" w:color="auto"/>
        <w:bottom w:val="none" w:sz="0" w:space="0" w:color="auto"/>
        <w:right w:val="none" w:sz="0" w:space="0" w:color="auto"/>
      </w:divBdr>
    </w:div>
    <w:div w:id="2065832848">
      <w:bodyDiv w:val="1"/>
      <w:marLeft w:val="0"/>
      <w:marRight w:val="0"/>
      <w:marTop w:val="0"/>
      <w:marBottom w:val="0"/>
      <w:divBdr>
        <w:top w:val="none" w:sz="0" w:space="0" w:color="auto"/>
        <w:left w:val="none" w:sz="0" w:space="0" w:color="auto"/>
        <w:bottom w:val="none" w:sz="0" w:space="0" w:color="auto"/>
        <w:right w:val="none" w:sz="0" w:space="0" w:color="auto"/>
      </w:divBdr>
    </w:div>
    <w:div w:id="2089813234">
      <w:bodyDiv w:val="1"/>
      <w:marLeft w:val="0"/>
      <w:marRight w:val="0"/>
      <w:marTop w:val="0"/>
      <w:marBottom w:val="0"/>
      <w:divBdr>
        <w:top w:val="none" w:sz="0" w:space="0" w:color="auto"/>
        <w:left w:val="none" w:sz="0" w:space="0" w:color="auto"/>
        <w:bottom w:val="none" w:sz="0" w:space="0" w:color="auto"/>
        <w:right w:val="none" w:sz="0" w:space="0" w:color="auto"/>
      </w:divBdr>
    </w:div>
    <w:div w:id="2116318141">
      <w:bodyDiv w:val="1"/>
      <w:marLeft w:val="0"/>
      <w:marRight w:val="0"/>
      <w:marTop w:val="0"/>
      <w:marBottom w:val="0"/>
      <w:divBdr>
        <w:top w:val="none" w:sz="0" w:space="0" w:color="auto"/>
        <w:left w:val="none" w:sz="0" w:space="0" w:color="auto"/>
        <w:bottom w:val="none" w:sz="0" w:space="0" w:color="auto"/>
        <w:right w:val="none" w:sz="0" w:space="0" w:color="auto"/>
      </w:divBdr>
    </w:div>
    <w:div w:id="2122796017">
      <w:bodyDiv w:val="1"/>
      <w:marLeft w:val="0"/>
      <w:marRight w:val="0"/>
      <w:marTop w:val="0"/>
      <w:marBottom w:val="0"/>
      <w:divBdr>
        <w:top w:val="none" w:sz="0" w:space="0" w:color="auto"/>
        <w:left w:val="none" w:sz="0" w:space="0" w:color="auto"/>
        <w:bottom w:val="none" w:sz="0" w:space="0" w:color="auto"/>
        <w:right w:val="none" w:sz="0" w:space="0" w:color="auto"/>
      </w:divBdr>
    </w:div>
    <w:div w:id="212411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cancer.org.au/about-cancer/types-of-cancer/breast-cancer/" TargetMode="External"/><Relationship Id="rId1" Type="http://schemas.openxmlformats.org/officeDocument/2006/relationships/hyperlink" Target="https://www.nice.org.uk/guidance/GID-TA10433/documents/committee-pap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1FCFB-DA16-42D0-9CCA-62A1C71C2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16931</Words>
  <Characters>96508</Characters>
  <Application>Microsoft Office Word</Application>
  <DocSecurity>0</DocSecurity>
  <Lines>804</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2020-07-06T07:25:00Z</dcterms:created>
  <dcterms:modified xsi:type="dcterms:W3CDTF">2020-07-10T03:05:00Z</dcterms:modified>
</cp:coreProperties>
</file>