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70" w:rsidRPr="00BC1A30" w:rsidRDefault="003D5570" w:rsidP="003D5570">
      <w:pPr>
        <w:pStyle w:val="Title"/>
        <w:spacing w:before="120" w:after="160"/>
        <w:ind w:left="720" w:hanging="720"/>
        <w:rPr>
          <w:rFonts w:asciiTheme="minorHAnsi" w:hAnsiTheme="minorHAnsi"/>
          <w:sz w:val="36"/>
          <w:szCs w:val="36"/>
        </w:rPr>
      </w:pPr>
      <w:r w:rsidRPr="00BC1A30">
        <w:rPr>
          <w:rFonts w:asciiTheme="minorHAnsi" w:hAnsiTheme="minorHAnsi"/>
          <w:sz w:val="36"/>
          <w:szCs w:val="36"/>
        </w:rPr>
        <w:t>5.</w:t>
      </w:r>
      <w:r w:rsidR="002677E0" w:rsidRPr="00BC1A30">
        <w:rPr>
          <w:rFonts w:asciiTheme="minorHAnsi" w:hAnsiTheme="minorHAnsi"/>
          <w:sz w:val="36"/>
          <w:szCs w:val="36"/>
        </w:rPr>
        <w:t>07</w:t>
      </w:r>
      <w:r w:rsidRPr="00BC1A30">
        <w:rPr>
          <w:rFonts w:asciiTheme="minorHAnsi" w:hAnsiTheme="minorHAnsi"/>
          <w:sz w:val="36"/>
          <w:szCs w:val="36"/>
        </w:rPr>
        <w:tab/>
        <w:t>ADALIMUMAB</w:t>
      </w:r>
      <w:r w:rsidR="00261DB2" w:rsidRPr="00BC1A30">
        <w:rPr>
          <w:rFonts w:asciiTheme="minorHAnsi" w:hAnsiTheme="minorHAnsi"/>
          <w:sz w:val="36"/>
          <w:szCs w:val="36"/>
        </w:rPr>
        <w:t xml:space="preserve"> </w:t>
      </w:r>
    </w:p>
    <w:p w:rsidR="003D5570" w:rsidRPr="00BC1A30" w:rsidRDefault="003D5570" w:rsidP="003D5570">
      <w:pPr>
        <w:pStyle w:val="Title"/>
        <w:spacing w:before="120" w:after="160"/>
        <w:ind w:left="720"/>
        <w:rPr>
          <w:rFonts w:asciiTheme="minorHAnsi" w:hAnsiTheme="minorHAnsi"/>
          <w:sz w:val="36"/>
          <w:szCs w:val="36"/>
        </w:rPr>
      </w:pPr>
      <w:r w:rsidRPr="00BC1A30">
        <w:rPr>
          <w:rFonts w:asciiTheme="minorHAnsi" w:hAnsiTheme="minorHAnsi"/>
          <w:sz w:val="36"/>
          <w:szCs w:val="36"/>
        </w:rPr>
        <w:t>Injection 40 mg in 0.8 mL pre-filled syringe</w:t>
      </w:r>
    </w:p>
    <w:p w:rsidR="007145A8" w:rsidRDefault="003D5570" w:rsidP="003D5570">
      <w:pPr>
        <w:pStyle w:val="Title"/>
        <w:spacing w:before="120" w:after="160"/>
        <w:ind w:left="720" w:hanging="11"/>
        <w:rPr>
          <w:rFonts w:asciiTheme="minorHAnsi" w:hAnsiTheme="minorHAnsi"/>
          <w:sz w:val="36"/>
          <w:szCs w:val="36"/>
        </w:rPr>
      </w:pPr>
      <w:r w:rsidRPr="00BC1A30">
        <w:rPr>
          <w:rFonts w:asciiTheme="minorHAnsi" w:hAnsiTheme="minorHAnsi"/>
          <w:sz w:val="36"/>
          <w:szCs w:val="36"/>
        </w:rPr>
        <w:t>Injection 40 mg in 0.8 mL pre-filled pen</w:t>
      </w:r>
      <w:r w:rsidRPr="00BC1A30">
        <w:rPr>
          <w:rFonts w:asciiTheme="minorHAnsi" w:hAnsiTheme="minorHAnsi"/>
          <w:sz w:val="36"/>
          <w:szCs w:val="36"/>
        </w:rPr>
        <w:br/>
      </w:r>
      <w:proofErr w:type="spellStart"/>
      <w:r w:rsidR="00261DB2" w:rsidRPr="00BC1A30">
        <w:rPr>
          <w:rFonts w:asciiTheme="minorHAnsi" w:hAnsiTheme="minorHAnsi"/>
          <w:sz w:val="36"/>
          <w:szCs w:val="36"/>
        </w:rPr>
        <w:t>H</w:t>
      </w:r>
      <w:r w:rsidR="00640362" w:rsidRPr="00BC1A30">
        <w:rPr>
          <w:rFonts w:asciiTheme="minorHAnsi" w:hAnsiTheme="minorHAnsi"/>
          <w:sz w:val="36"/>
          <w:szCs w:val="36"/>
        </w:rPr>
        <w:t>yrimoz</w:t>
      </w:r>
      <w:proofErr w:type="spellEnd"/>
      <w:r w:rsidRPr="00BC1A30">
        <w:rPr>
          <w:rFonts w:asciiTheme="minorHAnsi" w:hAnsiTheme="minorHAnsi"/>
          <w:sz w:val="36"/>
          <w:szCs w:val="36"/>
          <w:vertAlign w:val="superscript"/>
        </w:rPr>
        <w:t>®</w:t>
      </w:r>
      <w:r w:rsidRPr="00BC1A30">
        <w:rPr>
          <w:rFonts w:asciiTheme="minorHAnsi" w:hAnsiTheme="minorHAnsi"/>
          <w:sz w:val="36"/>
          <w:szCs w:val="36"/>
        </w:rPr>
        <w:t xml:space="preserve">, </w:t>
      </w:r>
    </w:p>
    <w:p w:rsidR="003D5570" w:rsidRPr="00BC1A30" w:rsidRDefault="00261DB2" w:rsidP="003D5570">
      <w:pPr>
        <w:pStyle w:val="Title"/>
        <w:spacing w:before="120" w:after="160"/>
        <w:ind w:left="720" w:hanging="11"/>
        <w:rPr>
          <w:rFonts w:asciiTheme="minorHAnsi" w:hAnsiTheme="minorHAnsi"/>
          <w:sz w:val="36"/>
          <w:szCs w:val="36"/>
        </w:rPr>
      </w:pPr>
      <w:r w:rsidRPr="00BC1A30">
        <w:rPr>
          <w:rFonts w:asciiTheme="minorHAnsi" w:hAnsiTheme="minorHAnsi"/>
          <w:sz w:val="36"/>
          <w:szCs w:val="36"/>
        </w:rPr>
        <w:t>Sandoz Australia Pty Ltd</w:t>
      </w:r>
    </w:p>
    <w:p w:rsidR="00091933" w:rsidRPr="00BC1A30" w:rsidRDefault="00091933" w:rsidP="000D03F6">
      <w:pPr>
        <w:pStyle w:val="PBACHeading1"/>
        <w:spacing w:before="240" w:after="120"/>
        <w:ind w:left="709" w:hanging="709"/>
        <w:jc w:val="both"/>
        <w:rPr>
          <w:rFonts w:asciiTheme="minorHAnsi" w:hAnsiTheme="minorHAnsi"/>
          <w:sz w:val="32"/>
          <w:szCs w:val="32"/>
        </w:rPr>
      </w:pPr>
      <w:r w:rsidRPr="00BC1A30">
        <w:rPr>
          <w:rFonts w:asciiTheme="minorHAnsi" w:hAnsiTheme="minorHAnsi"/>
          <w:sz w:val="32"/>
          <w:szCs w:val="32"/>
        </w:rPr>
        <w:t>Purpose of Application</w:t>
      </w:r>
    </w:p>
    <w:p w:rsidR="00343EB5" w:rsidRPr="00BC1A30" w:rsidRDefault="00091933" w:rsidP="00D10FF3">
      <w:pPr>
        <w:pStyle w:val="ListParagraph"/>
        <w:numPr>
          <w:ilvl w:val="1"/>
          <w:numId w:val="1"/>
        </w:numPr>
        <w:spacing w:after="120" w:line="240" w:lineRule="auto"/>
        <w:contextualSpacing w:val="0"/>
        <w:jc w:val="both"/>
        <w:rPr>
          <w:rFonts w:asciiTheme="minorHAnsi" w:hAnsiTheme="minorHAnsi" w:cstheme="minorBidi"/>
          <w:szCs w:val="22"/>
        </w:rPr>
      </w:pPr>
      <w:r w:rsidRPr="00BC1A30">
        <w:rPr>
          <w:rFonts w:asciiTheme="minorHAnsi" w:hAnsiTheme="minorHAnsi" w:cstheme="minorBidi"/>
          <w:szCs w:val="22"/>
        </w:rPr>
        <w:t xml:space="preserve">The minor submission sought </w:t>
      </w:r>
      <w:r w:rsidR="009F2AE4" w:rsidRPr="00BC1A30">
        <w:rPr>
          <w:rFonts w:asciiTheme="minorHAnsi" w:hAnsiTheme="minorHAnsi" w:cstheme="minorBidi"/>
          <w:szCs w:val="22"/>
        </w:rPr>
        <w:t xml:space="preserve">an Authority </w:t>
      </w:r>
      <w:proofErr w:type="gramStart"/>
      <w:r w:rsidR="009F2AE4" w:rsidRPr="00BC1A30">
        <w:rPr>
          <w:rFonts w:asciiTheme="minorHAnsi" w:hAnsiTheme="minorHAnsi" w:cstheme="minorBidi"/>
          <w:szCs w:val="22"/>
        </w:rPr>
        <w:t>Required</w:t>
      </w:r>
      <w:proofErr w:type="gramEnd"/>
      <w:r w:rsidRPr="00BC1A30">
        <w:rPr>
          <w:rFonts w:asciiTheme="minorHAnsi" w:hAnsiTheme="minorHAnsi" w:cstheme="minorBidi"/>
          <w:szCs w:val="22"/>
        </w:rPr>
        <w:t xml:space="preserve"> listing for a new biosimilar brand of </w:t>
      </w:r>
      <w:proofErr w:type="spellStart"/>
      <w:r w:rsidRPr="00BC1A30">
        <w:rPr>
          <w:rFonts w:asciiTheme="minorHAnsi" w:hAnsiTheme="minorHAnsi" w:cstheme="minorBidi"/>
          <w:szCs w:val="22"/>
        </w:rPr>
        <w:t>adalimumab</w:t>
      </w:r>
      <w:proofErr w:type="spellEnd"/>
      <w:r w:rsidRPr="00BC1A30">
        <w:rPr>
          <w:rFonts w:asciiTheme="minorHAnsi" w:hAnsiTheme="minorHAnsi" w:cstheme="minorBidi"/>
          <w:szCs w:val="22"/>
        </w:rPr>
        <w:t xml:space="preserve"> (</w:t>
      </w:r>
      <w:proofErr w:type="spellStart"/>
      <w:r w:rsidRPr="00BC1A30">
        <w:rPr>
          <w:rFonts w:asciiTheme="minorHAnsi" w:hAnsiTheme="minorHAnsi" w:cstheme="minorBidi"/>
          <w:szCs w:val="22"/>
        </w:rPr>
        <w:t>H</w:t>
      </w:r>
      <w:r w:rsidR="00640362" w:rsidRPr="00BC1A30">
        <w:rPr>
          <w:rFonts w:asciiTheme="minorHAnsi" w:hAnsiTheme="minorHAnsi" w:cstheme="minorBidi"/>
          <w:szCs w:val="22"/>
        </w:rPr>
        <w:t>yrimoz</w:t>
      </w:r>
      <w:proofErr w:type="spellEnd"/>
      <w:r w:rsidRPr="00BC1A30">
        <w:rPr>
          <w:rFonts w:asciiTheme="minorHAnsi" w:hAnsiTheme="minorHAnsi" w:cstheme="minorBidi"/>
          <w:szCs w:val="22"/>
        </w:rPr>
        <w:t>®)</w:t>
      </w:r>
      <w:r w:rsidR="00450080" w:rsidRPr="00BC1A30">
        <w:rPr>
          <w:rFonts w:asciiTheme="minorHAnsi" w:hAnsiTheme="minorHAnsi" w:cstheme="minorBidi"/>
          <w:szCs w:val="22"/>
        </w:rPr>
        <w:t xml:space="preserve"> in the form of 40 mg/0.8 mL </w:t>
      </w:r>
      <w:r w:rsidR="00CB179F" w:rsidRPr="00BC1A30">
        <w:rPr>
          <w:rFonts w:asciiTheme="minorHAnsi" w:hAnsiTheme="minorHAnsi" w:cstheme="minorBidi"/>
          <w:szCs w:val="22"/>
        </w:rPr>
        <w:t xml:space="preserve">pre-filled syringe and 40 mg/0.8 mL </w:t>
      </w:r>
      <w:r w:rsidR="00450080" w:rsidRPr="00BC1A30">
        <w:rPr>
          <w:rFonts w:asciiTheme="minorHAnsi" w:hAnsiTheme="minorHAnsi" w:cstheme="minorBidi"/>
          <w:szCs w:val="22"/>
        </w:rPr>
        <w:t>pre-filled pen</w:t>
      </w:r>
      <w:r w:rsidR="00343EB5" w:rsidRPr="00BC1A30">
        <w:rPr>
          <w:rFonts w:asciiTheme="minorHAnsi" w:hAnsiTheme="minorHAnsi" w:cstheme="minorBidi"/>
          <w:szCs w:val="22"/>
        </w:rPr>
        <w:t>.</w:t>
      </w:r>
    </w:p>
    <w:p w:rsidR="009F2AE4" w:rsidRPr="00BC1A30" w:rsidRDefault="009F2AE4" w:rsidP="000D03F6">
      <w:pPr>
        <w:pStyle w:val="PBACHeading1"/>
        <w:spacing w:before="240" w:after="120"/>
        <w:ind w:left="709" w:hanging="709"/>
        <w:jc w:val="both"/>
        <w:rPr>
          <w:rFonts w:asciiTheme="minorHAnsi" w:hAnsiTheme="minorHAnsi"/>
          <w:sz w:val="32"/>
          <w:szCs w:val="32"/>
        </w:rPr>
      </w:pPr>
      <w:r w:rsidRPr="00BC1A30">
        <w:rPr>
          <w:rFonts w:asciiTheme="minorHAnsi" w:hAnsiTheme="minorHAnsi"/>
          <w:sz w:val="32"/>
          <w:szCs w:val="32"/>
        </w:rPr>
        <w:t>Requested listing</w:t>
      </w:r>
    </w:p>
    <w:p w:rsidR="003E4A4E" w:rsidRPr="00BC1A30" w:rsidRDefault="009F2AE4" w:rsidP="00D10FF3">
      <w:pPr>
        <w:pStyle w:val="3Bodytext"/>
        <w:numPr>
          <w:ilvl w:val="1"/>
          <w:numId w:val="1"/>
        </w:numPr>
        <w:jc w:val="both"/>
      </w:pPr>
      <w:r w:rsidRPr="00BC1A30">
        <w:rPr>
          <w:rFonts w:cstheme="minorHAnsi"/>
          <w:szCs w:val="24"/>
        </w:rPr>
        <w:t xml:space="preserve">The submission requested </w:t>
      </w:r>
      <w:r w:rsidR="00342DF8" w:rsidRPr="00BC1A30">
        <w:rPr>
          <w:rFonts w:cstheme="minorHAnsi"/>
          <w:szCs w:val="24"/>
        </w:rPr>
        <w:t xml:space="preserve">General PBS schedule </w:t>
      </w:r>
      <w:r w:rsidR="00640362" w:rsidRPr="00BC1A30">
        <w:rPr>
          <w:rFonts w:cstheme="minorHAnsi"/>
          <w:szCs w:val="24"/>
        </w:rPr>
        <w:t>listing</w:t>
      </w:r>
      <w:r w:rsidR="00913AB1" w:rsidRPr="00BC1A30">
        <w:rPr>
          <w:rFonts w:cstheme="minorHAnsi"/>
          <w:szCs w:val="24"/>
        </w:rPr>
        <w:t>s</w:t>
      </w:r>
      <w:r w:rsidR="00640362" w:rsidRPr="00BC1A30">
        <w:rPr>
          <w:rFonts w:cstheme="minorHAnsi"/>
          <w:szCs w:val="24"/>
        </w:rPr>
        <w:t xml:space="preserve"> </w:t>
      </w:r>
      <w:r w:rsidR="00342DF8" w:rsidRPr="00BC1A30">
        <w:rPr>
          <w:rFonts w:cstheme="minorHAnsi"/>
          <w:szCs w:val="24"/>
        </w:rPr>
        <w:t xml:space="preserve">(Section 85) of </w:t>
      </w:r>
      <w:proofErr w:type="spellStart"/>
      <w:r w:rsidRPr="00BC1A30">
        <w:rPr>
          <w:rFonts w:cstheme="minorHAnsi"/>
          <w:szCs w:val="24"/>
        </w:rPr>
        <w:t>H</w:t>
      </w:r>
      <w:r w:rsidR="00640362" w:rsidRPr="00BC1A30">
        <w:rPr>
          <w:rFonts w:cstheme="minorHAnsi"/>
          <w:szCs w:val="24"/>
        </w:rPr>
        <w:t>yrimoz</w:t>
      </w:r>
      <w:proofErr w:type="spellEnd"/>
      <w:r w:rsidRPr="00BC1A30">
        <w:rPr>
          <w:rFonts w:cstheme="minorHAnsi"/>
          <w:szCs w:val="24"/>
        </w:rPr>
        <w:t xml:space="preserve"> </w:t>
      </w:r>
      <w:r w:rsidR="00DB5D68" w:rsidRPr="00BC1A30">
        <w:rPr>
          <w:rFonts w:cstheme="minorHAnsi"/>
          <w:szCs w:val="24"/>
        </w:rPr>
        <w:t xml:space="preserve">for all </w:t>
      </w:r>
      <w:proofErr w:type="gramStart"/>
      <w:r w:rsidR="00DB5D68" w:rsidRPr="00BC1A30">
        <w:rPr>
          <w:rFonts w:cstheme="minorHAnsi"/>
          <w:szCs w:val="24"/>
        </w:rPr>
        <w:t>indications</w:t>
      </w:r>
      <w:proofErr w:type="gramEnd"/>
      <w:r w:rsidR="00DB5D68" w:rsidRPr="00BC1A30">
        <w:rPr>
          <w:rFonts w:cstheme="minorHAnsi"/>
          <w:szCs w:val="24"/>
        </w:rPr>
        <w:t xml:space="preserve"> </w:t>
      </w:r>
      <w:r w:rsidR="001C491D" w:rsidRPr="00BC1A30">
        <w:rPr>
          <w:rFonts w:cstheme="minorHAnsi"/>
          <w:szCs w:val="24"/>
        </w:rPr>
        <w:t xml:space="preserve">for which the reference brand, </w:t>
      </w:r>
      <w:proofErr w:type="spellStart"/>
      <w:r w:rsidR="001C491D" w:rsidRPr="00BC1A30">
        <w:rPr>
          <w:rFonts w:cstheme="minorHAnsi"/>
          <w:szCs w:val="24"/>
        </w:rPr>
        <w:t>Humira</w:t>
      </w:r>
      <w:proofErr w:type="spellEnd"/>
      <w:r w:rsidR="001C491D" w:rsidRPr="00BC1A30">
        <w:t>®</w:t>
      </w:r>
      <w:r w:rsidR="001C491D" w:rsidRPr="00BC1A30">
        <w:rPr>
          <w:rFonts w:cstheme="minorHAnsi"/>
          <w:szCs w:val="24"/>
        </w:rPr>
        <w:t xml:space="preserve">, is PBS-listed, </w:t>
      </w:r>
      <w:r w:rsidR="00DB5D68" w:rsidRPr="00BC1A30">
        <w:rPr>
          <w:rFonts w:cstheme="minorHAnsi"/>
          <w:szCs w:val="24"/>
        </w:rPr>
        <w:t xml:space="preserve">except </w:t>
      </w:r>
      <w:r w:rsidR="001C491D" w:rsidRPr="00BC1A30">
        <w:rPr>
          <w:rFonts w:cstheme="minorHAnsi"/>
          <w:szCs w:val="24"/>
        </w:rPr>
        <w:t xml:space="preserve">those for </w:t>
      </w:r>
      <w:r w:rsidR="009F7C12" w:rsidRPr="00BC1A30">
        <w:rPr>
          <w:rFonts w:cstheme="minorHAnsi"/>
          <w:szCs w:val="24"/>
        </w:rPr>
        <w:t xml:space="preserve">paediatric </w:t>
      </w:r>
      <w:r w:rsidR="0043131E" w:rsidRPr="00BC1A30">
        <w:rPr>
          <w:rFonts w:cstheme="minorHAnsi"/>
          <w:szCs w:val="24"/>
        </w:rPr>
        <w:t>patients with certain conditions</w:t>
      </w:r>
      <w:r w:rsidR="009F7C12" w:rsidRPr="00BC1A30">
        <w:rPr>
          <w:rFonts w:cstheme="minorHAnsi"/>
          <w:szCs w:val="24"/>
        </w:rPr>
        <w:t xml:space="preserve"> </w:t>
      </w:r>
      <w:r w:rsidR="003E4A4E" w:rsidRPr="00BC1A30">
        <w:t>which require dosing of less than 40 mg</w:t>
      </w:r>
      <w:r w:rsidR="00871ECF" w:rsidRPr="00BC1A30">
        <w:t xml:space="preserve"> (see paragraph 2.3)</w:t>
      </w:r>
      <w:r w:rsidR="005959C5" w:rsidRPr="00BC1A30">
        <w:t>.</w:t>
      </w:r>
      <w:r w:rsidR="003E4A4E" w:rsidRPr="00BC1A30">
        <w:t xml:space="preserve"> </w:t>
      </w:r>
    </w:p>
    <w:p w:rsidR="002B548F" w:rsidRPr="00BC1A30" w:rsidRDefault="002B548F" w:rsidP="00D10FF3">
      <w:pPr>
        <w:pStyle w:val="ListParagraph"/>
        <w:numPr>
          <w:ilvl w:val="1"/>
          <w:numId w:val="1"/>
        </w:numPr>
        <w:jc w:val="both"/>
        <w:rPr>
          <w:rFonts w:asciiTheme="minorHAnsi" w:hAnsiTheme="minorHAnsi" w:cstheme="minorBidi"/>
          <w:szCs w:val="22"/>
        </w:rPr>
      </w:pPr>
      <w:r w:rsidRPr="00BC1A30">
        <w:rPr>
          <w:rFonts w:asciiTheme="minorHAnsi" w:hAnsiTheme="minorHAnsi" w:cstheme="minorBidi"/>
          <w:szCs w:val="22"/>
        </w:rPr>
        <w:t xml:space="preserve">The proposed PBS indications for </w:t>
      </w:r>
      <w:proofErr w:type="spellStart"/>
      <w:r w:rsidRPr="00BC1A30">
        <w:rPr>
          <w:rFonts w:asciiTheme="minorHAnsi" w:hAnsiTheme="minorHAnsi" w:cstheme="minorBidi"/>
          <w:szCs w:val="22"/>
        </w:rPr>
        <w:t>Hyrimoz</w:t>
      </w:r>
      <w:proofErr w:type="spellEnd"/>
      <w:r w:rsidRPr="00BC1A30">
        <w:rPr>
          <w:rFonts w:asciiTheme="minorHAnsi" w:hAnsiTheme="minorHAnsi" w:cstheme="minorBidi"/>
          <w:szCs w:val="22"/>
        </w:rPr>
        <w:t xml:space="preserve"> </w:t>
      </w:r>
      <w:r w:rsidR="00CB179F" w:rsidRPr="00BC1A30">
        <w:rPr>
          <w:rFonts w:asciiTheme="minorHAnsi" w:hAnsiTheme="minorHAnsi" w:cstheme="minorBidi"/>
          <w:szCs w:val="22"/>
        </w:rPr>
        <w:t>we</w:t>
      </w:r>
      <w:r w:rsidR="008D6D5B" w:rsidRPr="00BC1A30">
        <w:rPr>
          <w:rFonts w:asciiTheme="minorHAnsi" w:hAnsiTheme="minorHAnsi" w:cstheme="minorBidi"/>
          <w:szCs w:val="22"/>
        </w:rPr>
        <w:t>re</w:t>
      </w:r>
      <w:r w:rsidRPr="00BC1A30">
        <w:rPr>
          <w:rFonts w:asciiTheme="minorHAnsi" w:hAnsiTheme="minorHAnsi" w:cstheme="minorBidi"/>
          <w:szCs w:val="22"/>
        </w:rPr>
        <w:t xml:space="preserve">: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Severe Crohn disease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Moderate to severe ulcerative colitis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Severe active juvenile idiopathic arthritis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Complex refractory Fistulising Crohn disease</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Severe active rheumatoid arthritis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Severe psoriatic arthritis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Ankylosing spondylitis </w:t>
      </w:r>
    </w:p>
    <w:p w:rsidR="002B548F" w:rsidRPr="00BC1A30" w:rsidRDefault="002B548F"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Severe chronic plaque psoriasis </w:t>
      </w:r>
    </w:p>
    <w:p w:rsidR="006A4D00" w:rsidRPr="00BC1A30" w:rsidRDefault="006A4D00"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Moderate to severe hidradenitis </w:t>
      </w:r>
      <w:proofErr w:type="spellStart"/>
      <w:r w:rsidRPr="00BC1A30">
        <w:rPr>
          <w:rFonts w:asciiTheme="minorHAnsi" w:hAnsiTheme="minorHAnsi" w:cstheme="minorBidi"/>
          <w:szCs w:val="22"/>
        </w:rPr>
        <w:t>suppurativa</w:t>
      </w:r>
      <w:proofErr w:type="spellEnd"/>
    </w:p>
    <w:p w:rsidR="00AA5375" w:rsidRPr="00BC1A30" w:rsidRDefault="00AA5375" w:rsidP="00AA5375">
      <w:pPr>
        <w:pStyle w:val="ListParagraph"/>
        <w:widowControl w:val="0"/>
        <w:spacing w:after="120" w:line="240" w:lineRule="auto"/>
        <w:ind w:left="1440"/>
        <w:jc w:val="both"/>
        <w:rPr>
          <w:rFonts w:asciiTheme="minorHAnsi" w:hAnsiTheme="minorHAnsi" w:cstheme="minorBidi"/>
          <w:szCs w:val="22"/>
        </w:rPr>
      </w:pPr>
    </w:p>
    <w:p w:rsidR="00B828DE" w:rsidRPr="00BC1A30" w:rsidRDefault="00B828DE" w:rsidP="00D10FF3">
      <w:pPr>
        <w:pStyle w:val="ListParagraph"/>
        <w:numPr>
          <w:ilvl w:val="1"/>
          <w:numId w:val="1"/>
        </w:numPr>
        <w:spacing w:line="240" w:lineRule="auto"/>
        <w:jc w:val="both"/>
        <w:rPr>
          <w:rFonts w:asciiTheme="minorHAnsi" w:hAnsiTheme="minorHAnsi" w:cstheme="minorHAnsi"/>
        </w:rPr>
      </w:pPr>
      <w:r w:rsidRPr="00BC1A30">
        <w:rPr>
          <w:rFonts w:asciiTheme="minorHAnsi" w:hAnsiTheme="minorHAnsi" w:cstheme="minorHAnsi"/>
        </w:rPr>
        <w:t xml:space="preserve">The sponsor of </w:t>
      </w:r>
      <w:proofErr w:type="spellStart"/>
      <w:r w:rsidRPr="00BC1A30">
        <w:rPr>
          <w:rFonts w:asciiTheme="minorHAnsi" w:hAnsiTheme="minorHAnsi" w:cstheme="minorHAnsi"/>
        </w:rPr>
        <w:t>Hyrimoz</w:t>
      </w:r>
      <w:proofErr w:type="spellEnd"/>
      <w:r w:rsidRPr="00BC1A30">
        <w:rPr>
          <w:rFonts w:asciiTheme="minorHAnsi" w:hAnsiTheme="minorHAnsi" w:cstheme="minorHAnsi"/>
        </w:rPr>
        <w:t xml:space="preserve"> </w:t>
      </w:r>
      <w:r w:rsidR="0018005C" w:rsidRPr="00BC1A30">
        <w:rPr>
          <w:rFonts w:asciiTheme="minorHAnsi" w:hAnsiTheme="minorHAnsi" w:cstheme="minorHAnsi"/>
        </w:rPr>
        <w:t>did not pursue</w:t>
      </w:r>
      <w:r w:rsidRPr="00BC1A30">
        <w:rPr>
          <w:rFonts w:asciiTheme="minorHAnsi" w:hAnsiTheme="minorHAnsi" w:cstheme="minorHAnsi"/>
        </w:rPr>
        <w:t xml:space="preserve"> PBS listings for the following </w:t>
      </w:r>
      <w:proofErr w:type="spellStart"/>
      <w:r w:rsidRPr="00BC1A30">
        <w:rPr>
          <w:rFonts w:asciiTheme="minorHAnsi" w:hAnsiTheme="minorHAnsi" w:cstheme="minorHAnsi"/>
        </w:rPr>
        <w:t>Humira</w:t>
      </w:r>
      <w:proofErr w:type="spellEnd"/>
      <w:r w:rsidRPr="00BC1A30">
        <w:rPr>
          <w:rFonts w:asciiTheme="minorHAnsi" w:hAnsiTheme="minorHAnsi" w:cstheme="minorHAnsi"/>
        </w:rPr>
        <w:t xml:space="preserve"> indications due to the absence of a </w:t>
      </w:r>
      <w:r w:rsidR="005F79B1" w:rsidRPr="00BC1A30">
        <w:rPr>
          <w:rFonts w:asciiTheme="minorHAnsi" w:hAnsiTheme="minorHAnsi" w:cstheme="minorHAnsi"/>
        </w:rPr>
        <w:t>20 mg/0.4 mL injection</w:t>
      </w:r>
      <w:r w:rsidRPr="00BC1A30">
        <w:rPr>
          <w:rFonts w:asciiTheme="minorHAnsi" w:hAnsiTheme="minorHAnsi" w:cstheme="minorHAnsi"/>
        </w:rPr>
        <w:t xml:space="preserve"> presentation of </w:t>
      </w:r>
      <w:proofErr w:type="spellStart"/>
      <w:r w:rsidRPr="00BC1A30">
        <w:rPr>
          <w:rFonts w:asciiTheme="minorHAnsi" w:hAnsiTheme="minorHAnsi" w:cstheme="minorHAnsi"/>
        </w:rPr>
        <w:t>Hyrimo</w:t>
      </w:r>
      <w:r w:rsidR="00C33B5B" w:rsidRPr="00BC1A30">
        <w:rPr>
          <w:rFonts w:asciiTheme="minorHAnsi" w:hAnsiTheme="minorHAnsi" w:cstheme="minorHAnsi"/>
        </w:rPr>
        <w:t>z</w:t>
      </w:r>
      <w:proofErr w:type="spellEnd"/>
      <w:r w:rsidRPr="00BC1A30">
        <w:rPr>
          <w:rFonts w:asciiTheme="minorHAnsi" w:hAnsiTheme="minorHAnsi" w:cstheme="minorHAnsi"/>
        </w:rPr>
        <w:t>:</w:t>
      </w:r>
    </w:p>
    <w:p w:rsidR="00B828DE" w:rsidRPr="00BC1A30" w:rsidRDefault="00B828D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Paediatric patients with severe Crohn disease: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10389T, 10396E, 10422M) </w:t>
      </w:r>
    </w:p>
    <w:p w:rsidR="00B828DE" w:rsidRPr="00BC1A30" w:rsidRDefault="00B828D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moderate to severe ulcerative colitis: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11121H, 11127P) </w:t>
      </w:r>
    </w:p>
    <w:p w:rsidR="00181971" w:rsidRPr="00BC1A30" w:rsidRDefault="00B828D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severe juvenile idiopathic arthritis: treatment for patients weighing less than 30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9661L, 9678J) </w:t>
      </w:r>
    </w:p>
    <w:p w:rsidR="0018005C" w:rsidRPr="00BC1A30" w:rsidRDefault="00160192" w:rsidP="00D10FF3">
      <w:pPr>
        <w:pStyle w:val="3Bodytext"/>
        <w:numPr>
          <w:ilvl w:val="1"/>
          <w:numId w:val="1"/>
        </w:numPr>
        <w:jc w:val="both"/>
      </w:pPr>
      <w:r w:rsidRPr="00BC1A30">
        <w:t xml:space="preserve">The sponsor included pack sizes of </w:t>
      </w:r>
      <w:proofErr w:type="gramStart"/>
      <w:r w:rsidRPr="00BC1A30">
        <w:t>6</w:t>
      </w:r>
      <w:proofErr w:type="gramEnd"/>
      <w:r w:rsidRPr="00BC1A30">
        <w:t xml:space="preserve"> pre-filled pens/syringes in its requested listings in case this pack size becomes available for </w:t>
      </w:r>
      <w:proofErr w:type="spellStart"/>
      <w:r w:rsidRPr="00BC1A30">
        <w:t>Hyrimoz</w:t>
      </w:r>
      <w:proofErr w:type="spellEnd"/>
      <w:r w:rsidRPr="00BC1A30">
        <w:t>. However, t</w:t>
      </w:r>
      <w:r w:rsidR="00FA77B5" w:rsidRPr="00BC1A30">
        <w:t>he minor submission stated that the sponsor intend</w:t>
      </w:r>
      <w:r w:rsidR="0018005C" w:rsidRPr="00BC1A30">
        <w:t>ed</w:t>
      </w:r>
      <w:r w:rsidR="00FA77B5" w:rsidRPr="00BC1A30">
        <w:t xml:space="preserve"> to supply only the pack size of </w:t>
      </w:r>
      <w:proofErr w:type="gramStart"/>
      <w:r w:rsidR="00FA77B5" w:rsidRPr="00BC1A30">
        <w:t>2</w:t>
      </w:r>
      <w:proofErr w:type="gramEnd"/>
      <w:r w:rsidR="00FA77B5" w:rsidRPr="00BC1A30">
        <w:t xml:space="preserve"> </w:t>
      </w:r>
      <w:r w:rsidRPr="00BC1A30">
        <w:t>pens/</w:t>
      </w:r>
      <w:r w:rsidR="00FA77B5" w:rsidRPr="00BC1A30">
        <w:t xml:space="preserve">syringes. </w:t>
      </w:r>
      <w:r w:rsidR="00FA77B5" w:rsidRPr="00BC1A30">
        <w:lastRenderedPageBreak/>
        <w:t xml:space="preserve">Where </w:t>
      </w:r>
      <w:proofErr w:type="spellStart"/>
      <w:r w:rsidR="00C53A97" w:rsidRPr="00BC1A30">
        <w:t>Humira</w:t>
      </w:r>
      <w:proofErr w:type="spellEnd"/>
      <w:r w:rsidR="00C53A97" w:rsidRPr="00BC1A30">
        <w:t xml:space="preserve"> has </w:t>
      </w:r>
      <w:r w:rsidR="00FA77B5" w:rsidRPr="00BC1A30">
        <w:t xml:space="preserve">pack sizes of </w:t>
      </w:r>
      <w:proofErr w:type="gramStart"/>
      <w:r w:rsidR="00FA77B5" w:rsidRPr="00BC1A30">
        <w:t>4</w:t>
      </w:r>
      <w:proofErr w:type="gramEnd"/>
      <w:r w:rsidR="00FA77B5" w:rsidRPr="00BC1A30">
        <w:t xml:space="preserve"> and 6 </w:t>
      </w:r>
      <w:r w:rsidR="00C53A97" w:rsidRPr="00BC1A30">
        <w:t>listed</w:t>
      </w:r>
      <w:r w:rsidR="00FA77B5" w:rsidRPr="00BC1A30">
        <w:t xml:space="preserve"> for certain treatment phases and conditions, the sponsor has proposed </w:t>
      </w:r>
      <w:r w:rsidR="00C53A97" w:rsidRPr="00BC1A30">
        <w:t xml:space="preserve">listing </w:t>
      </w:r>
      <w:proofErr w:type="spellStart"/>
      <w:r w:rsidR="00C53A97" w:rsidRPr="00BC1A30">
        <w:t>Hyrimoz</w:t>
      </w:r>
      <w:proofErr w:type="spellEnd"/>
      <w:r w:rsidR="00FA77B5" w:rsidRPr="00BC1A30">
        <w:t xml:space="preserve"> with increased maximum quantities </w:t>
      </w:r>
      <w:r w:rsidR="001C78D1" w:rsidRPr="00BC1A30">
        <w:t xml:space="preserve">to provide the same number of injections </w:t>
      </w:r>
      <w:r w:rsidR="00FA77B5" w:rsidRPr="00BC1A30">
        <w:t xml:space="preserve">(i.e. maximum quantities of 2 and 3 in place of </w:t>
      </w:r>
      <w:r w:rsidR="0018005C" w:rsidRPr="00BC1A30">
        <w:t xml:space="preserve">a </w:t>
      </w:r>
      <w:r w:rsidR="00FA77B5" w:rsidRPr="00BC1A30">
        <w:t xml:space="preserve">4-pack and 6-pack, respectively). </w:t>
      </w:r>
    </w:p>
    <w:p w:rsidR="001024A2" w:rsidRPr="00BC1A30" w:rsidRDefault="005E26CA" w:rsidP="00D10FF3">
      <w:pPr>
        <w:pStyle w:val="3Bodytext"/>
        <w:numPr>
          <w:ilvl w:val="1"/>
          <w:numId w:val="1"/>
        </w:numPr>
        <w:jc w:val="both"/>
      </w:pPr>
      <w:r w:rsidRPr="00BC1A30">
        <w:t xml:space="preserve">The submission proposed splitting the continuing treatment restrictions for </w:t>
      </w:r>
      <w:proofErr w:type="spellStart"/>
      <w:r w:rsidRPr="00BC1A30">
        <w:t>Hyrimoz</w:t>
      </w:r>
      <w:proofErr w:type="spellEnd"/>
      <w:r w:rsidRPr="00BC1A30">
        <w:t xml:space="preserve"> into ‘first continuing’ and ‘subsequent continuing’ restrictions</w:t>
      </w:r>
      <w:r w:rsidR="00ED4C9F" w:rsidRPr="00BC1A30">
        <w:t xml:space="preserve">, with ‘first continuing’ scripts to </w:t>
      </w:r>
      <w:r w:rsidR="0082499F" w:rsidRPr="00BC1A30">
        <w:t>be</w:t>
      </w:r>
      <w:r w:rsidR="00ED4C9F" w:rsidRPr="00BC1A30">
        <w:t xml:space="preserve"> written authority </w:t>
      </w:r>
      <w:r w:rsidR="004F0BD9" w:rsidRPr="00BC1A30">
        <w:t xml:space="preserve">(as is the case for </w:t>
      </w:r>
      <w:proofErr w:type="spellStart"/>
      <w:r w:rsidR="004F0BD9" w:rsidRPr="00BC1A30">
        <w:t>Humira</w:t>
      </w:r>
      <w:proofErr w:type="spellEnd"/>
      <w:r w:rsidR="004F0BD9" w:rsidRPr="00BC1A30">
        <w:t xml:space="preserve">) </w:t>
      </w:r>
      <w:r w:rsidR="00ED4C9F" w:rsidRPr="00BC1A30">
        <w:t>and ‘subsequent continuing’ scripts to be streamlined authority</w:t>
      </w:r>
      <w:r w:rsidR="004F0BD9" w:rsidRPr="00BC1A30">
        <w:t xml:space="preserve"> (a lower authority level than </w:t>
      </w:r>
      <w:proofErr w:type="spellStart"/>
      <w:r w:rsidR="004F0BD9" w:rsidRPr="00BC1A30">
        <w:t>Humira</w:t>
      </w:r>
      <w:proofErr w:type="spellEnd"/>
      <w:r w:rsidR="004F0BD9" w:rsidRPr="00BC1A30">
        <w:t>)</w:t>
      </w:r>
      <w:r w:rsidR="004270F0" w:rsidRPr="00BC1A30">
        <w:t xml:space="preserve">. </w:t>
      </w:r>
      <w:r w:rsidRPr="00BC1A30">
        <w:t>This is in line with</w:t>
      </w:r>
      <w:r w:rsidR="00ED4C9F" w:rsidRPr="00BC1A30">
        <w:t xml:space="preserve"> one of the biosimilar uptake drivers in the Government’s Biosimilar Awareness Initiative, which recommends that a lower level of authority </w:t>
      </w:r>
      <w:proofErr w:type="gramStart"/>
      <w:r w:rsidR="00ED4C9F" w:rsidRPr="00BC1A30">
        <w:t>be applied</w:t>
      </w:r>
      <w:proofErr w:type="gramEnd"/>
      <w:r w:rsidR="00ED4C9F" w:rsidRPr="00BC1A30">
        <w:t xml:space="preserve"> to biosimilar brands to encourage uptake by prescribers. At its Jul</w:t>
      </w:r>
      <w:r w:rsidR="004270F0" w:rsidRPr="00BC1A30">
        <w:t>y</w:t>
      </w:r>
      <w:r w:rsidR="00ED4C9F" w:rsidRPr="00BC1A30">
        <w:t xml:space="preserve"> 2018 meeting, </w:t>
      </w:r>
      <w:r w:rsidRPr="00BC1A30">
        <w:t>the PBAC recommend</w:t>
      </w:r>
      <w:r w:rsidR="004270F0" w:rsidRPr="00BC1A30">
        <w:t>ed</w:t>
      </w:r>
      <w:r w:rsidRPr="00BC1A30">
        <w:t xml:space="preserve"> </w:t>
      </w:r>
      <w:r w:rsidR="00A12CCC" w:rsidRPr="00BC1A30">
        <w:t>to list</w:t>
      </w:r>
      <w:r w:rsidRPr="00BC1A30">
        <w:t xml:space="preserve"> two other biosimilar brands of </w:t>
      </w:r>
      <w:proofErr w:type="spellStart"/>
      <w:r w:rsidRPr="00BC1A30">
        <w:t>adalimumab</w:t>
      </w:r>
      <w:proofErr w:type="spellEnd"/>
      <w:r w:rsidRPr="00BC1A30">
        <w:t xml:space="preserve">, </w:t>
      </w:r>
      <w:proofErr w:type="spellStart"/>
      <w:r w:rsidRPr="00BC1A30">
        <w:t>Amgevita</w:t>
      </w:r>
      <w:proofErr w:type="spellEnd"/>
      <w:r w:rsidRPr="00BC1A30">
        <w:t xml:space="preserve"> and </w:t>
      </w:r>
      <w:proofErr w:type="spellStart"/>
      <w:r w:rsidRPr="00BC1A30">
        <w:t>Hadlima</w:t>
      </w:r>
      <w:proofErr w:type="spellEnd"/>
      <w:r w:rsidR="005C6A6F" w:rsidRPr="00BC1A30">
        <w:t>, with the same biosimilar uptake driver applied</w:t>
      </w:r>
      <w:r w:rsidRPr="00BC1A30">
        <w:t xml:space="preserve"> (</w:t>
      </w:r>
      <w:r w:rsidR="00A12CCC" w:rsidRPr="00BC1A30">
        <w:t>item</w:t>
      </w:r>
      <w:r w:rsidR="005C6A6F" w:rsidRPr="00BC1A30">
        <w:t>s 5.12 and</w:t>
      </w:r>
      <w:r w:rsidR="00AC0BFA" w:rsidRPr="00BC1A30">
        <w:t xml:space="preserve"> 5.13</w:t>
      </w:r>
      <w:r w:rsidR="00A12CCC" w:rsidRPr="00BC1A30">
        <w:t>,</w:t>
      </w:r>
      <w:r w:rsidR="00AC0BFA" w:rsidRPr="00BC1A30">
        <w:t xml:space="preserve"> July 2018 </w:t>
      </w:r>
      <w:r w:rsidR="00920A65">
        <w:t>Public Summary Document (PSD)</w:t>
      </w:r>
      <w:r w:rsidR="00AC0BFA" w:rsidRPr="00BC1A30">
        <w:t>).</w:t>
      </w:r>
      <w:r w:rsidR="005C6A6F" w:rsidRPr="00BC1A30">
        <w:t xml:space="preserve"> </w:t>
      </w:r>
      <w:r w:rsidR="00AC0BFA" w:rsidRPr="00BC1A30">
        <w:t xml:space="preserve">The </w:t>
      </w:r>
      <w:r w:rsidR="003E4A4E" w:rsidRPr="00BC1A30">
        <w:t xml:space="preserve">minor submission proposed that </w:t>
      </w:r>
      <w:r w:rsidR="00AC0BFA" w:rsidRPr="00BC1A30">
        <w:t xml:space="preserve">initial restrictions </w:t>
      </w:r>
      <w:r w:rsidR="003E4A4E" w:rsidRPr="00BC1A30">
        <w:t>should</w:t>
      </w:r>
      <w:r w:rsidR="00AC0BFA" w:rsidRPr="00BC1A30">
        <w:t xml:space="preserve"> remain written authorities for both </w:t>
      </w:r>
      <w:proofErr w:type="spellStart"/>
      <w:r w:rsidR="005C6A6F" w:rsidRPr="00BC1A30">
        <w:t>Hyrimoz</w:t>
      </w:r>
      <w:proofErr w:type="spellEnd"/>
      <w:r w:rsidR="005C6A6F" w:rsidRPr="00BC1A30">
        <w:t xml:space="preserve"> and </w:t>
      </w:r>
      <w:proofErr w:type="spellStart"/>
      <w:r w:rsidR="005C6A6F" w:rsidRPr="00BC1A30">
        <w:t>Humira</w:t>
      </w:r>
      <w:proofErr w:type="spellEnd"/>
      <w:r w:rsidR="00AC0BFA" w:rsidRPr="00BC1A30">
        <w:t>.</w:t>
      </w:r>
    </w:p>
    <w:p w:rsidR="001024A2" w:rsidRPr="00BC1A30" w:rsidRDefault="001024A2" w:rsidP="001024A2">
      <w:pPr>
        <w:pStyle w:val="ListParagraph"/>
        <w:ind w:left="709"/>
        <w:jc w:val="both"/>
        <w:rPr>
          <w:rFonts w:asciiTheme="minorHAnsi" w:hAnsiTheme="minorHAnsi"/>
          <w:i/>
        </w:rPr>
      </w:pPr>
      <w:r w:rsidRPr="00BC1A30">
        <w:rPr>
          <w:rFonts w:asciiTheme="minorHAnsi" w:hAnsiTheme="minorHAnsi"/>
          <w:i/>
        </w:rPr>
        <w:t>For more detail on PBAC’s view, see section 6 PBAC outcome.</w:t>
      </w:r>
    </w:p>
    <w:p w:rsidR="00BB5969" w:rsidRPr="00BC1A30" w:rsidRDefault="00BB5969" w:rsidP="00D10FF3">
      <w:pPr>
        <w:pStyle w:val="2Sections"/>
        <w:numPr>
          <w:ilvl w:val="0"/>
          <w:numId w:val="1"/>
        </w:numPr>
        <w:jc w:val="both"/>
      </w:pPr>
      <w:r w:rsidRPr="00BC1A30">
        <w:t xml:space="preserve">Background </w:t>
      </w:r>
    </w:p>
    <w:p w:rsidR="0018005C" w:rsidRPr="00F203CA" w:rsidRDefault="00BB5969" w:rsidP="007C1065">
      <w:pPr>
        <w:pStyle w:val="4-SubsectionHeading"/>
        <w:rPr>
          <w:rFonts w:eastAsiaTheme="minorHAnsi"/>
          <w:i w:val="0"/>
        </w:rPr>
      </w:pPr>
      <w:r w:rsidRPr="007C1065">
        <w:rPr>
          <w:color w:val="auto"/>
        </w:rPr>
        <w:t>Registration status</w:t>
      </w:r>
    </w:p>
    <w:p w:rsidR="00F203CA" w:rsidRPr="00F203CA" w:rsidRDefault="00BB5969" w:rsidP="00D10FF3">
      <w:pPr>
        <w:pStyle w:val="ListParagraph"/>
        <w:numPr>
          <w:ilvl w:val="1"/>
          <w:numId w:val="1"/>
        </w:numPr>
        <w:spacing w:after="120" w:line="240" w:lineRule="auto"/>
        <w:contextualSpacing w:val="0"/>
        <w:rPr>
          <w:rFonts w:asciiTheme="minorHAnsi" w:hAnsiTheme="minorHAnsi" w:cstheme="minorHAnsi"/>
        </w:rPr>
      </w:pPr>
      <w:proofErr w:type="spellStart"/>
      <w:r w:rsidRPr="00F203CA">
        <w:rPr>
          <w:rFonts w:asciiTheme="minorHAnsi" w:hAnsiTheme="minorHAnsi" w:cstheme="minorHAnsi"/>
        </w:rPr>
        <w:t>Hyrimoz</w:t>
      </w:r>
      <w:proofErr w:type="spellEnd"/>
      <w:r w:rsidRPr="00F203CA">
        <w:rPr>
          <w:rFonts w:asciiTheme="minorHAnsi" w:hAnsiTheme="minorHAnsi" w:cstheme="minorHAnsi"/>
        </w:rPr>
        <w:t xml:space="preserve"> was TGA approved on 23 August 2018, and was determined to be a biosimilar to the reference brand </w:t>
      </w:r>
      <w:proofErr w:type="spellStart"/>
      <w:r w:rsidRPr="00F203CA">
        <w:rPr>
          <w:rFonts w:asciiTheme="minorHAnsi" w:hAnsiTheme="minorHAnsi" w:cstheme="minorHAnsi"/>
        </w:rPr>
        <w:t>Humira</w:t>
      </w:r>
      <w:proofErr w:type="spellEnd"/>
      <w:r w:rsidRPr="00F203CA">
        <w:rPr>
          <w:rFonts w:asciiTheme="minorHAnsi" w:hAnsiTheme="minorHAnsi" w:cstheme="minorHAnsi"/>
        </w:rPr>
        <w:t xml:space="preserve">. </w:t>
      </w:r>
    </w:p>
    <w:p w:rsidR="00BB5969" w:rsidRPr="007C1065" w:rsidRDefault="00BB5969" w:rsidP="007C1065">
      <w:pPr>
        <w:pStyle w:val="4-SubsectionHeading"/>
        <w:rPr>
          <w:color w:val="auto"/>
        </w:rPr>
      </w:pPr>
      <w:r w:rsidRPr="007C1065">
        <w:rPr>
          <w:color w:val="auto"/>
        </w:rPr>
        <w:t>Previous PBAC consideration</w:t>
      </w:r>
    </w:p>
    <w:p w:rsidR="0018005C" w:rsidRPr="00BC1A30" w:rsidRDefault="00BB5969" w:rsidP="00D10FF3">
      <w:pPr>
        <w:pStyle w:val="3Bodytext"/>
        <w:numPr>
          <w:ilvl w:val="1"/>
          <w:numId w:val="1"/>
        </w:numPr>
        <w:jc w:val="both"/>
      </w:pPr>
      <w:r w:rsidRPr="00BC1A30">
        <w:t xml:space="preserve">This is the first PBAC submission for this biosimilar brand of </w:t>
      </w:r>
      <w:proofErr w:type="spellStart"/>
      <w:r w:rsidRPr="00BC1A30">
        <w:t>adalimumab</w:t>
      </w:r>
      <w:proofErr w:type="spellEnd"/>
      <w:r w:rsidRPr="00BC1A30">
        <w:t xml:space="preserve">. </w:t>
      </w:r>
    </w:p>
    <w:p w:rsidR="00F203CA" w:rsidRPr="00BC1A30" w:rsidRDefault="00BB5969" w:rsidP="0019465C">
      <w:pPr>
        <w:pStyle w:val="3Bodytext"/>
        <w:numPr>
          <w:ilvl w:val="1"/>
          <w:numId w:val="1"/>
        </w:numPr>
        <w:jc w:val="both"/>
      </w:pPr>
      <w:r w:rsidRPr="00BC1A30">
        <w:t xml:space="preserve">At its July 2018 meeting, the PBAC recommended two other biosimilar brands of </w:t>
      </w:r>
      <w:proofErr w:type="spellStart"/>
      <w:r w:rsidRPr="00BC1A30">
        <w:t>adalimumab</w:t>
      </w:r>
      <w:proofErr w:type="spellEnd"/>
      <w:r w:rsidRPr="00BC1A30">
        <w:t xml:space="preserve">, </w:t>
      </w:r>
      <w:proofErr w:type="spellStart"/>
      <w:r w:rsidRPr="00BC1A30">
        <w:t>Hadlima</w:t>
      </w:r>
      <w:proofErr w:type="spellEnd"/>
      <w:r w:rsidRPr="00BC1A30">
        <w:t xml:space="preserve"> and </w:t>
      </w:r>
      <w:proofErr w:type="spellStart"/>
      <w:r w:rsidRPr="00BC1A30">
        <w:t>Amgevita</w:t>
      </w:r>
      <w:proofErr w:type="spellEnd"/>
      <w:r w:rsidRPr="00BC1A30">
        <w:t>, for listing on the PBS. As of February</w:t>
      </w:r>
      <w:r w:rsidR="0018005C" w:rsidRPr="00BC1A30">
        <w:t xml:space="preserve"> 2020, neither of these brands </w:t>
      </w:r>
      <w:proofErr w:type="gramStart"/>
      <w:r w:rsidR="0018005C" w:rsidRPr="00BC1A30">
        <w:t>wa</w:t>
      </w:r>
      <w:r w:rsidRPr="00BC1A30">
        <w:t>s listed</w:t>
      </w:r>
      <w:proofErr w:type="gramEnd"/>
      <w:r w:rsidRPr="00BC1A30">
        <w:t xml:space="preserve"> on the PBS.</w:t>
      </w:r>
    </w:p>
    <w:p w:rsidR="00BB5969" w:rsidRPr="00BC1A30" w:rsidRDefault="00BB5969" w:rsidP="00BB5969">
      <w:pPr>
        <w:pStyle w:val="ListParagraph"/>
        <w:ind w:left="709"/>
        <w:jc w:val="both"/>
        <w:rPr>
          <w:rFonts w:asciiTheme="minorHAnsi" w:hAnsiTheme="minorHAnsi"/>
          <w:i/>
        </w:rPr>
      </w:pPr>
      <w:r w:rsidRPr="00BC1A30">
        <w:rPr>
          <w:rFonts w:asciiTheme="minorHAnsi" w:hAnsiTheme="minorHAnsi"/>
          <w:i/>
        </w:rPr>
        <w:t>For more detail on PBAC’s view, see section 6 PBAC outcome.</w:t>
      </w:r>
    </w:p>
    <w:p w:rsidR="00831D2D" w:rsidRPr="00BC1A30" w:rsidRDefault="00831D2D" w:rsidP="00D10FF3">
      <w:pPr>
        <w:pStyle w:val="2Sections"/>
        <w:numPr>
          <w:ilvl w:val="0"/>
          <w:numId w:val="1"/>
        </w:numPr>
        <w:rPr>
          <w:color w:val="FF0000"/>
        </w:rPr>
      </w:pPr>
      <w:r w:rsidRPr="00BC1A30">
        <w:t>Comparator</w:t>
      </w:r>
    </w:p>
    <w:p w:rsidR="001024A2" w:rsidRPr="0019465C" w:rsidRDefault="00831D2D" w:rsidP="0019465C">
      <w:pPr>
        <w:pStyle w:val="3Bodytext"/>
        <w:numPr>
          <w:ilvl w:val="1"/>
          <w:numId w:val="1"/>
        </w:numPr>
        <w:jc w:val="both"/>
      </w:pPr>
      <w:r w:rsidRPr="00BC1A30">
        <w:t xml:space="preserve">The minor submission nominated the reference brand of </w:t>
      </w:r>
      <w:proofErr w:type="spellStart"/>
      <w:r w:rsidRPr="00BC1A30">
        <w:t>adalimumab</w:t>
      </w:r>
      <w:proofErr w:type="spellEnd"/>
      <w:r w:rsidRPr="00BC1A30">
        <w:t xml:space="preserve">, </w:t>
      </w:r>
      <w:proofErr w:type="spellStart"/>
      <w:r w:rsidRPr="00BC1A30">
        <w:t>Humira</w:t>
      </w:r>
      <w:proofErr w:type="spellEnd"/>
      <w:r w:rsidRPr="00BC1A30">
        <w:t>, as the main comparator, which was appropriate.</w:t>
      </w:r>
    </w:p>
    <w:p w:rsidR="001024A2" w:rsidRPr="00BC1A30" w:rsidRDefault="001024A2" w:rsidP="001024A2">
      <w:pPr>
        <w:pStyle w:val="ListParagraph"/>
        <w:ind w:left="709"/>
        <w:jc w:val="both"/>
        <w:rPr>
          <w:rFonts w:asciiTheme="minorHAnsi" w:hAnsiTheme="minorHAnsi"/>
          <w:i/>
        </w:rPr>
      </w:pPr>
      <w:r w:rsidRPr="00BC1A30">
        <w:rPr>
          <w:rFonts w:asciiTheme="minorHAnsi" w:hAnsiTheme="minorHAnsi"/>
          <w:i/>
        </w:rPr>
        <w:t>For more detail on PBAC’s view, see section 6 PBAC outcome.</w:t>
      </w:r>
    </w:p>
    <w:p w:rsidR="00AD1922" w:rsidRPr="00BC1A30" w:rsidRDefault="00DB0651" w:rsidP="00D10FF3">
      <w:pPr>
        <w:pStyle w:val="Heading1"/>
        <w:keepNext/>
        <w:keepLines/>
        <w:widowControl/>
        <w:numPr>
          <w:ilvl w:val="0"/>
          <w:numId w:val="1"/>
        </w:numPr>
        <w:spacing w:before="240" w:after="120"/>
        <w:ind w:left="709" w:hanging="709"/>
        <w:contextualSpacing w:val="0"/>
        <w:rPr>
          <w:rFonts w:asciiTheme="minorHAnsi" w:hAnsiTheme="minorHAnsi"/>
          <w:sz w:val="32"/>
          <w:szCs w:val="32"/>
        </w:rPr>
      </w:pPr>
      <w:r w:rsidRPr="00BC1A30">
        <w:rPr>
          <w:rFonts w:asciiTheme="minorHAnsi" w:hAnsiTheme="minorHAnsi"/>
          <w:sz w:val="32"/>
          <w:szCs w:val="32"/>
        </w:rPr>
        <w:t>Consideration of the evidence</w:t>
      </w:r>
    </w:p>
    <w:p w:rsidR="001024A2" w:rsidRPr="007C1065" w:rsidRDefault="001024A2" w:rsidP="007C1065">
      <w:pPr>
        <w:pStyle w:val="4-SubsectionHeading"/>
        <w:rPr>
          <w:color w:val="auto"/>
        </w:rPr>
      </w:pPr>
      <w:r w:rsidRPr="007C1065">
        <w:rPr>
          <w:color w:val="auto"/>
        </w:rPr>
        <w:t>Sponsor hearing</w:t>
      </w:r>
    </w:p>
    <w:p w:rsidR="001024A2" w:rsidRPr="00BC1A30" w:rsidRDefault="001024A2" w:rsidP="00D10FF3">
      <w:pPr>
        <w:widowControl w:val="0"/>
        <w:numPr>
          <w:ilvl w:val="1"/>
          <w:numId w:val="1"/>
        </w:numPr>
        <w:spacing w:after="120" w:line="240" w:lineRule="auto"/>
        <w:jc w:val="both"/>
        <w:rPr>
          <w:rFonts w:asciiTheme="minorHAnsi" w:hAnsiTheme="minorHAnsi" w:cs="Arial"/>
          <w:bCs/>
          <w:snapToGrid w:val="0"/>
        </w:rPr>
      </w:pPr>
      <w:r w:rsidRPr="00BC1A30">
        <w:rPr>
          <w:rFonts w:asciiTheme="minorHAnsi" w:hAnsiTheme="minorHAnsi" w:cs="Arial"/>
          <w:bCs/>
          <w:snapToGrid w:val="0"/>
        </w:rPr>
        <w:t>There was no hearing for this item as it was a minor submission.</w:t>
      </w:r>
    </w:p>
    <w:p w:rsidR="001024A2" w:rsidRPr="007C1065" w:rsidRDefault="001024A2" w:rsidP="007C1065">
      <w:pPr>
        <w:pStyle w:val="4-SubsectionHeading"/>
        <w:rPr>
          <w:color w:val="auto"/>
        </w:rPr>
      </w:pPr>
      <w:r w:rsidRPr="007C1065">
        <w:rPr>
          <w:color w:val="auto"/>
        </w:rPr>
        <w:lastRenderedPageBreak/>
        <w:t>Consumer comments</w:t>
      </w:r>
    </w:p>
    <w:p w:rsidR="009D02E2" w:rsidRPr="00BC1A30" w:rsidRDefault="001024A2" w:rsidP="00D10FF3">
      <w:pPr>
        <w:widowControl w:val="0"/>
        <w:numPr>
          <w:ilvl w:val="1"/>
          <w:numId w:val="1"/>
        </w:numPr>
        <w:spacing w:after="120" w:line="240" w:lineRule="auto"/>
        <w:jc w:val="both"/>
        <w:rPr>
          <w:rFonts w:asciiTheme="minorHAnsi" w:hAnsiTheme="minorHAnsi" w:cs="Arial"/>
          <w:bCs/>
          <w:snapToGrid w:val="0"/>
        </w:rPr>
      </w:pPr>
      <w:r w:rsidRPr="00BC1A30">
        <w:rPr>
          <w:rFonts w:asciiTheme="minorHAnsi" w:hAnsiTheme="minorHAnsi" w:cs="Arial"/>
          <w:bCs/>
          <w:snapToGrid w:val="0"/>
        </w:rPr>
        <w:t xml:space="preserve">The PBAC noted </w:t>
      </w:r>
      <w:r w:rsidR="00380D78" w:rsidRPr="00BC1A30">
        <w:rPr>
          <w:rFonts w:asciiTheme="minorHAnsi" w:hAnsiTheme="minorHAnsi" w:cs="Arial"/>
          <w:bCs/>
          <w:snapToGrid w:val="0"/>
        </w:rPr>
        <w:t xml:space="preserve">and welcomed </w:t>
      </w:r>
      <w:r w:rsidRPr="00BC1A30">
        <w:rPr>
          <w:rFonts w:asciiTheme="minorHAnsi" w:hAnsiTheme="minorHAnsi" w:cs="Arial"/>
          <w:bCs/>
          <w:snapToGrid w:val="0"/>
        </w:rPr>
        <w:t xml:space="preserve">the </w:t>
      </w:r>
      <w:r w:rsidR="001B08D5" w:rsidRPr="00BC1A30">
        <w:rPr>
          <w:rFonts w:asciiTheme="minorHAnsi" w:hAnsiTheme="minorHAnsi" w:cs="Arial"/>
          <w:bCs/>
          <w:snapToGrid w:val="0"/>
        </w:rPr>
        <w:t>comments</w:t>
      </w:r>
      <w:r w:rsidRPr="00BC1A30">
        <w:rPr>
          <w:rFonts w:asciiTheme="minorHAnsi" w:hAnsiTheme="minorHAnsi" w:cs="Arial"/>
          <w:bCs/>
          <w:snapToGrid w:val="0"/>
        </w:rPr>
        <w:t xml:space="preserve"> received from </w:t>
      </w:r>
      <w:r w:rsidR="00B01D73" w:rsidRPr="00BC1A30">
        <w:rPr>
          <w:rFonts w:asciiTheme="minorHAnsi" w:hAnsiTheme="minorHAnsi" w:cs="Arial"/>
          <w:bCs/>
          <w:snapToGrid w:val="0"/>
        </w:rPr>
        <w:t xml:space="preserve">Crohn’s &amp; Colitis Australia </w:t>
      </w:r>
      <w:r w:rsidR="00135A1B" w:rsidRPr="00BC1A30">
        <w:rPr>
          <w:rFonts w:asciiTheme="minorHAnsi" w:hAnsiTheme="minorHAnsi" w:cs="Arial"/>
          <w:bCs/>
          <w:snapToGrid w:val="0"/>
        </w:rPr>
        <w:t>(CCA)</w:t>
      </w:r>
      <w:r w:rsidR="00BC1A30">
        <w:rPr>
          <w:rFonts w:asciiTheme="minorHAnsi" w:hAnsiTheme="minorHAnsi" w:cs="Arial"/>
          <w:bCs/>
          <w:snapToGrid w:val="0"/>
        </w:rPr>
        <w:t xml:space="preserve">. </w:t>
      </w:r>
      <w:r w:rsidRPr="00BC1A30">
        <w:rPr>
          <w:rFonts w:asciiTheme="minorHAnsi" w:hAnsiTheme="minorHAnsi" w:cs="Arial"/>
          <w:bCs/>
          <w:snapToGrid w:val="0"/>
        </w:rPr>
        <w:t xml:space="preserve">The </w:t>
      </w:r>
      <w:r w:rsidR="00380D78" w:rsidRPr="00BC1A30">
        <w:rPr>
          <w:rFonts w:asciiTheme="minorHAnsi" w:hAnsiTheme="minorHAnsi" w:cs="Arial"/>
          <w:bCs/>
          <w:snapToGrid w:val="0"/>
        </w:rPr>
        <w:t xml:space="preserve">CCA </w:t>
      </w:r>
      <w:r w:rsidR="00135A1B" w:rsidRPr="00BC1A30">
        <w:rPr>
          <w:rFonts w:asciiTheme="minorHAnsi" w:hAnsiTheme="minorHAnsi" w:cs="Arial"/>
          <w:bCs/>
          <w:snapToGrid w:val="0"/>
        </w:rPr>
        <w:t>advised that</w:t>
      </w:r>
      <w:r w:rsidR="001B08D5" w:rsidRPr="00BC1A30">
        <w:rPr>
          <w:rFonts w:asciiTheme="minorHAnsi" w:hAnsiTheme="minorHAnsi" w:cs="Arial"/>
          <w:bCs/>
          <w:snapToGrid w:val="0"/>
        </w:rPr>
        <w:t xml:space="preserve"> an</w:t>
      </w:r>
      <w:r w:rsidR="00135A1B" w:rsidRPr="00BC1A30">
        <w:rPr>
          <w:rFonts w:asciiTheme="minorHAnsi" w:hAnsiTheme="minorHAnsi" w:cs="Arial"/>
          <w:bCs/>
          <w:snapToGrid w:val="0"/>
        </w:rPr>
        <w:t xml:space="preserve"> </w:t>
      </w:r>
      <w:r w:rsidR="00866079" w:rsidRPr="00BC1A30">
        <w:rPr>
          <w:rFonts w:asciiTheme="minorHAnsi" w:hAnsiTheme="minorHAnsi" w:cs="Arial"/>
          <w:bCs/>
          <w:snapToGrid w:val="0"/>
        </w:rPr>
        <w:t>individual patient</w:t>
      </w:r>
      <w:r w:rsidR="001B08D5" w:rsidRPr="00BC1A30">
        <w:rPr>
          <w:rFonts w:asciiTheme="minorHAnsi" w:hAnsiTheme="minorHAnsi" w:cs="Arial"/>
          <w:bCs/>
          <w:snapToGrid w:val="0"/>
        </w:rPr>
        <w:t xml:space="preserve"> had </w:t>
      </w:r>
      <w:r w:rsidR="00A4449A" w:rsidRPr="00BC1A30">
        <w:rPr>
          <w:rFonts w:asciiTheme="minorHAnsi" w:hAnsiTheme="minorHAnsi" w:cs="Arial"/>
          <w:bCs/>
          <w:snapToGrid w:val="0"/>
        </w:rPr>
        <w:t xml:space="preserve">reported reduced pain and irritation </w:t>
      </w:r>
      <w:r w:rsidR="00CE0A50" w:rsidRPr="00BC1A30">
        <w:rPr>
          <w:rFonts w:asciiTheme="minorHAnsi" w:hAnsiTheme="minorHAnsi" w:cs="Arial"/>
          <w:bCs/>
          <w:snapToGrid w:val="0"/>
        </w:rPr>
        <w:t>while using</w:t>
      </w:r>
      <w:r w:rsidR="00A4449A" w:rsidRPr="00BC1A30">
        <w:rPr>
          <w:rFonts w:asciiTheme="minorHAnsi" w:hAnsiTheme="minorHAnsi" w:cs="Arial"/>
          <w:bCs/>
          <w:snapToGrid w:val="0"/>
        </w:rPr>
        <w:t xml:space="preserve"> another</w:t>
      </w:r>
      <w:r w:rsidR="001B08D5" w:rsidRPr="00BC1A30">
        <w:rPr>
          <w:rFonts w:asciiTheme="minorHAnsi" w:hAnsiTheme="minorHAnsi" w:cs="Arial"/>
          <w:bCs/>
          <w:snapToGrid w:val="0"/>
        </w:rPr>
        <w:t xml:space="preserve"> biosimilar brand</w:t>
      </w:r>
      <w:r w:rsidR="00866079" w:rsidRPr="00BC1A30">
        <w:rPr>
          <w:rFonts w:asciiTheme="minorHAnsi" w:hAnsiTheme="minorHAnsi" w:cs="Arial"/>
          <w:bCs/>
          <w:snapToGrid w:val="0"/>
        </w:rPr>
        <w:t xml:space="preserve"> </w:t>
      </w:r>
      <w:r w:rsidR="00A4449A" w:rsidRPr="00BC1A30">
        <w:rPr>
          <w:rFonts w:asciiTheme="minorHAnsi" w:hAnsiTheme="minorHAnsi" w:cs="Arial"/>
          <w:bCs/>
          <w:snapToGrid w:val="0"/>
        </w:rPr>
        <w:t>compared to</w:t>
      </w:r>
      <w:r w:rsidR="00866079" w:rsidRPr="00BC1A30">
        <w:rPr>
          <w:rFonts w:asciiTheme="minorHAnsi" w:hAnsiTheme="minorHAnsi" w:cs="Arial"/>
          <w:bCs/>
          <w:snapToGrid w:val="0"/>
        </w:rPr>
        <w:t xml:space="preserve"> </w:t>
      </w:r>
      <w:r w:rsidR="001B08D5" w:rsidRPr="00BC1A30">
        <w:rPr>
          <w:rFonts w:asciiTheme="minorHAnsi" w:hAnsiTheme="minorHAnsi" w:cs="Arial"/>
          <w:bCs/>
          <w:snapToGrid w:val="0"/>
        </w:rPr>
        <w:t xml:space="preserve">the originator brand </w:t>
      </w:r>
      <w:proofErr w:type="spellStart"/>
      <w:r w:rsidR="001B08D5" w:rsidRPr="00BC1A30">
        <w:rPr>
          <w:rFonts w:asciiTheme="minorHAnsi" w:hAnsiTheme="minorHAnsi" w:cs="Arial"/>
          <w:bCs/>
          <w:snapToGrid w:val="0"/>
        </w:rPr>
        <w:t>Humira</w:t>
      </w:r>
      <w:proofErr w:type="spellEnd"/>
      <w:r w:rsidR="001B08D5" w:rsidRPr="00BC1A30">
        <w:rPr>
          <w:rFonts w:asciiTheme="minorHAnsi" w:hAnsiTheme="minorHAnsi" w:cs="Arial"/>
          <w:bCs/>
          <w:snapToGrid w:val="0"/>
        </w:rPr>
        <w:t>.</w:t>
      </w:r>
      <w:r w:rsidR="00F17E12" w:rsidRPr="00BC1A30">
        <w:rPr>
          <w:rFonts w:asciiTheme="minorHAnsi" w:hAnsiTheme="minorHAnsi" w:cs="Arial"/>
          <w:bCs/>
          <w:snapToGrid w:val="0"/>
        </w:rPr>
        <w:t xml:space="preserve"> </w:t>
      </w:r>
    </w:p>
    <w:p w:rsidR="0086397E" w:rsidRPr="007C1065" w:rsidRDefault="0086397E" w:rsidP="007C1065">
      <w:pPr>
        <w:pStyle w:val="4-SubsectionHeading"/>
        <w:rPr>
          <w:color w:val="auto"/>
        </w:rPr>
      </w:pPr>
      <w:r w:rsidRPr="007C1065">
        <w:rPr>
          <w:color w:val="auto"/>
        </w:rPr>
        <w:t xml:space="preserve">Clinical trials </w:t>
      </w:r>
    </w:p>
    <w:p w:rsidR="00B7148B" w:rsidRPr="00BC1A30" w:rsidRDefault="0086397E" w:rsidP="00D10FF3">
      <w:pPr>
        <w:pStyle w:val="3Bodytext"/>
        <w:numPr>
          <w:ilvl w:val="1"/>
          <w:numId w:val="1"/>
        </w:numPr>
        <w:jc w:val="both"/>
      </w:pPr>
      <w:r w:rsidRPr="00BC1A30">
        <w:t xml:space="preserve">As this was a minor </w:t>
      </w:r>
      <w:r w:rsidR="00840098" w:rsidRPr="00BC1A30">
        <w:t>submission</w:t>
      </w:r>
      <w:r w:rsidRPr="00BC1A30">
        <w:t xml:space="preserve">, no evaluation of the </w:t>
      </w:r>
      <w:r w:rsidR="00840098" w:rsidRPr="00BC1A30">
        <w:t>clinical</w:t>
      </w:r>
      <w:r w:rsidRPr="00BC1A30">
        <w:t xml:space="preserve"> evidence was undertaken. </w:t>
      </w:r>
    </w:p>
    <w:p w:rsidR="0096177E" w:rsidRPr="00BC1A30" w:rsidRDefault="0096177E" w:rsidP="00D10FF3">
      <w:pPr>
        <w:pStyle w:val="3Bodytext"/>
        <w:numPr>
          <w:ilvl w:val="1"/>
          <w:numId w:val="1"/>
        </w:numPr>
        <w:jc w:val="both"/>
      </w:pPr>
      <w:r w:rsidRPr="00BC1A30">
        <w:t xml:space="preserve">Details of the studies presented in the submission </w:t>
      </w:r>
      <w:proofErr w:type="gramStart"/>
      <w:r w:rsidRPr="00BC1A30">
        <w:t>are provided</w:t>
      </w:r>
      <w:proofErr w:type="gramEnd"/>
      <w:r w:rsidRPr="00BC1A30">
        <w:t xml:space="preserve"> in the table below. </w:t>
      </w:r>
    </w:p>
    <w:p w:rsidR="00CC3384" w:rsidRPr="00BC1A30" w:rsidRDefault="00B7148B" w:rsidP="004F2BD2">
      <w:pPr>
        <w:spacing w:after="0" w:line="240" w:lineRule="auto"/>
        <w:jc w:val="both"/>
        <w:rPr>
          <w:rFonts w:ascii="Arial Narrow" w:hAnsi="Arial Narrow" w:cstheme="minorHAnsi"/>
          <w:b/>
          <w:bCs/>
          <w:sz w:val="20"/>
          <w:szCs w:val="20"/>
        </w:rPr>
      </w:pPr>
      <w:r w:rsidRPr="00BC1A30">
        <w:rPr>
          <w:rFonts w:ascii="Arial Narrow" w:hAnsi="Arial Narrow" w:cstheme="minorHAnsi"/>
          <w:b/>
          <w:bCs/>
          <w:sz w:val="20"/>
          <w:szCs w:val="20"/>
        </w:rPr>
        <w:t>Table 1. Studies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959"/>
        <w:gridCol w:w="1777"/>
      </w:tblGrid>
      <w:tr w:rsidR="0000754C" w:rsidRPr="00BC1A30" w:rsidTr="0000754C">
        <w:trPr>
          <w:cantSplit/>
          <w:trHeight w:val="539"/>
          <w:tblHeader/>
        </w:trPr>
        <w:tc>
          <w:tcPr>
            <w:tcW w:w="1198" w:type="pct"/>
          </w:tcPr>
          <w:p w:rsidR="0000754C" w:rsidRPr="00BC1A30" w:rsidRDefault="00CC3384" w:rsidP="008A7E79">
            <w:pPr>
              <w:pStyle w:val="NoSpacing"/>
              <w:spacing w:before="40" w:after="40"/>
              <w:rPr>
                <w:rFonts w:ascii="Arial Narrow" w:hAnsi="Arial Narrow" w:cs="Arial"/>
                <w:b/>
                <w:sz w:val="20"/>
                <w:szCs w:val="20"/>
              </w:rPr>
            </w:pPr>
            <w:r w:rsidRPr="00BC1A30">
              <w:rPr>
                <w:rFonts w:ascii="Arial Narrow" w:hAnsi="Arial Narrow" w:cs="Arial"/>
                <w:b/>
                <w:sz w:val="20"/>
                <w:szCs w:val="20"/>
              </w:rPr>
              <w:t>Trial ID (Full Study No.)</w:t>
            </w:r>
          </w:p>
        </w:tc>
        <w:tc>
          <w:tcPr>
            <w:tcW w:w="2799" w:type="pct"/>
          </w:tcPr>
          <w:p w:rsidR="00CC3384" w:rsidRPr="00BC1A30" w:rsidRDefault="00CC3384" w:rsidP="008A7E79">
            <w:pPr>
              <w:keepNext/>
              <w:spacing w:before="40" w:after="40"/>
              <w:jc w:val="both"/>
              <w:rPr>
                <w:rFonts w:ascii="Arial Narrow" w:hAnsi="Arial Narrow" w:cs="Arial"/>
                <w:b/>
                <w:sz w:val="20"/>
                <w:szCs w:val="20"/>
              </w:rPr>
            </w:pPr>
            <w:r w:rsidRPr="00BC1A30">
              <w:rPr>
                <w:rFonts w:ascii="Arial Narrow" w:hAnsi="Arial Narrow" w:cs="Arial"/>
                <w:b/>
                <w:sz w:val="20"/>
                <w:szCs w:val="20"/>
              </w:rPr>
              <w:t xml:space="preserve">Protocol title/publication title </w:t>
            </w:r>
          </w:p>
        </w:tc>
        <w:tc>
          <w:tcPr>
            <w:tcW w:w="1003" w:type="pct"/>
          </w:tcPr>
          <w:p w:rsidR="0000754C" w:rsidRPr="00BC1A30" w:rsidRDefault="0000754C" w:rsidP="008A7E79">
            <w:pPr>
              <w:keepNext/>
              <w:spacing w:before="40" w:after="40"/>
              <w:jc w:val="both"/>
              <w:rPr>
                <w:rFonts w:ascii="Arial Narrow" w:hAnsi="Arial Narrow" w:cs="Arial"/>
                <w:b/>
                <w:sz w:val="20"/>
                <w:szCs w:val="20"/>
              </w:rPr>
            </w:pPr>
            <w:r w:rsidRPr="00BC1A30">
              <w:rPr>
                <w:rFonts w:ascii="Arial Narrow" w:hAnsi="Arial Narrow" w:cs="Arial"/>
                <w:b/>
                <w:sz w:val="20"/>
                <w:szCs w:val="20"/>
              </w:rPr>
              <w:t>Publication citation</w:t>
            </w:r>
          </w:p>
        </w:tc>
      </w:tr>
      <w:tr w:rsidR="0000754C" w:rsidRPr="00BC1A30" w:rsidTr="009F1253">
        <w:trPr>
          <w:cantSplit/>
        </w:trPr>
        <w:tc>
          <w:tcPr>
            <w:tcW w:w="5000" w:type="pct"/>
            <w:gridSpan w:val="3"/>
          </w:tcPr>
          <w:p w:rsidR="0000754C" w:rsidRPr="00BC1A30" w:rsidRDefault="001A1E12" w:rsidP="008A7E79">
            <w:pPr>
              <w:pStyle w:val="NoSpacing"/>
              <w:spacing w:before="40" w:after="40"/>
              <w:rPr>
                <w:rFonts w:ascii="Arial Narrow" w:hAnsi="Arial Narrow" w:cs="Arial"/>
                <w:b/>
                <w:sz w:val="20"/>
                <w:szCs w:val="20"/>
              </w:rPr>
            </w:pPr>
            <w:r w:rsidRPr="00BC1A30">
              <w:rPr>
                <w:rFonts w:ascii="Arial Narrow" w:hAnsi="Arial Narrow" w:cs="Arial"/>
                <w:b/>
                <w:sz w:val="20"/>
                <w:szCs w:val="20"/>
              </w:rPr>
              <w:t xml:space="preserve">Supporting clinical studies </w:t>
            </w:r>
            <w:r w:rsidR="00EE7A6D" w:rsidRPr="00BC1A30">
              <w:rPr>
                <w:rFonts w:ascii="Arial Narrow" w:hAnsi="Arial Narrow" w:cs="Arial"/>
                <w:b/>
                <w:sz w:val="20"/>
                <w:szCs w:val="20"/>
              </w:rPr>
              <w:t>(</w:t>
            </w:r>
            <w:r w:rsidR="00221339" w:rsidRPr="00BC1A30">
              <w:rPr>
                <w:rFonts w:ascii="Arial Narrow" w:hAnsi="Arial Narrow" w:cs="Arial"/>
                <w:b/>
                <w:sz w:val="20"/>
                <w:szCs w:val="20"/>
              </w:rPr>
              <w:t xml:space="preserve">Module 2.5 – Clinical </w:t>
            </w:r>
            <w:r w:rsidR="008A7E79" w:rsidRPr="00BC1A30">
              <w:rPr>
                <w:rFonts w:ascii="Arial Narrow" w:hAnsi="Arial Narrow" w:cs="Arial"/>
                <w:b/>
                <w:sz w:val="20"/>
                <w:szCs w:val="20"/>
              </w:rPr>
              <w:t>overview)</w:t>
            </w:r>
            <w:r w:rsidR="00EE7A6D" w:rsidRPr="00BC1A30">
              <w:rPr>
                <w:rFonts w:ascii="Arial Narrow" w:hAnsi="Arial Narrow" w:cs="Arial"/>
                <w:b/>
                <w:sz w:val="20"/>
                <w:szCs w:val="20"/>
              </w:rPr>
              <w:t xml:space="preserve"> </w:t>
            </w:r>
          </w:p>
          <w:p w:rsidR="001D3BC3" w:rsidRPr="00BC1A30" w:rsidRDefault="001D3BC3" w:rsidP="008A7E79">
            <w:pPr>
              <w:pStyle w:val="NoSpacing"/>
              <w:spacing w:before="40" w:after="40"/>
              <w:rPr>
                <w:rFonts w:ascii="Arial Narrow" w:hAnsi="Arial Narrow" w:cs="Arial"/>
                <w:b/>
                <w:sz w:val="20"/>
                <w:szCs w:val="20"/>
              </w:rPr>
            </w:pPr>
            <w:r w:rsidRPr="00BC1A30">
              <w:rPr>
                <w:rFonts w:ascii="Arial Narrow" w:hAnsi="Arial Narrow" w:cs="Arial"/>
                <w:b/>
                <w:sz w:val="20"/>
                <w:szCs w:val="20"/>
              </w:rPr>
              <w:t>Direct randomised trial(s)</w:t>
            </w:r>
          </w:p>
        </w:tc>
      </w:tr>
      <w:tr w:rsidR="00823B3D" w:rsidRPr="00BC1A30" w:rsidTr="00823B3D">
        <w:trPr>
          <w:cantSplit/>
        </w:trPr>
        <w:tc>
          <w:tcPr>
            <w:tcW w:w="1198" w:type="pct"/>
          </w:tcPr>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GP17-101</w:t>
            </w:r>
          </w:p>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 xml:space="preserve">(supportive PK study) </w:t>
            </w:r>
          </w:p>
        </w:tc>
        <w:tc>
          <w:tcPr>
            <w:tcW w:w="2799" w:type="pct"/>
          </w:tcPr>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A single-centre, randomised, </w:t>
            </w:r>
            <w:proofErr w:type="gramStart"/>
            <w:r w:rsidRPr="00495830">
              <w:rPr>
                <w:rFonts w:ascii="Arial Narrow" w:hAnsi="Arial Narrow" w:cs="Arial"/>
                <w:sz w:val="20"/>
                <w:szCs w:val="20"/>
              </w:rPr>
              <w:t>double-blind</w:t>
            </w:r>
            <w:proofErr w:type="gramEnd"/>
            <w:r w:rsidRPr="00495830">
              <w:rPr>
                <w:rFonts w:ascii="Arial Narrow" w:hAnsi="Arial Narrow" w:cs="Arial"/>
                <w:sz w:val="20"/>
                <w:szCs w:val="20"/>
              </w:rPr>
              <w:t>, single-dose, three-arm, parallel group study in 219 healthy male and female subjects.</w:t>
            </w:r>
          </w:p>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p>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Objective: to demonstrate PK bioequivalence of </w:t>
            </w:r>
            <w:proofErr w:type="spellStart"/>
            <w:r w:rsidRPr="00495830">
              <w:rPr>
                <w:rFonts w:ascii="Arial Narrow" w:hAnsi="Arial Narrow" w:cs="Arial"/>
                <w:sz w:val="20"/>
                <w:szCs w:val="20"/>
              </w:rPr>
              <w:t>Hyrimoz</w:t>
            </w:r>
            <w:proofErr w:type="spellEnd"/>
            <w:r w:rsidRPr="00495830">
              <w:rPr>
                <w:rFonts w:ascii="Arial Narrow" w:hAnsi="Arial Narrow" w:cs="Arial"/>
                <w:sz w:val="20"/>
                <w:szCs w:val="20"/>
              </w:rPr>
              <w:t xml:space="preserve">, </w:t>
            </w:r>
            <w:proofErr w:type="spellStart"/>
            <w:r w:rsidRPr="00495830">
              <w:rPr>
                <w:rFonts w:ascii="Arial Narrow" w:hAnsi="Arial Narrow" w:cs="Arial"/>
                <w:sz w:val="20"/>
                <w:szCs w:val="20"/>
              </w:rPr>
              <w:t>Humira</w:t>
            </w:r>
            <w:proofErr w:type="spellEnd"/>
            <w:r w:rsidRPr="00495830">
              <w:rPr>
                <w:rFonts w:ascii="Arial Narrow" w:hAnsi="Arial Narrow" w:cs="Arial"/>
                <w:sz w:val="20"/>
                <w:szCs w:val="20"/>
              </w:rPr>
              <w:t xml:space="preserve"> (EU) and </w:t>
            </w:r>
            <w:proofErr w:type="spellStart"/>
            <w:r w:rsidRPr="00495830">
              <w:rPr>
                <w:rFonts w:ascii="Arial Narrow" w:hAnsi="Arial Narrow" w:cs="Arial"/>
                <w:sz w:val="20"/>
                <w:szCs w:val="20"/>
              </w:rPr>
              <w:t>Humira</w:t>
            </w:r>
            <w:proofErr w:type="spellEnd"/>
            <w:r w:rsidRPr="00495830">
              <w:rPr>
                <w:rFonts w:ascii="Arial Narrow" w:hAnsi="Arial Narrow" w:cs="Arial"/>
                <w:sz w:val="20"/>
                <w:szCs w:val="20"/>
              </w:rPr>
              <w:t xml:space="preserve"> (US) in terms of </w:t>
            </w:r>
            <w:proofErr w:type="spellStart"/>
            <w:r w:rsidRPr="00495830">
              <w:rPr>
                <w:rFonts w:ascii="Arial Narrow" w:hAnsi="Arial Narrow" w:cs="Arial"/>
                <w:sz w:val="20"/>
                <w:szCs w:val="20"/>
              </w:rPr>
              <w:t>C</w:t>
            </w:r>
            <w:r w:rsidRPr="00495830">
              <w:rPr>
                <w:rFonts w:ascii="Arial Narrow" w:hAnsi="Arial Narrow" w:cs="Arial"/>
                <w:sz w:val="20"/>
                <w:szCs w:val="20"/>
                <w:vertAlign w:val="subscript"/>
              </w:rPr>
              <w:t>max</w:t>
            </w:r>
            <w:proofErr w:type="spellEnd"/>
            <w:r w:rsidRPr="00495830">
              <w:rPr>
                <w:rFonts w:ascii="Arial Narrow" w:hAnsi="Arial Narrow" w:cs="Arial"/>
                <w:sz w:val="20"/>
                <w:szCs w:val="20"/>
              </w:rPr>
              <w:t xml:space="preserve"> and AUC</w:t>
            </w:r>
            <w:r w:rsidRPr="00495830">
              <w:rPr>
                <w:rFonts w:ascii="Arial Narrow" w:hAnsi="Arial Narrow" w:cs="Arial"/>
                <w:sz w:val="20"/>
                <w:szCs w:val="20"/>
                <w:vertAlign w:val="subscript"/>
              </w:rPr>
              <w:t>0-inf</w:t>
            </w:r>
            <w:r w:rsidRPr="00495830">
              <w:rPr>
                <w:rFonts w:ascii="Arial Narrow" w:hAnsi="Arial Narrow" w:cs="Arial"/>
                <w:sz w:val="20"/>
                <w:szCs w:val="20"/>
              </w:rPr>
              <w:t xml:space="preserve"> and AUC</w:t>
            </w:r>
            <w:r w:rsidRPr="00495830">
              <w:rPr>
                <w:rFonts w:ascii="Arial Narrow" w:hAnsi="Arial Narrow" w:cs="Arial"/>
                <w:sz w:val="20"/>
                <w:szCs w:val="20"/>
                <w:vertAlign w:val="subscript"/>
              </w:rPr>
              <w:t>0-last</w:t>
            </w:r>
            <w:r w:rsidRPr="00495830">
              <w:rPr>
                <w:rFonts w:ascii="Arial Narrow" w:hAnsi="Arial Narrow" w:cs="Arial"/>
                <w:sz w:val="20"/>
                <w:szCs w:val="20"/>
              </w:rPr>
              <w:t xml:space="preserve"> after a single </w:t>
            </w:r>
            <w:proofErr w:type="spellStart"/>
            <w:r w:rsidRPr="00495830">
              <w:rPr>
                <w:rFonts w:ascii="Arial Narrow" w:hAnsi="Arial Narrow" w:cs="Arial"/>
                <w:sz w:val="20"/>
                <w:szCs w:val="20"/>
              </w:rPr>
              <w:t>s.c.</w:t>
            </w:r>
            <w:proofErr w:type="spellEnd"/>
            <w:r w:rsidRPr="00495830">
              <w:rPr>
                <w:rFonts w:ascii="Arial Narrow" w:hAnsi="Arial Narrow" w:cs="Arial"/>
                <w:sz w:val="20"/>
                <w:szCs w:val="20"/>
              </w:rPr>
              <w:t xml:space="preserve"> injection of 40 mg of </w:t>
            </w:r>
            <w:proofErr w:type="spellStart"/>
            <w:r w:rsidRPr="00495830">
              <w:rPr>
                <w:rFonts w:ascii="Arial Narrow" w:hAnsi="Arial Narrow" w:cs="Arial"/>
                <w:sz w:val="20"/>
                <w:szCs w:val="20"/>
              </w:rPr>
              <w:t>adalimumab</w:t>
            </w:r>
            <w:proofErr w:type="spellEnd"/>
          </w:p>
        </w:tc>
        <w:tc>
          <w:tcPr>
            <w:tcW w:w="1003" w:type="pct"/>
          </w:tcPr>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 xml:space="preserve">Clinical Study Report </w:t>
            </w:r>
          </w:p>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Report date: 11-May-2017</w:t>
            </w:r>
          </w:p>
        </w:tc>
      </w:tr>
      <w:tr w:rsidR="00823B3D" w:rsidRPr="00BC1A30" w:rsidTr="00823B3D">
        <w:trPr>
          <w:cantSplit/>
        </w:trPr>
        <w:tc>
          <w:tcPr>
            <w:tcW w:w="1198" w:type="pct"/>
          </w:tcPr>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GP17-102</w:t>
            </w:r>
          </w:p>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 xml:space="preserve">(supportive PK study – device development) </w:t>
            </w:r>
          </w:p>
        </w:tc>
        <w:tc>
          <w:tcPr>
            <w:tcW w:w="2799" w:type="pct"/>
          </w:tcPr>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A single-centre, randomised, open-label, single-dose, two-arm, parallel group study in 108 healthy male subjects </w:t>
            </w:r>
          </w:p>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p>
          <w:p w:rsidR="00823B3D" w:rsidRPr="00495830" w:rsidRDefault="00823B3D" w:rsidP="00C97143">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Objective: to describe PK of </w:t>
            </w:r>
            <w:proofErr w:type="spellStart"/>
            <w:r w:rsidRPr="00495830">
              <w:rPr>
                <w:rFonts w:ascii="Arial Narrow" w:hAnsi="Arial Narrow" w:cs="Arial"/>
                <w:sz w:val="20"/>
                <w:szCs w:val="20"/>
              </w:rPr>
              <w:t>Hyrimoz</w:t>
            </w:r>
            <w:proofErr w:type="spellEnd"/>
            <w:r w:rsidRPr="00495830">
              <w:rPr>
                <w:rFonts w:ascii="Arial Narrow" w:hAnsi="Arial Narrow" w:cs="Arial"/>
                <w:sz w:val="20"/>
                <w:szCs w:val="20"/>
              </w:rPr>
              <w:t xml:space="preserve"> administered by</w:t>
            </w:r>
            <w:r w:rsidRPr="00BC1A30">
              <w:t xml:space="preserve"> </w:t>
            </w:r>
            <w:proofErr w:type="spellStart"/>
            <w:r w:rsidRPr="00495830">
              <w:rPr>
                <w:rFonts w:ascii="Arial Narrow" w:hAnsi="Arial Narrow" w:cs="Arial"/>
                <w:sz w:val="20"/>
                <w:szCs w:val="20"/>
              </w:rPr>
              <w:t>autoinjector</w:t>
            </w:r>
            <w:proofErr w:type="spellEnd"/>
            <w:r w:rsidRPr="00495830">
              <w:rPr>
                <w:rFonts w:ascii="Arial Narrow" w:hAnsi="Arial Narrow" w:cs="Arial"/>
                <w:sz w:val="20"/>
                <w:szCs w:val="20"/>
              </w:rPr>
              <w:t xml:space="preserve"> or pre-filled syringe (PFS) as a single </w:t>
            </w:r>
            <w:proofErr w:type="spellStart"/>
            <w:r w:rsidRPr="00495830">
              <w:rPr>
                <w:rFonts w:ascii="Arial Narrow" w:hAnsi="Arial Narrow" w:cs="Arial"/>
                <w:sz w:val="20"/>
                <w:szCs w:val="20"/>
              </w:rPr>
              <w:t>s.c</w:t>
            </w:r>
            <w:proofErr w:type="spellEnd"/>
            <w:r w:rsidRPr="00495830">
              <w:rPr>
                <w:rFonts w:ascii="Arial Narrow" w:hAnsi="Arial Narrow" w:cs="Arial"/>
                <w:sz w:val="20"/>
                <w:szCs w:val="20"/>
              </w:rPr>
              <w:t xml:space="preserve"> injection of 40mg to healthy adult male subjects with body weights between 50 and 94.9kg in terms of AUC</w:t>
            </w:r>
            <w:r w:rsidRPr="00495830">
              <w:rPr>
                <w:rFonts w:ascii="Arial Narrow" w:hAnsi="Arial Narrow" w:cs="Arial"/>
                <w:sz w:val="20"/>
                <w:szCs w:val="20"/>
                <w:vertAlign w:val="subscript"/>
              </w:rPr>
              <w:t xml:space="preserve">0-360h </w:t>
            </w:r>
            <w:r w:rsidRPr="00495830">
              <w:rPr>
                <w:rFonts w:ascii="Arial Narrow" w:hAnsi="Arial Narrow" w:cs="Arial"/>
                <w:sz w:val="20"/>
                <w:szCs w:val="20"/>
              </w:rPr>
              <w:t>(device comparison).</w:t>
            </w:r>
          </w:p>
        </w:tc>
        <w:tc>
          <w:tcPr>
            <w:tcW w:w="1003" w:type="pct"/>
          </w:tcPr>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 xml:space="preserve">Clinical Study Report </w:t>
            </w:r>
          </w:p>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Report date: 11-May-2017</w:t>
            </w:r>
          </w:p>
        </w:tc>
      </w:tr>
      <w:tr w:rsidR="00823B3D" w:rsidRPr="00BC1A30" w:rsidTr="00823B3D">
        <w:trPr>
          <w:cantSplit/>
        </w:trPr>
        <w:tc>
          <w:tcPr>
            <w:tcW w:w="1198" w:type="pct"/>
          </w:tcPr>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GP17-103</w:t>
            </w:r>
          </w:p>
          <w:p w:rsidR="00823B3D" w:rsidRPr="00BC1A30" w:rsidRDefault="00823B3D" w:rsidP="00823B3D">
            <w:pPr>
              <w:pStyle w:val="NoSpacing"/>
              <w:tabs>
                <w:tab w:val="left" w:pos="1289"/>
              </w:tabs>
              <w:rPr>
                <w:rFonts w:ascii="Arial Narrow" w:hAnsi="Arial Narrow" w:cs="Arial"/>
                <w:sz w:val="20"/>
                <w:szCs w:val="20"/>
              </w:rPr>
            </w:pPr>
            <w:r w:rsidRPr="00BC1A30">
              <w:rPr>
                <w:rFonts w:ascii="Arial Narrow" w:hAnsi="Arial Narrow" w:cs="Arial"/>
                <w:sz w:val="20"/>
                <w:szCs w:val="20"/>
              </w:rPr>
              <w:t xml:space="preserve">(supportive PK study – technical transfer) </w:t>
            </w:r>
          </w:p>
        </w:tc>
        <w:tc>
          <w:tcPr>
            <w:tcW w:w="2799" w:type="pct"/>
          </w:tcPr>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A multi-centre, randomised, double-blind, parallel group, two-arm study in 178 healthy male subjects </w:t>
            </w:r>
          </w:p>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p>
          <w:p w:rsidR="00823B3D" w:rsidRPr="00495830" w:rsidRDefault="00823B3D" w:rsidP="00823B3D">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 xml:space="preserve">Objective: to demonstrate PK bioequivalence (90% CI of ratio of geometric means within the margins of [0.8; 1.25]) of </w:t>
            </w:r>
            <w:proofErr w:type="spellStart"/>
            <w:r w:rsidRPr="00495830">
              <w:rPr>
                <w:rFonts w:ascii="Arial Narrow" w:hAnsi="Arial Narrow" w:cs="Arial"/>
                <w:sz w:val="20"/>
                <w:szCs w:val="20"/>
              </w:rPr>
              <w:t>Hyrimoz</w:t>
            </w:r>
            <w:proofErr w:type="spellEnd"/>
            <w:r w:rsidRPr="00495830">
              <w:rPr>
                <w:rFonts w:ascii="Arial Narrow" w:hAnsi="Arial Narrow" w:cs="Arial"/>
                <w:sz w:val="20"/>
                <w:szCs w:val="20"/>
              </w:rPr>
              <w:t xml:space="preserve">-Cook and </w:t>
            </w:r>
            <w:proofErr w:type="spellStart"/>
            <w:r w:rsidRPr="00495830">
              <w:rPr>
                <w:rFonts w:ascii="Arial Narrow" w:hAnsi="Arial Narrow" w:cs="Arial"/>
                <w:sz w:val="20"/>
                <w:szCs w:val="20"/>
              </w:rPr>
              <w:t>Hyrimoz-Schaftenau</w:t>
            </w:r>
            <w:proofErr w:type="spellEnd"/>
            <w:r w:rsidRPr="00495830">
              <w:rPr>
                <w:rFonts w:ascii="Arial Narrow" w:hAnsi="Arial Narrow" w:cs="Arial"/>
                <w:sz w:val="20"/>
                <w:szCs w:val="20"/>
              </w:rPr>
              <w:t xml:space="preserve"> in terms of </w:t>
            </w:r>
            <w:proofErr w:type="spellStart"/>
            <w:r w:rsidRPr="00495830">
              <w:rPr>
                <w:rFonts w:ascii="Arial Narrow" w:hAnsi="Arial Narrow" w:cs="Arial"/>
                <w:sz w:val="20"/>
                <w:szCs w:val="20"/>
              </w:rPr>
              <w:t>C</w:t>
            </w:r>
            <w:r w:rsidRPr="00495830">
              <w:rPr>
                <w:rFonts w:ascii="Arial Narrow" w:hAnsi="Arial Narrow" w:cs="Arial"/>
                <w:sz w:val="20"/>
                <w:szCs w:val="20"/>
                <w:vertAlign w:val="subscript"/>
              </w:rPr>
              <w:t>max</w:t>
            </w:r>
            <w:proofErr w:type="spellEnd"/>
            <w:r w:rsidRPr="00495830">
              <w:rPr>
                <w:rFonts w:ascii="Arial Narrow" w:hAnsi="Arial Narrow" w:cs="Arial"/>
                <w:sz w:val="20"/>
                <w:szCs w:val="20"/>
              </w:rPr>
              <w:t>, AUC</w:t>
            </w:r>
            <w:r w:rsidRPr="00495830">
              <w:rPr>
                <w:rFonts w:ascii="Arial Narrow" w:hAnsi="Arial Narrow" w:cs="Arial"/>
                <w:sz w:val="20"/>
                <w:szCs w:val="20"/>
                <w:vertAlign w:val="subscript"/>
              </w:rPr>
              <w:t>0-inf</w:t>
            </w:r>
            <w:r w:rsidRPr="00495830">
              <w:rPr>
                <w:rFonts w:ascii="Arial Narrow" w:hAnsi="Arial Narrow" w:cs="Arial"/>
                <w:sz w:val="20"/>
                <w:szCs w:val="20"/>
              </w:rPr>
              <w:t xml:space="preserve"> and</w:t>
            </w:r>
            <w:r w:rsidRPr="00BC1A30">
              <w:t xml:space="preserve"> </w:t>
            </w:r>
            <w:r w:rsidRPr="00495830">
              <w:rPr>
                <w:rFonts w:ascii="Arial Narrow" w:hAnsi="Arial Narrow" w:cs="Arial"/>
                <w:sz w:val="20"/>
                <w:szCs w:val="20"/>
              </w:rPr>
              <w:t>AUC</w:t>
            </w:r>
            <w:r w:rsidRPr="00495830">
              <w:rPr>
                <w:rFonts w:ascii="Arial Narrow" w:hAnsi="Arial Narrow" w:cs="Arial"/>
                <w:sz w:val="20"/>
                <w:szCs w:val="20"/>
                <w:vertAlign w:val="subscript"/>
              </w:rPr>
              <w:t>0-last</w:t>
            </w:r>
            <w:r w:rsidRPr="00495830">
              <w:rPr>
                <w:rFonts w:ascii="Arial Narrow" w:hAnsi="Arial Narrow" w:cs="Arial"/>
                <w:sz w:val="20"/>
                <w:szCs w:val="20"/>
              </w:rPr>
              <w:t xml:space="preserve"> after a single </w:t>
            </w:r>
            <w:proofErr w:type="spellStart"/>
            <w:r w:rsidRPr="00495830">
              <w:rPr>
                <w:rFonts w:ascii="Arial Narrow" w:hAnsi="Arial Narrow" w:cs="Arial"/>
                <w:sz w:val="20"/>
                <w:szCs w:val="20"/>
              </w:rPr>
              <w:t>s.c.</w:t>
            </w:r>
            <w:proofErr w:type="spellEnd"/>
            <w:r w:rsidRPr="00495830">
              <w:rPr>
                <w:rFonts w:ascii="Arial Narrow" w:hAnsi="Arial Narrow" w:cs="Arial"/>
                <w:sz w:val="20"/>
                <w:szCs w:val="20"/>
              </w:rPr>
              <w:t xml:space="preserve"> injection of 40 mg of </w:t>
            </w:r>
            <w:proofErr w:type="spellStart"/>
            <w:r w:rsidRPr="00495830">
              <w:rPr>
                <w:rFonts w:ascii="Arial Narrow" w:hAnsi="Arial Narrow" w:cs="Arial"/>
                <w:sz w:val="20"/>
                <w:szCs w:val="20"/>
              </w:rPr>
              <w:t>adalimumab</w:t>
            </w:r>
            <w:proofErr w:type="spellEnd"/>
            <w:r w:rsidRPr="00495830">
              <w:rPr>
                <w:rFonts w:ascii="Arial Narrow" w:hAnsi="Arial Narrow" w:cs="Arial"/>
                <w:sz w:val="20"/>
                <w:szCs w:val="20"/>
              </w:rPr>
              <w:t>.</w:t>
            </w:r>
            <w:r w:rsidRPr="00BC1A30">
              <w:t xml:space="preserve"> </w:t>
            </w:r>
          </w:p>
        </w:tc>
        <w:tc>
          <w:tcPr>
            <w:tcW w:w="1003" w:type="pct"/>
          </w:tcPr>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 xml:space="preserve">Clinical Study Report </w:t>
            </w:r>
          </w:p>
          <w:p w:rsidR="00823B3D" w:rsidRPr="00BC1A30" w:rsidRDefault="00823B3D" w:rsidP="00823B3D">
            <w:pPr>
              <w:keepNext/>
              <w:rPr>
                <w:rFonts w:ascii="Arial Narrow" w:hAnsi="Arial Narrow" w:cs="Arial"/>
                <w:bCs/>
                <w:sz w:val="20"/>
                <w:szCs w:val="20"/>
              </w:rPr>
            </w:pPr>
            <w:r w:rsidRPr="00BC1A30">
              <w:rPr>
                <w:rFonts w:ascii="Arial Narrow" w:hAnsi="Arial Narrow" w:cs="Arial"/>
                <w:bCs/>
                <w:sz w:val="20"/>
                <w:szCs w:val="20"/>
              </w:rPr>
              <w:t>Report date: 11-May-2017</w:t>
            </w:r>
          </w:p>
        </w:tc>
      </w:tr>
      <w:tr w:rsidR="00723BFB" w:rsidRPr="00BC1A30" w:rsidTr="0000754C">
        <w:trPr>
          <w:cantSplit/>
        </w:trPr>
        <w:tc>
          <w:tcPr>
            <w:tcW w:w="1198" w:type="pct"/>
          </w:tcPr>
          <w:p w:rsidR="00723BFB" w:rsidRPr="00495830" w:rsidRDefault="00723BFB" w:rsidP="008A7E79">
            <w:pPr>
              <w:pStyle w:val="NoSpacing"/>
              <w:tabs>
                <w:tab w:val="left" w:pos="1289"/>
              </w:tabs>
              <w:rPr>
                <w:rFonts w:ascii="Arial Narrow" w:hAnsi="Arial Narrow" w:cs="Arial"/>
                <w:sz w:val="20"/>
                <w:szCs w:val="20"/>
              </w:rPr>
            </w:pPr>
            <w:bookmarkStart w:id="0" w:name="_Hlk30263857"/>
            <w:r w:rsidRPr="00495830">
              <w:rPr>
                <w:rFonts w:ascii="Arial Narrow" w:hAnsi="Arial Narrow" w:cs="Arial"/>
                <w:sz w:val="20"/>
                <w:szCs w:val="20"/>
              </w:rPr>
              <w:t>GP17-104</w:t>
            </w:r>
          </w:p>
          <w:bookmarkEnd w:id="0"/>
          <w:p w:rsidR="00723BFB" w:rsidRPr="00495830" w:rsidRDefault="00723BFB" w:rsidP="008A7E79">
            <w:pPr>
              <w:pStyle w:val="NoSpacing"/>
              <w:tabs>
                <w:tab w:val="left" w:pos="1289"/>
              </w:tabs>
              <w:rPr>
                <w:rFonts w:ascii="Arial Narrow" w:hAnsi="Arial Narrow" w:cs="Arial"/>
                <w:sz w:val="20"/>
                <w:szCs w:val="20"/>
              </w:rPr>
            </w:pPr>
            <w:r w:rsidRPr="00495830">
              <w:rPr>
                <w:rFonts w:ascii="Arial Narrow" w:hAnsi="Arial Narrow" w:cs="Arial"/>
                <w:sz w:val="20"/>
                <w:szCs w:val="20"/>
              </w:rPr>
              <w:t>(pivotal PK</w:t>
            </w:r>
            <w:r w:rsidR="008D6CA9" w:rsidRPr="00495830">
              <w:rPr>
                <w:rFonts w:ascii="Arial Narrow" w:hAnsi="Arial Narrow" w:cs="Arial"/>
                <w:sz w:val="20"/>
                <w:szCs w:val="20"/>
              </w:rPr>
              <w:t xml:space="preserve"> </w:t>
            </w:r>
            <w:r w:rsidRPr="00495830">
              <w:rPr>
                <w:rFonts w:ascii="Arial Narrow" w:hAnsi="Arial Narrow" w:cs="Arial"/>
                <w:sz w:val="20"/>
                <w:szCs w:val="20"/>
              </w:rPr>
              <w:t>study)</w:t>
            </w:r>
          </w:p>
        </w:tc>
        <w:tc>
          <w:tcPr>
            <w:tcW w:w="2799" w:type="pct"/>
          </w:tcPr>
          <w:p w:rsidR="00A7460A" w:rsidRPr="00495830" w:rsidRDefault="001A1E12" w:rsidP="008A7E79">
            <w:pPr>
              <w:autoSpaceDE w:val="0"/>
              <w:autoSpaceDN w:val="0"/>
              <w:adjustRightInd w:val="0"/>
              <w:spacing w:after="0" w:line="240" w:lineRule="auto"/>
              <w:jc w:val="both"/>
              <w:rPr>
                <w:rFonts w:ascii="Arial Narrow" w:eastAsia="TimesNewRoman" w:hAnsi="Arial Narrow" w:cs="Arial"/>
                <w:sz w:val="20"/>
                <w:szCs w:val="20"/>
              </w:rPr>
            </w:pPr>
            <w:r w:rsidRPr="00495830">
              <w:rPr>
                <w:rFonts w:ascii="Arial Narrow" w:hAnsi="Arial Narrow" w:cs="Arial"/>
                <w:sz w:val="20"/>
                <w:szCs w:val="20"/>
              </w:rPr>
              <w:t>A s</w:t>
            </w:r>
            <w:r w:rsidR="00723BFB" w:rsidRPr="00495830">
              <w:rPr>
                <w:rFonts w:ascii="Arial Narrow" w:hAnsi="Arial Narrow" w:cs="Arial"/>
                <w:sz w:val="20"/>
                <w:szCs w:val="20"/>
              </w:rPr>
              <w:t>ingle-</w:t>
            </w:r>
            <w:r w:rsidR="008D6CA9" w:rsidRPr="00495830">
              <w:rPr>
                <w:rFonts w:ascii="Arial Narrow" w:hAnsi="Arial Narrow" w:cs="Arial"/>
                <w:sz w:val="20"/>
                <w:szCs w:val="20"/>
              </w:rPr>
              <w:t>centre</w:t>
            </w:r>
            <w:r w:rsidR="00723BFB" w:rsidRPr="00495830">
              <w:rPr>
                <w:rFonts w:ascii="Arial Narrow" w:hAnsi="Arial Narrow" w:cs="Arial"/>
                <w:sz w:val="20"/>
                <w:szCs w:val="20"/>
              </w:rPr>
              <w:t>,</w:t>
            </w:r>
            <w:r w:rsidRPr="00495830">
              <w:rPr>
                <w:rFonts w:ascii="Arial Narrow" w:hAnsi="Arial Narrow" w:cs="Arial"/>
                <w:sz w:val="20"/>
                <w:szCs w:val="20"/>
              </w:rPr>
              <w:t xml:space="preserve"> </w:t>
            </w:r>
            <w:r w:rsidR="00723BFB" w:rsidRPr="00495830">
              <w:rPr>
                <w:rFonts w:ascii="Arial Narrow" w:hAnsi="Arial Narrow" w:cs="Arial"/>
                <w:sz w:val="20"/>
                <w:szCs w:val="20"/>
              </w:rPr>
              <w:t>randomized, double-blind,</w:t>
            </w:r>
            <w:r w:rsidRPr="00495830">
              <w:rPr>
                <w:rFonts w:ascii="Arial Narrow" w:hAnsi="Arial Narrow" w:cs="Arial"/>
                <w:sz w:val="20"/>
                <w:szCs w:val="20"/>
              </w:rPr>
              <w:t xml:space="preserve"> </w:t>
            </w:r>
            <w:r w:rsidR="00723BFB" w:rsidRPr="00495830">
              <w:rPr>
                <w:rFonts w:ascii="Arial Narrow" w:hAnsi="Arial Narrow" w:cs="Arial"/>
                <w:sz w:val="20"/>
                <w:szCs w:val="20"/>
              </w:rPr>
              <w:t>single-dose, three-arm,</w:t>
            </w:r>
            <w:r w:rsidRPr="00495830">
              <w:rPr>
                <w:rFonts w:ascii="Arial Narrow" w:hAnsi="Arial Narrow" w:cs="Arial"/>
                <w:sz w:val="20"/>
                <w:szCs w:val="20"/>
              </w:rPr>
              <w:t xml:space="preserve"> </w:t>
            </w:r>
            <w:r w:rsidR="00723BFB" w:rsidRPr="00495830">
              <w:rPr>
                <w:rFonts w:ascii="Arial Narrow" w:hAnsi="Arial Narrow" w:cs="Arial"/>
                <w:sz w:val="20"/>
                <w:szCs w:val="20"/>
              </w:rPr>
              <w:t>parallel group study in</w:t>
            </w:r>
            <w:r w:rsidRPr="00495830">
              <w:rPr>
                <w:rFonts w:ascii="Arial Narrow" w:hAnsi="Arial Narrow" w:cs="Arial"/>
                <w:sz w:val="20"/>
                <w:szCs w:val="20"/>
              </w:rPr>
              <w:t xml:space="preserve"> 318 </w:t>
            </w:r>
            <w:r w:rsidR="00723BFB" w:rsidRPr="00495830">
              <w:rPr>
                <w:rFonts w:ascii="Arial Narrow" w:hAnsi="Arial Narrow" w:cs="Arial"/>
                <w:sz w:val="20"/>
                <w:szCs w:val="20"/>
              </w:rPr>
              <w:t>healthy male subjects</w:t>
            </w:r>
            <w:r w:rsidR="00A7460A" w:rsidRPr="00495830">
              <w:rPr>
                <w:rFonts w:ascii="Arial Narrow" w:eastAsia="TimesNewRoman" w:hAnsi="Arial Narrow" w:cs="Arial"/>
                <w:sz w:val="20"/>
                <w:szCs w:val="20"/>
              </w:rPr>
              <w:t xml:space="preserve"> comparing </w:t>
            </w:r>
            <w:proofErr w:type="spellStart"/>
            <w:r w:rsidR="001D3BC3" w:rsidRPr="00495830">
              <w:rPr>
                <w:rFonts w:ascii="Arial Narrow" w:eastAsia="TimesNewRoman" w:hAnsi="Arial Narrow" w:cs="Arial"/>
                <w:sz w:val="20"/>
                <w:szCs w:val="20"/>
              </w:rPr>
              <w:t>Hyrimoz</w:t>
            </w:r>
            <w:proofErr w:type="spellEnd"/>
            <w:r w:rsidR="00A7460A" w:rsidRPr="00495830">
              <w:rPr>
                <w:rFonts w:ascii="Arial Narrow" w:eastAsia="TimesNewRoman" w:hAnsi="Arial Narrow" w:cs="Arial"/>
                <w:sz w:val="20"/>
                <w:szCs w:val="20"/>
              </w:rPr>
              <w:t xml:space="preserve"> with </w:t>
            </w:r>
            <w:proofErr w:type="spellStart"/>
            <w:r w:rsidR="00A7460A" w:rsidRPr="00495830">
              <w:rPr>
                <w:rFonts w:ascii="Arial Narrow" w:eastAsia="TimesNewRoman" w:hAnsi="Arial Narrow" w:cs="Arial"/>
                <w:sz w:val="20"/>
                <w:szCs w:val="20"/>
              </w:rPr>
              <w:t>Humira</w:t>
            </w:r>
            <w:proofErr w:type="spellEnd"/>
            <w:r w:rsidR="00A7460A" w:rsidRPr="00495830">
              <w:rPr>
                <w:rFonts w:ascii="Arial Narrow" w:eastAsia="TimesNewRoman" w:hAnsi="Arial Narrow" w:cs="Arial"/>
                <w:sz w:val="20"/>
                <w:szCs w:val="20"/>
              </w:rPr>
              <w:t xml:space="preserve"> </w:t>
            </w:r>
            <w:r w:rsidR="008A7E79" w:rsidRPr="00495830">
              <w:rPr>
                <w:rFonts w:ascii="Arial Narrow" w:eastAsia="TimesNewRoman" w:hAnsi="Arial Narrow" w:cs="Arial"/>
                <w:sz w:val="20"/>
                <w:szCs w:val="20"/>
              </w:rPr>
              <w:t>(</w:t>
            </w:r>
            <w:r w:rsidR="001D3BC3" w:rsidRPr="00495830">
              <w:rPr>
                <w:rFonts w:ascii="Arial Narrow" w:eastAsia="TimesNewRoman" w:hAnsi="Arial Narrow" w:cs="Arial"/>
                <w:sz w:val="20"/>
                <w:szCs w:val="20"/>
              </w:rPr>
              <w:t>EU</w:t>
            </w:r>
            <w:r w:rsidR="008A7E79" w:rsidRPr="00495830">
              <w:rPr>
                <w:rFonts w:ascii="Arial Narrow" w:eastAsia="TimesNewRoman" w:hAnsi="Arial Narrow" w:cs="Arial"/>
                <w:sz w:val="20"/>
                <w:szCs w:val="20"/>
              </w:rPr>
              <w:t>)</w:t>
            </w:r>
            <w:r w:rsidR="001D3BC3" w:rsidRPr="00495830">
              <w:rPr>
                <w:rFonts w:ascii="Arial Narrow" w:eastAsia="TimesNewRoman" w:hAnsi="Arial Narrow" w:cs="Arial"/>
                <w:sz w:val="20"/>
                <w:szCs w:val="20"/>
              </w:rPr>
              <w:t xml:space="preserve"> </w:t>
            </w:r>
            <w:r w:rsidR="00A7460A" w:rsidRPr="00495830">
              <w:rPr>
                <w:rFonts w:ascii="Arial Narrow" w:eastAsia="TimesNewRoman" w:hAnsi="Arial Narrow" w:cs="Arial"/>
                <w:sz w:val="20"/>
                <w:szCs w:val="20"/>
              </w:rPr>
              <w:t xml:space="preserve">and </w:t>
            </w:r>
            <w:proofErr w:type="spellStart"/>
            <w:r w:rsidR="00A7460A" w:rsidRPr="00495830">
              <w:rPr>
                <w:rFonts w:ascii="Arial Narrow" w:eastAsia="TimesNewRoman" w:hAnsi="Arial Narrow" w:cs="Arial"/>
                <w:sz w:val="20"/>
                <w:szCs w:val="20"/>
              </w:rPr>
              <w:t>Humira</w:t>
            </w:r>
            <w:proofErr w:type="spellEnd"/>
            <w:r w:rsidR="00A7460A" w:rsidRPr="00495830">
              <w:rPr>
                <w:rFonts w:ascii="Arial Narrow" w:eastAsia="TimesNewRoman" w:hAnsi="Arial Narrow" w:cs="Arial"/>
                <w:sz w:val="20"/>
                <w:szCs w:val="20"/>
              </w:rPr>
              <w:t xml:space="preserve"> </w:t>
            </w:r>
            <w:r w:rsidR="008A7E79" w:rsidRPr="00495830">
              <w:rPr>
                <w:rFonts w:ascii="Arial Narrow" w:eastAsia="TimesNewRoman" w:hAnsi="Arial Narrow" w:cs="Arial"/>
                <w:sz w:val="20"/>
                <w:szCs w:val="20"/>
              </w:rPr>
              <w:t xml:space="preserve">(EU) </w:t>
            </w:r>
            <w:r w:rsidR="00A7460A" w:rsidRPr="00495830">
              <w:rPr>
                <w:rFonts w:ascii="Arial Narrow" w:eastAsia="TimesNewRoman" w:hAnsi="Arial Narrow" w:cs="Arial"/>
                <w:sz w:val="20"/>
                <w:szCs w:val="20"/>
              </w:rPr>
              <w:t xml:space="preserve">with </w:t>
            </w:r>
            <w:proofErr w:type="spellStart"/>
            <w:r w:rsidR="00A7460A" w:rsidRPr="00495830">
              <w:rPr>
                <w:rFonts w:ascii="Arial Narrow" w:eastAsia="TimesNewRoman" w:hAnsi="Arial Narrow" w:cs="Arial"/>
                <w:sz w:val="20"/>
                <w:szCs w:val="20"/>
              </w:rPr>
              <w:t>Humira</w:t>
            </w:r>
            <w:proofErr w:type="spellEnd"/>
            <w:r w:rsidR="008A7E79" w:rsidRPr="00495830">
              <w:rPr>
                <w:rFonts w:ascii="Arial Narrow" w:eastAsia="TimesNewRoman" w:hAnsi="Arial Narrow" w:cs="Arial"/>
                <w:sz w:val="20"/>
                <w:szCs w:val="20"/>
              </w:rPr>
              <w:t xml:space="preserve"> (US)</w:t>
            </w:r>
            <w:r w:rsidR="00A7460A" w:rsidRPr="00495830">
              <w:rPr>
                <w:rFonts w:ascii="Arial Narrow" w:eastAsia="TimesNewRoman" w:hAnsi="Arial Narrow" w:cs="Arial"/>
                <w:sz w:val="20"/>
                <w:szCs w:val="20"/>
              </w:rPr>
              <w:t>.</w:t>
            </w:r>
          </w:p>
          <w:p w:rsidR="00A7460A" w:rsidRPr="00495830" w:rsidRDefault="00A7460A" w:rsidP="008A7E79">
            <w:pPr>
              <w:autoSpaceDE w:val="0"/>
              <w:autoSpaceDN w:val="0"/>
              <w:adjustRightInd w:val="0"/>
              <w:spacing w:after="0" w:line="240" w:lineRule="auto"/>
              <w:jc w:val="both"/>
              <w:rPr>
                <w:rFonts w:ascii="Arial Narrow" w:hAnsi="Arial Narrow" w:cs="Arial"/>
                <w:sz w:val="20"/>
                <w:szCs w:val="20"/>
              </w:rPr>
            </w:pPr>
          </w:p>
          <w:p w:rsidR="001A1E12" w:rsidRPr="00495830" w:rsidRDefault="001A1E12" w:rsidP="008A7E79">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Objective: To demonstrate PK bioequivalence (90% CI</w:t>
            </w:r>
          </w:p>
          <w:p w:rsidR="001A1E12" w:rsidRPr="00495830" w:rsidRDefault="001A1E12" w:rsidP="008A7E79">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of ratio of geometric means within</w:t>
            </w:r>
            <w:r w:rsidR="00E86EBA" w:rsidRPr="00495830">
              <w:rPr>
                <w:rFonts w:ascii="Arial Narrow" w:hAnsi="Arial Narrow" w:cs="Arial"/>
                <w:sz w:val="20"/>
                <w:szCs w:val="20"/>
              </w:rPr>
              <w:t xml:space="preserve"> the margins of [0.8; 1.25]) of</w:t>
            </w:r>
            <w:r w:rsidRPr="00495830">
              <w:rPr>
                <w:rFonts w:ascii="Arial Narrow" w:hAnsi="Arial Narrow" w:cs="Arial"/>
                <w:sz w:val="20"/>
                <w:szCs w:val="20"/>
              </w:rPr>
              <w:t xml:space="preserve"> </w:t>
            </w:r>
            <w:proofErr w:type="spellStart"/>
            <w:r w:rsidR="008A7E79" w:rsidRPr="00495830">
              <w:rPr>
                <w:rFonts w:ascii="Arial Narrow" w:hAnsi="Arial Narrow" w:cs="Arial"/>
                <w:sz w:val="20"/>
                <w:szCs w:val="20"/>
              </w:rPr>
              <w:t>Hyrimoz</w:t>
            </w:r>
            <w:proofErr w:type="spellEnd"/>
            <w:r w:rsidRPr="00495830">
              <w:rPr>
                <w:rFonts w:ascii="Arial Narrow" w:hAnsi="Arial Narrow" w:cs="Arial"/>
                <w:sz w:val="20"/>
                <w:szCs w:val="20"/>
              </w:rPr>
              <w:t xml:space="preserve"> and </w:t>
            </w:r>
            <w:proofErr w:type="spellStart"/>
            <w:r w:rsidRPr="00495830">
              <w:rPr>
                <w:rFonts w:ascii="Arial Narrow" w:hAnsi="Arial Narrow" w:cs="Arial"/>
                <w:sz w:val="20"/>
                <w:szCs w:val="20"/>
              </w:rPr>
              <w:t>Humira</w:t>
            </w:r>
            <w:proofErr w:type="spellEnd"/>
            <w:r w:rsidR="008A7E79" w:rsidRPr="00495830">
              <w:rPr>
                <w:rFonts w:ascii="Arial Narrow" w:hAnsi="Arial Narrow" w:cs="Arial"/>
                <w:sz w:val="20"/>
                <w:szCs w:val="20"/>
              </w:rPr>
              <w:t xml:space="preserve"> (EU)</w:t>
            </w:r>
            <w:r w:rsidR="00E86EBA" w:rsidRPr="00495830">
              <w:rPr>
                <w:rFonts w:ascii="Arial Narrow" w:hAnsi="Arial Narrow" w:cs="Arial"/>
                <w:sz w:val="20"/>
                <w:szCs w:val="20"/>
              </w:rPr>
              <w:t>, and PK bioequivalence of</w:t>
            </w:r>
            <w:r w:rsidRPr="00495830">
              <w:rPr>
                <w:rFonts w:ascii="Arial Narrow" w:hAnsi="Arial Narrow" w:cs="Arial"/>
                <w:sz w:val="20"/>
                <w:szCs w:val="20"/>
              </w:rPr>
              <w:t xml:space="preserve"> </w:t>
            </w:r>
            <w:proofErr w:type="spellStart"/>
            <w:r w:rsidRPr="00495830">
              <w:rPr>
                <w:rFonts w:ascii="Arial Narrow" w:hAnsi="Arial Narrow" w:cs="Arial"/>
                <w:sz w:val="20"/>
                <w:szCs w:val="20"/>
              </w:rPr>
              <w:t>Humira</w:t>
            </w:r>
            <w:proofErr w:type="spellEnd"/>
            <w:r w:rsidRPr="00495830">
              <w:rPr>
                <w:rFonts w:ascii="Arial Narrow" w:hAnsi="Arial Narrow" w:cs="Arial"/>
                <w:sz w:val="20"/>
                <w:szCs w:val="20"/>
              </w:rPr>
              <w:t xml:space="preserve"> </w:t>
            </w:r>
            <w:r w:rsidR="008A7E79" w:rsidRPr="00495830">
              <w:rPr>
                <w:rFonts w:ascii="Arial Narrow" w:hAnsi="Arial Narrow" w:cs="Arial"/>
                <w:sz w:val="20"/>
                <w:szCs w:val="20"/>
              </w:rPr>
              <w:t xml:space="preserve">(EU) </w:t>
            </w:r>
            <w:r w:rsidRPr="00495830">
              <w:rPr>
                <w:rFonts w:ascii="Arial Narrow" w:hAnsi="Arial Narrow" w:cs="Arial"/>
                <w:sz w:val="20"/>
                <w:szCs w:val="20"/>
              </w:rPr>
              <w:t xml:space="preserve">and </w:t>
            </w:r>
            <w:proofErr w:type="spellStart"/>
            <w:r w:rsidRPr="00495830">
              <w:rPr>
                <w:rFonts w:ascii="Arial Narrow" w:hAnsi="Arial Narrow" w:cs="Arial"/>
                <w:sz w:val="20"/>
                <w:szCs w:val="20"/>
              </w:rPr>
              <w:t>Humira</w:t>
            </w:r>
            <w:proofErr w:type="spellEnd"/>
            <w:r w:rsidRPr="00495830">
              <w:rPr>
                <w:rFonts w:ascii="Arial Narrow" w:hAnsi="Arial Narrow" w:cs="Arial"/>
                <w:sz w:val="20"/>
                <w:szCs w:val="20"/>
              </w:rPr>
              <w:t xml:space="preserve"> </w:t>
            </w:r>
            <w:r w:rsidR="008A7E79" w:rsidRPr="00495830">
              <w:rPr>
                <w:rFonts w:ascii="Arial Narrow" w:hAnsi="Arial Narrow" w:cs="Arial"/>
                <w:sz w:val="20"/>
                <w:szCs w:val="20"/>
              </w:rPr>
              <w:t xml:space="preserve">(US) </w:t>
            </w:r>
            <w:r w:rsidRPr="00495830">
              <w:rPr>
                <w:rFonts w:ascii="Arial Narrow" w:hAnsi="Arial Narrow" w:cs="Arial"/>
                <w:sz w:val="20"/>
                <w:szCs w:val="20"/>
              </w:rPr>
              <w:t xml:space="preserve">in terms of </w:t>
            </w:r>
            <w:proofErr w:type="spellStart"/>
            <w:r w:rsidRPr="00495830">
              <w:rPr>
                <w:rFonts w:ascii="Arial Narrow" w:hAnsi="Arial Narrow" w:cs="Arial"/>
                <w:sz w:val="20"/>
                <w:szCs w:val="20"/>
              </w:rPr>
              <w:t>C</w:t>
            </w:r>
            <w:r w:rsidRPr="00495830">
              <w:rPr>
                <w:rFonts w:ascii="Arial Narrow" w:hAnsi="Arial Narrow" w:cs="Arial"/>
                <w:sz w:val="20"/>
                <w:szCs w:val="20"/>
                <w:vertAlign w:val="subscript"/>
              </w:rPr>
              <w:t>max</w:t>
            </w:r>
            <w:proofErr w:type="spellEnd"/>
            <w:r w:rsidRPr="00495830">
              <w:rPr>
                <w:rFonts w:ascii="Arial Narrow" w:hAnsi="Arial Narrow" w:cs="Arial"/>
                <w:sz w:val="20"/>
                <w:szCs w:val="20"/>
              </w:rPr>
              <w:t xml:space="preserve"> and AUC</w:t>
            </w:r>
            <w:r w:rsidRPr="00495830">
              <w:rPr>
                <w:rFonts w:ascii="Arial Narrow" w:hAnsi="Arial Narrow" w:cs="Arial"/>
                <w:sz w:val="20"/>
                <w:szCs w:val="20"/>
                <w:vertAlign w:val="subscript"/>
              </w:rPr>
              <w:t>0-inf</w:t>
            </w:r>
            <w:r w:rsidRPr="00495830">
              <w:rPr>
                <w:rFonts w:ascii="Arial Narrow" w:hAnsi="Arial Narrow" w:cs="Arial"/>
                <w:sz w:val="20"/>
                <w:szCs w:val="20"/>
              </w:rPr>
              <w:t xml:space="preserve"> after a single </w:t>
            </w:r>
            <w:proofErr w:type="spellStart"/>
            <w:r w:rsidRPr="00495830">
              <w:rPr>
                <w:rFonts w:ascii="Arial Narrow" w:hAnsi="Arial Narrow" w:cs="Arial"/>
                <w:sz w:val="20"/>
                <w:szCs w:val="20"/>
              </w:rPr>
              <w:t>s.c.</w:t>
            </w:r>
            <w:proofErr w:type="spellEnd"/>
            <w:r w:rsidRPr="00495830">
              <w:rPr>
                <w:rFonts w:ascii="Arial Narrow" w:hAnsi="Arial Narrow" w:cs="Arial"/>
                <w:sz w:val="20"/>
                <w:szCs w:val="20"/>
              </w:rPr>
              <w:t xml:space="preserve"> injection of 40 mg of </w:t>
            </w:r>
            <w:proofErr w:type="spellStart"/>
            <w:r w:rsidRPr="00495830">
              <w:rPr>
                <w:rFonts w:ascii="Arial Narrow" w:hAnsi="Arial Narrow" w:cs="Arial"/>
                <w:sz w:val="20"/>
                <w:szCs w:val="20"/>
              </w:rPr>
              <w:t>adalimumab</w:t>
            </w:r>
            <w:proofErr w:type="spellEnd"/>
          </w:p>
        </w:tc>
        <w:tc>
          <w:tcPr>
            <w:tcW w:w="1003" w:type="pct"/>
          </w:tcPr>
          <w:p w:rsidR="00723BFB" w:rsidRPr="00BC1A30" w:rsidRDefault="00221339" w:rsidP="008A7E79">
            <w:pPr>
              <w:keepNext/>
              <w:rPr>
                <w:rFonts w:ascii="Arial Narrow" w:hAnsi="Arial Narrow" w:cs="Arial"/>
                <w:bCs/>
                <w:sz w:val="20"/>
                <w:szCs w:val="20"/>
              </w:rPr>
            </w:pPr>
            <w:r w:rsidRPr="00BC1A30">
              <w:rPr>
                <w:rFonts w:ascii="Arial Narrow" w:hAnsi="Arial Narrow" w:cs="Arial"/>
                <w:bCs/>
                <w:sz w:val="20"/>
                <w:szCs w:val="20"/>
              </w:rPr>
              <w:t xml:space="preserve">Clinical Study Report </w:t>
            </w:r>
          </w:p>
          <w:p w:rsidR="00221339" w:rsidRPr="00BC1A30" w:rsidRDefault="00221339" w:rsidP="008A7E79">
            <w:pPr>
              <w:keepNext/>
              <w:rPr>
                <w:rFonts w:ascii="Arial Narrow" w:hAnsi="Arial Narrow" w:cs="Arial"/>
                <w:b/>
                <w:sz w:val="20"/>
                <w:szCs w:val="20"/>
              </w:rPr>
            </w:pPr>
            <w:r w:rsidRPr="00BC1A30">
              <w:rPr>
                <w:rFonts w:ascii="Arial Narrow" w:hAnsi="Arial Narrow" w:cs="Arial"/>
                <w:bCs/>
                <w:sz w:val="20"/>
                <w:szCs w:val="20"/>
              </w:rPr>
              <w:t>Report date: 11-May-2017</w:t>
            </w:r>
          </w:p>
        </w:tc>
      </w:tr>
      <w:tr w:rsidR="0000754C" w:rsidRPr="00BC1A30" w:rsidTr="0000754C">
        <w:trPr>
          <w:cantSplit/>
        </w:trPr>
        <w:tc>
          <w:tcPr>
            <w:tcW w:w="1198" w:type="pct"/>
          </w:tcPr>
          <w:p w:rsidR="008D6CA9" w:rsidRPr="00BC1A30" w:rsidRDefault="008D6CA9" w:rsidP="008A7E79">
            <w:pPr>
              <w:pStyle w:val="NoSpacing"/>
              <w:tabs>
                <w:tab w:val="left" w:pos="1289"/>
              </w:tabs>
              <w:rPr>
                <w:rFonts w:ascii="Arial Narrow" w:hAnsi="Arial Narrow" w:cs="Arial"/>
                <w:sz w:val="20"/>
                <w:szCs w:val="20"/>
              </w:rPr>
            </w:pPr>
            <w:bookmarkStart w:id="1" w:name="_Hlk30263885"/>
            <w:r w:rsidRPr="00BC1A30">
              <w:rPr>
                <w:rFonts w:ascii="Arial Narrow" w:hAnsi="Arial Narrow" w:cs="Arial"/>
                <w:sz w:val="20"/>
                <w:szCs w:val="20"/>
              </w:rPr>
              <w:lastRenderedPageBreak/>
              <w:t>GP17-301</w:t>
            </w:r>
          </w:p>
          <w:bookmarkEnd w:id="1"/>
          <w:p w:rsidR="008D6CA9" w:rsidRPr="00BC1A30" w:rsidRDefault="008D6CA9" w:rsidP="008A7E79">
            <w:pPr>
              <w:pStyle w:val="NoSpacing"/>
              <w:tabs>
                <w:tab w:val="left" w:pos="1289"/>
              </w:tabs>
              <w:rPr>
                <w:rFonts w:ascii="Arial Narrow" w:hAnsi="Arial Narrow" w:cs="Arial"/>
                <w:sz w:val="20"/>
                <w:szCs w:val="20"/>
              </w:rPr>
            </w:pPr>
            <w:r w:rsidRPr="00BC1A30">
              <w:rPr>
                <w:rFonts w:ascii="Arial Narrow" w:hAnsi="Arial Narrow" w:cs="Arial"/>
                <w:sz w:val="20"/>
                <w:szCs w:val="20"/>
              </w:rPr>
              <w:t>(pivotal confirmatory</w:t>
            </w:r>
          </w:p>
          <w:p w:rsidR="0000754C" w:rsidRPr="00BC1A30" w:rsidRDefault="008D6CA9" w:rsidP="008A7E79">
            <w:pPr>
              <w:pStyle w:val="NoSpacing"/>
              <w:tabs>
                <w:tab w:val="left" w:pos="1289"/>
              </w:tabs>
              <w:rPr>
                <w:rFonts w:ascii="Arial Narrow" w:hAnsi="Arial Narrow" w:cs="Arial"/>
                <w:sz w:val="20"/>
                <w:szCs w:val="20"/>
              </w:rPr>
            </w:pPr>
            <w:r w:rsidRPr="00BC1A30">
              <w:rPr>
                <w:rFonts w:ascii="Arial Narrow" w:hAnsi="Arial Narrow" w:cs="Arial"/>
                <w:sz w:val="20"/>
                <w:szCs w:val="20"/>
              </w:rPr>
              <w:t>efficacy and safety study)</w:t>
            </w:r>
          </w:p>
        </w:tc>
        <w:tc>
          <w:tcPr>
            <w:tcW w:w="2799" w:type="pct"/>
          </w:tcPr>
          <w:p w:rsidR="00A7460A" w:rsidRPr="00495830" w:rsidRDefault="008D6CA9" w:rsidP="008A7E79">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A multi-</w:t>
            </w:r>
            <w:proofErr w:type="spellStart"/>
            <w:r w:rsidRPr="00495830">
              <w:rPr>
                <w:rFonts w:ascii="Arial Narrow" w:hAnsi="Arial Narrow" w:cs="Arial"/>
                <w:sz w:val="20"/>
                <w:szCs w:val="20"/>
              </w:rPr>
              <w:t>center</w:t>
            </w:r>
            <w:proofErr w:type="spellEnd"/>
            <w:r w:rsidRPr="00495830">
              <w:rPr>
                <w:rFonts w:ascii="Arial Narrow" w:hAnsi="Arial Narrow" w:cs="Arial"/>
                <w:sz w:val="20"/>
                <w:szCs w:val="20"/>
              </w:rPr>
              <w:t xml:space="preserve">, randomized, </w:t>
            </w:r>
            <w:proofErr w:type="gramStart"/>
            <w:r w:rsidRPr="00495830">
              <w:rPr>
                <w:rFonts w:ascii="Arial Narrow" w:hAnsi="Arial Narrow" w:cs="Arial"/>
                <w:sz w:val="20"/>
                <w:szCs w:val="20"/>
              </w:rPr>
              <w:t>double-blind</w:t>
            </w:r>
            <w:proofErr w:type="gramEnd"/>
            <w:r w:rsidRPr="00495830">
              <w:rPr>
                <w:rFonts w:ascii="Arial Narrow" w:hAnsi="Arial Narrow" w:cs="Arial"/>
                <w:sz w:val="20"/>
                <w:szCs w:val="20"/>
              </w:rPr>
              <w:t>, comparator-controlled study with treatment switches in 465 male and female patients with moderate to severe chronic plaque-type psoriasis</w:t>
            </w:r>
            <w:r w:rsidR="00A7460A" w:rsidRPr="00495830">
              <w:rPr>
                <w:rFonts w:ascii="Arial Narrow" w:hAnsi="Arial Narrow" w:cs="Arial"/>
                <w:sz w:val="20"/>
                <w:szCs w:val="20"/>
              </w:rPr>
              <w:t>. Patients enrolled in the EU received</w:t>
            </w:r>
            <w:r w:rsidR="008A7E79" w:rsidRPr="00495830">
              <w:rPr>
                <w:rFonts w:ascii="Arial Narrow" w:hAnsi="Arial Narrow" w:cs="Arial"/>
                <w:sz w:val="20"/>
                <w:szCs w:val="20"/>
              </w:rPr>
              <w:t xml:space="preserve"> </w:t>
            </w:r>
            <w:r w:rsidR="00A7460A" w:rsidRPr="00495830">
              <w:rPr>
                <w:rFonts w:ascii="Arial Narrow" w:hAnsi="Arial Narrow" w:cs="Arial"/>
                <w:sz w:val="20"/>
                <w:szCs w:val="20"/>
              </w:rPr>
              <w:t xml:space="preserve">either </w:t>
            </w:r>
            <w:proofErr w:type="spellStart"/>
            <w:r w:rsidR="008A7E79" w:rsidRPr="00495830">
              <w:rPr>
                <w:rFonts w:ascii="Arial Narrow" w:hAnsi="Arial Narrow" w:cs="Arial"/>
                <w:sz w:val="20"/>
                <w:szCs w:val="20"/>
              </w:rPr>
              <w:t>Hyrimoz</w:t>
            </w:r>
            <w:proofErr w:type="spellEnd"/>
            <w:r w:rsidR="00A7460A" w:rsidRPr="00495830">
              <w:rPr>
                <w:rFonts w:ascii="Arial Narrow" w:hAnsi="Arial Narrow" w:cs="Arial"/>
                <w:sz w:val="20"/>
                <w:szCs w:val="20"/>
              </w:rPr>
              <w:t xml:space="preserve"> or </w:t>
            </w:r>
            <w:proofErr w:type="spellStart"/>
            <w:r w:rsidR="00A7460A" w:rsidRPr="00495830">
              <w:rPr>
                <w:rFonts w:ascii="Arial Narrow" w:hAnsi="Arial Narrow" w:cs="Arial"/>
                <w:sz w:val="20"/>
                <w:szCs w:val="20"/>
              </w:rPr>
              <w:t>Humira</w:t>
            </w:r>
            <w:proofErr w:type="spellEnd"/>
            <w:r w:rsidR="008A7E79" w:rsidRPr="00495830">
              <w:rPr>
                <w:rFonts w:ascii="Arial Narrow" w:hAnsi="Arial Narrow" w:cs="Arial"/>
                <w:sz w:val="20"/>
                <w:szCs w:val="20"/>
              </w:rPr>
              <w:t xml:space="preserve"> (EU)</w:t>
            </w:r>
            <w:r w:rsidR="00A7460A" w:rsidRPr="00495830">
              <w:rPr>
                <w:rFonts w:ascii="Arial Narrow" w:hAnsi="Arial Narrow" w:cs="Arial"/>
                <w:sz w:val="20"/>
                <w:szCs w:val="20"/>
              </w:rPr>
              <w:t xml:space="preserve">, and patients enrolled in the US received either </w:t>
            </w:r>
            <w:proofErr w:type="spellStart"/>
            <w:r w:rsidR="008A7E79" w:rsidRPr="00495830">
              <w:rPr>
                <w:rFonts w:ascii="Arial Narrow" w:hAnsi="Arial Narrow" w:cs="Arial"/>
                <w:sz w:val="20"/>
                <w:szCs w:val="20"/>
              </w:rPr>
              <w:t>Hyrimoz</w:t>
            </w:r>
            <w:proofErr w:type="spellEnd"/>
            <w:r w:rsidR="00A7460A" w:rsidRPr="00495830">
              <w:rPr>
                <w:rFonts w:ascii="Arial Narrow" w:hAnsi="Arial Narrow" w:cs="Arial"/>
                <w:sz w:val="20"/>
                <w:szCs w:val="20"/>
              </w:rPr>
              <w:t xml:space="preserve"> or </w:t>
            </w:r>
            <w:proofErr w:type="spellStart"/>
            <w:r w:rsidR="00A7460A" w:rsidRPr="00495830">
              <w:rPr>
                <w:rFonts w:ascii="Arial Narrow" w:hAnsi="Arial Narrow" w:cs="Arial"/>
                <w:sz w:val="20"/>
                <w:szCs w:val="20"/>
              </w:rPr>
              <w:t>Humira</w:t>
            </w:r>
            <w:proofErr w:type="spellEnd"/>
            <w:r w:rsidR="008A7E79" w:rsidRPr="00495830">
              <w:rPr>
                <w:rFonts w:ascii="Arial Narrow" w:hAnsi="Arial Narrow" w:cs="Arial"/>
                <w:sz w:val="20"/>
                <w:szCs w:val="20"/>
              </w:rPr>
              <w:t xml:space="preserve"> (US)</w:t>
            </w:r>
            <w:r w:rsidR="00A7460A" w:rsidRPr="00495830">
              <w:rPr>
                <w:rFonts w:ascii="Arial Narrow" w:hAnsi="Arial Narrow" w:cs="Arial"/>
                <w:sz w:val="20"/>
                <w:szCs w:val="20"/>
              </w:rPr>
              <w:t xml:space="preserve">. </w:t>
            </w:r>
          </w:p>
          <w:p w:rsidR="00A7460A" w:rsidRPr="00495830" w:rsidRDefault="00A7460A" w:rsidP="008A7E79">
            <w:pPr>
              <w:autoSpaceDE w:val="0"/>
              <w:autoSpaceDN w:val="0"/>
              <w:adjustRightInd w:val="0"/>
              <w:spacing w:after="0" w:line="240" w:lineRule="auto"/>
              <w:jc w:val="both"/>
              <w:rPr>
                <w:rFonts w:ascii="Arial Narrow" w:hAnsi="Arial Narrow" w:cs="Arial"/>
                <w:sz w:val="20"/>
                <w:szCs w:val="20"/>
              </w:rPr>
            </w:pPr>
          </w:p>
          <w:p w:rsidR="0000754C" w:rsidRPr="00495830" w:rsidRDefault="008D6CA9" w:rsidP="008A7E79">
            <w:pPr>
              <w:autoSpaceDE w:val="0"/>
              <w:autoSpaceDN w:val="0"/>
              <w:adjustRightInd w:val="0"/>
              <w:spacing w:after="0" w:line="240" w:lineRule="auto"/>
              <w:jc w:val="both"/>
              <w:rPr>
                <w:rFonts w:ascii="Arial Narrow" w:hAnsi="Arial Narrow" w:cs="Arial"/>
                <w:sz w:val="20"/>
                <w:szCs w:val="20"/>
              </w:rPr>
            </w:pPr>
            <w:r w:rsidRPr="00495830">
              <w:rPr>
                <w:rFonts w:ascii="Arial Narrow" w:hAnsi="Arial Narrow" w:cs="Arial"/>
                <w:sz w:val="20"/>
                <w:szCs w:val="20"/>
              </w:rPr>
              <w:t>Objective: To demonstrate equivalent efficacy of</w:t>
            </w:r>
            <w:r w:rsidR="008A7E79" w:rsidRPr="00495830">
              <w:rPr>
                <w:rFonts w:ascii="Arial Narrow" w:hAnsi="Arial Narrow" w:cs="Arial"/>
                <w:sz w:val="20"/>
                <w:szCs w:val="20"/>
              </w:rPr>
              <w:t xml:space="preserve"> </w:t>
            </w:r>
            <w:proofErr w:type="spellStart"/>
            <w:r w:rsidR="008A7E79" w:rsidRPr="00495830">
              <w:rPr>
                <w:rFonts w:ascii="Arial Narrow" w:hAnsi="Arial Narrow" w:cs="Arial"/>
                <w:sz w:val="20"/>
                <w:szCs w:val="20"/>
              </w:rPr>
              <w:t>Hyrimoz</w:t>
            </w:r>
            <w:proofErr w:type="spellEnd"/>
            <w:r w:rsidRPr="00495830">
              <w:rPr>
                <w:rFonts w:ascii="Arial Narrow" w:hAnsi="Arial Narrow" w:cs="Arial"/>
                <w:sz w:val="20"/>
                <w:szCs w:val="20"/>
              </w:rPr>
              <w:t xml:space="preserve"> and </w:t>
            </w:r>
            <w:proofErr w:type="spellStart"/>
            <w:r w:rsidRPr="00495830">
              <w:rPr>
                <w:rFonts w:ascii="Arial Narrow" w:hAnsi="Arial Narrow" w:cs="Arial"/>
                <w:sz w:val="20"/>
                <w:szCs w:val="20"/>
              </w:rPr>
              <w:t>Humira</w:t>
            </w:r>
            <w:proofErr w:type="spellEnd"/>
            <w:r w:rsidRPr="00495830">
              <w:rPr>
                <w:rFonts w:ascii="Arial Narrow" w:hAnsi="Arial Narrow" w:cs="Arial"/>
                <w:sz w:val="20"/>
                <w:szCs w:val="20"/>
              </w:rPr>
              <w:t xml:space="preserve"> with respect to PASI75 response</w:t>
            </w:r>
            <w:r w:rsidR="008A7E79" w:rsidRPr="00495830">
              <w:rPr>
                <w:rFonts w:ascii="Arial Narrow" w:hAnsi="Arial Narrow" w:cs="Arial"/>
                <w:sz w:val="20"/>
                <w:szCs w:val="20"/>
              </w:rPr>
              <w:t xml:space="preserve"> </w:t>
            </w:r>
            <w:r w:rsidRPr="00495830">
              <w:rPr>
                <w:rFonts w:ascii="Arial Narrow" w:hAnsi="Arial Narrow" w:cs="Arial"/>
                <w:sz w:val="20"/>
                <w:szCs w:val="20"/>
              </w:rPr>
              <w:t xml:space="preserve">rate at </w:t>
            </w:r>
            <w:bookmarkStart w:id="2" w:name="_Hlk30256295"/>
            <w:r w:rsidRPr="00495830">
              <w:rPr>
                <w:rFonts w:ascii="Arial Narrow" w:hAnsi="Arial Narrow" w:cs="Arial"/>
                <w:sz w:val="20"/>
                <w:szCs w:val="20"/>
              </w:rPr>
              <w:t>Week 16 and similar safety and immunogenicity</w:t>
            </w:r>
            <w:r w:rsidR="008A7E79" w:rsidRPr="00495830">
              <w:rPr>
                <w:rFonts w:ascii="Arial Narrow" w:hAnsi="Arial Narrow" w:cs="Arial"/>
                <w:sz w:val="20"/>
                <w:szCs w:val="20"/>
              </w:rPr>
              <w:t xml:space="preserve"> </w:t>
            </w:r>
            <w:r w:rsidRPr="00495830">
              <w:rPr>
                <w:rFonts w:ascii="Arial Narrow" w:hAnsi="Arial Narrow" w:cs="Arial"/>
                <w:sz w:val="20"/>
                <w:szCs w:val="20"/>
              </w:rPr>
              <w:t>in patients with moderate to severe chronic plaque-type</w:t>
            </w:r>
            <w:r w:rsidR="008A7E79" w:rsidRPr="00495830">
              <w:rPr>
                <w:rFonts w:ascii="Arial Narrow" w:hAnsi="Arial Narrow" w:cs="Arial"/>
                <w:sz w:val="20"/>
                <w:szCs w:val="20"/>
              </w:rPr>
              <w:t xml:space="preserve"> </w:t>
            </w:r>
            <w:r w:rsidRPr="00495830">
              <w:rPr>
                <w:rFonts w:ascii="Arial Narrow" w:hAnsi="Arial Narrow" w:cs="Arial"/>
                <w:sz w:val="20"/>
                <w:szCs w:val="20"/>
              </w:rPr>
              <w:t>psoriasis</w:t>
            </w:r>
            <w:bookmarkEnd w:id="2"/>
          </w:p>
        </w:tc>
        <w:tc>
          <w:tcPr>
            <w:tcW w:w="1003" w:type="pct"/>
          </w:tcPr>
          <w:p w:rsidR="0000754C" w:rsidRPr="00BC1A30" w:rsidRDefault="00221339" w:rsidP="008A7E79">
            <w:pPr>
              <w:keepNext/>
              <w:rPr>
                <w:rFonts w:ascii="Arial Narrow" w:hAnsi="Arial Narrow" w:cs="Arial"/>
                <w:bCs/>
                <w:sz w:val="20"/>
                <w:szCs w:val="20"/>
              </w:rPr>
            </w:pPr>
            <w:r w:rsidRPr="00BC1A30">
              <w:rPr>
                <w:rFonts w:ascii="Arial Narrow" w:hAnsi="Arial Narrow" w:cs="Arial"/>
                <w:bCs/>
                <w:sz w:val="20"/>
                <w:szCs w:val="20"/>
              </w:rPr>
              <w:t xml:space="preserve">Clinical Study Report </w:t>
            </w:r>
          </w:p>
          <w:p w:rsidR="00221339" w:rsidRPr="00BC1A30" w:rsidRDefault="00221339" w:rsidP="008A7E79">
            <w:pPr>
              <w:keepNext/>
              <w:rPr>
                <w:rFonts w:ascii="Arial Narrow" w:hAnsi="Arial Narrow" w:cs="Arial"/>
                <w:bCs/>
                <w:sz w:val="20"/>
                <w:szCs w:val="20"/>
              </w:rPr>
            </w:pPr>
            <w:r w:rsidRPr="00BC1A30">
              <w:rPr>
                <w:rFonts w:ascii="Arial Narrow" w:hAnsi="Arial Narrow" w:cs="Arial"/>
                <w:bCs/>
                <w:sz w:val="20"/>
                <w:szCs w:val="20"/>
              </w:rPr>
              <w:t xml:space="preserve">Report date: </w:t>
            </w:r>
            <w:r w:rsidRPr="00495830">
              <w:rPr>
                <w:rFonts w:ascii="Arial Narrow" w:hAnsi="Arial Narrow" w:cs="Arial"/>
                <w:bCs/>
                <w:sz w:val="20"/>
                <w:szCs w:val="20"/>
              </w:rPr>
              <w:t>11-May-2017</w:t>
            </w:r>
          </w:p>
        </w:tc>
      </w:tr>
    </w:tbl>
    <w:p w:rsidR="00742F6B" w:rsidRPr="00BC1A30" w:rsidRDefault="00742F6B" w:rsidP="004F2BD2">
      <w:pPr>
        <w:jc w:val="both"/>
      </w:pPr>
    </w:p>
    <w:p w:rsidR="00742F6B" w:rsidRPr="007C1065" w:rsidRDefault="00742F6B" w:rsidP="007C1065">
      <w:pPr>
        <w:pStyle w:val="4-SubsectionHeading"/>
        <w:rPr>
          <w:color w:val="auto"/>
        </w:rPr>
      </w:pPr>
      <w:r w:rsidRPr="007C1065">
        <w:rPr>
          <w:color w:val="auto"/>
        </w:rPr>
        <w:t>Comparative effectiveness</w:t>
      </w:r>
    </w:p>
    <w:p w:rsidR="00F8386E" w:rsidRPr="00BC1A30" w:rsidRDefault="00E7142A" w:rsidP="00D10FF3">
      <w:pPr>
        <w:pStyle w:val="3Bodytext"/>
        <w:numPr>
          <w:ilvl w:val="1"/>
          <w:numId w:val="1"/>
        </w:numPr>
        <w:jc w:val="both"/>
      </w:pPr>
      <w:r w:rsidRPr="00BC1A30">
        <w:t xml:space="preserve">The bioequivalence criteria for </w:t>
      </w:r>
      <w:proofErr w:type="spellStart"/>
      <w:r w:rsidRPr="00BC1A30">
        <w:t>Hyrimoz</w:t>
      </w:r>
      <w:proofErr w:type="spellEnd"/>
      <w:r w:rsidRPr="00BC1A30">
        <w:t xml:space="preserve"> </w:t>
      </w:r>
      <w:proofErr w:type="gramStart"/>
      <w:r w:rsidRPr="00BC1A30">
        <w:t>were not met</w:t>
      </w:r>
      <w:proofErr w:type="gramEnd"/>
      <w:r w:rsidRPr="00BC1A30">
        <w:t xml:space="preserve"> in Study GP17-101 due to </w:t>
      </w:r>
      <w:proofErr w:type="spellStart"/>
      <w:r w:rsidRPr="00BC1A30">
        <w:t>underpowering</w:t>
      </w:r>
      <w:proofErr w:type="spellEnd"/>
      <w:r w:rsidRPr="00BC1A30">
        <w:t>. Study GP17-104 had a nearly identical methodology</w:t>
      </w:r>
      <w:r w:rsidR="00A37FE4" w:rsidRPr="00BC1A30">
        <w:t xml:space="preserve"> to Study GP17-101</w:t>
      </w:r>
      <w:r w:rsidRPr="00BC1A30">
        <w:t xml:space="preserve"> but </w:t>
      </w:r>
      <w:r w:rsidR="00125026" w:rsidRPr="00BC1A30">
        <w:t xml:space="preserve">with </w:t>
      </w:r>
      <w:r w:rsidR="00A37FE4" w:rsidRPr="00BC1A30">
        <w:t>a larger</w:t>
      </w:r>
      <w:r w:rsidRPr="00BC1A30">
        <w:t xml:space="preserve"> sample size. </w:t>
      </w:r>
      <w:r w:rsidR="00A37FE4" w:rsidRPr="00BC1A30">
        <w:t>The p</w:t>
      </w:r>
      <w:r w:rsidRPr="00BC1A30">
        <w:t>ool</w:t>
      </w:r>
      <w:r w:rsidR="00A37FE4" w:rsidRPr="00BC1A30">
        <w:t>ed</w:t>
      </w:r>
      <w:r w:rsidRPr="00BC1A30">
        <w:t xml:space="preserve"> results from studies GP17-101 and </w:t>
      </w:r>
      <w:r w:rsidR="004659B1" w:rsidRPr="00BC1A30">
        <w:t>GP17</w:t>
      </w:r>
      <w:r w:rsidRPr="00BC1A30">
        <w:t xml:space="preserve">-104 </w:t>
      </w:r>
      <w:proofErr w:type="gramStart"/>
      <w:r w:rsidR="00A37FE4" w:rsidRPr="00BC1A30">
        <w:t>were used</w:t>
      </w:r>
      <w:proofErr w:type="gramEnd"/>
      <w:r w:rsidR="00A37FE4" w:rsidRPr="00BC1A30">
        <w:t xml:space="preserve"> to </w:t>
      </w:r>
      <w:r w:rsidRPr="00BC1A30">
        <w:t xml:space="preserve">support </w:t>
      </w:r>
      <w:r w:rsidR="00A37FE4" w:rsidRPr="00BC1A30">
        <w:t xml:space="preserve">the sponsor’s claim that </w:t>
      </w:r>
      <w:proofErr w:type="spellStart"/>
      <w:r w:rsidR="00A37FE4" w:rsidRPr="00BC1A30">
        <w:t>Hyrimoz</w:t>
      </w:r>
      <w:proofErr w:type="spellEnd"/>
      <w:r w:rsidR="00A37FE4" w:rsidRPr="00BC1A30">
        <w:t xml:space="preserve"> was bioequivalent to </w:t>
      </w:r>
      <w:proofErr w:type="spellStart"/>
      <w:r w:rsidR="00A37FE4" w:rsidRPr="00BC1A30">
        <w:t>Humira</w:t>
      </w:r>
      <w:proofErr w:type="spellEnd"/>
      <w:r w:rsidR="00812E73" w:rsidRPr="00BC1A30">
        <w:t xml:space="preserve"> (see paragraph 5.</w:t>
      </w:r>
      <w:r w:rsidR="00AE43C2" w:rsidRPr="00BC1A30">
        <w:t>9</w:t>
      </w:r>
      <w:r w:rsidR="00812E73" w:rsidRPr="00BC1A30">
        <w:t>)</w:t>
      </w:r>
      <w:r w:rsidRPr="00BC1A30">
        <w:t>.</w:t>
      </w:r>
      <w:r w:rsidR="00F8386E" w:rsidRPr="00BC1A30">
        <w:t xml:space="preserve"> </w:t>
      </w:r>
    </w:p>
    <w:p w:rsidR="00E7142A" w:rsidRPr="00BC1A30" w:rsidRDefault="00F8386E" w:rsidP="00D10FF3">
      <w:pPr>
        <w:pStyle w:val="3Bodytext"/>
        <w:numPr>
          <w:ilvl w:val="1"/>
          <w:numId w:val="1"/>
        </w:numPr>
        <w:jc w:val="both"/>
      </w:pPr>
      <w:r w:rsidRPr="00BC1A30">
        <w:t xml:space="preserve">In study GP-102, the </w:t>
      </w:r>
      <w:r w:rsidR="00A37FE4" w:rsidRPr="00BC1A30">
        <w:t xml:space="preserve">pharmacokinetics of </w:t>
      </w:r>
      <w:proofErr w:type="spellStart"/>
      <w:r w:rsidR="00A37FE4" w:rsidRPr="00BC1A30">
        <w:t>Hyrimoz</w:t>
      </w:r>
      <w:proofErr w:type="spellEnd"/>
      <w:r w:rsidR="00A37FE4" w:rsidRPr="00BC1A30">
        <w:t xml:space="preserve"> administered by pre-filled syringe</w:t>
      </w:r>
      <w:r w:rsidRPr="00BC1A30">
        <w:t xml:space="preserve"> </w:t>
      </w:r>
      <w:r w:rsidR="00A37FE4" w:rsidRPr="00BC1A30">
        <w:t>or</w:t>
      </w:r>
      <w:r w:rsidRPr="00BC1A30">
        <w:t xml:space="preserve"> </w:t>
      </w:r>
      <w:proofErr w:type="spellStart"/>
      <w:r w:rsidRPr="00BC1A30">
        <w:t>autoinjector</w:t>
      </w:r>
      <w:proofErr w:type="spellEnd"/>
      <w:r w:rsidRPr="00BC1A30">
        <w:t xml:space="preserve"> </w:t>
      </w:r>
      <w:proofErr w:type="gramStart"/>
      <w:r w:rsidRPr="00BC1A30">
        <w:t xml:space="preserve">were </w:t>
      </w:r>
      <w:r w:rsidR="00A37FE4" w:rsidRPr="00BC1A30">
        <w:t>examined</w:t>
      </w:r>
      <w:proofErr w:type="gramEnd"/>
      <w:r w:rsidRPr="00BC1A30">
        <w:t xml:space="preserve">. </w:t>
      </w:r>
      <w:r w:rsidR="004B3DCE" w:rsidRPr="00BC1A30">
        <w:t xml:space="preserve">The TGA Evaluator concluded that, overall, the bioequivalence criteria comparing the </w:t>
      </w:r>
      <w:r w:rsidR="0084280E" w:rsidRPr="00BC1A30">
        <w:t>pre-filled syringe</w:t>
      </w:r>
      <w:r w:rsidR="004B3DCE" w:rsidRPr="00BC1A30">
        <w:t xml:space="preserve"> and </w:t>
      </w:r>
      <w:proofErr w:type="spellStart"/>
      <w:r w:rsidR="004B3DCE" w:rsidRPr="00BC1A30">
        <w:t>autoinjector</w:t>
      </w:r>
      <w:proofErr w:type="spellEnd"/>
      <w:r w:rsidR="004B3DCE" w:rsidRPr="00BC1A30">
        <w:t xml:space="preserve"> </w:t>
      </w:r>
      <w:proofErr w:type="gramStart"/>
      <w:r w:rsidR="004B3DCE" w:rsidRPr="00BC1A30">
        <w:t>were met</w:t>
      </w:r>
      <w:proofErr w:type="gramEnd"/>
      <w:r w:rsidR="004B3DCE" w:rsidRPr="00BC1A30">
        <w:t>.</w:t>
      </w:r>
      <w:r w:rsidRPr="00BC1A30">
        <w:t xml:space="preserve"> </w:t>
      </w:r>
    </w:p>
    <w:p w:rsidR="009F1253" w:rsidRPr="00BC1A30" w:rsidRDefault="006B7518" w:rsidP="00D10FF3">
      <w:pPr>
        <w:pStyle w:val="3Bodytext"/>
        <w:numPr>
          <w:ilvl w:val="1"/>
          <w:numId w:val="1"/>
        </w:numPr>
        <w:jc w:val="both"/>
      </w:pPr>
      <w:r w:rsidRPr="00BC1A30">
        <w:t xml:space="preserve">Study GP17-103 was an assessment of bioequivalence between different manufacturing sites </w:t>
      </w:r>
      <w:r w:rsidR="004B3DCE" w:rsidRPr="00BC1A30">
        <w:t>(</w:t>
      </w:r>
      <w:proofErr w:type="spellStart"/>
      <w:r w:rsidR="009F1253" w:rsidRPr="00BC1A30">
        <w:t>Hyrimoz</w:t>
      </w:r>
      <w:proofErr w:type="spellEnd"/>
      <w:r w:rsidR="009F1253" w:rsidRPr="00BC1A30">
        <w:t xml:space="preserve">-Cook </w:t>
      </w:r>
      <w:r w:rsidRPr="00BC1A30">
        <w:t>and</w:t>
      </w:r>
      <w:r w:rsidR="009F1253" w:rsidRPr="00BC1A30">
        <w:t xml:space="preserve"> </w:t>
      </w:r>
      <w:proofErr w:type="spellStart"/>
      <w:r w:rsidR="00185284" w:rsidRPr="00BC1A30">
        <w:t>Hyrimoz</w:t>
      </w:r>
      <w:r w:rsidR="009F1253" w:rsidRPr="00BC1A30">
        <w:t>-Schaftenau</w:t>
      </w:r>
      <w:proofErr w:type="spellEnd"/>
      <w:r w:rsidRPr="00BC1A30">
        <w:t>)</w:t>
      </w:r>
      <w:r w:rsidR="009F1253" w:rsidRPr="00BC1A30">
        <w:t xml:space="preserve">. The </w:t>
      </w:r>
      <w:r w:rsidR="004B3DCE" w:rsidRPr="00BC1A30">
        <w:t>TGA Evaluator concluded that the results supported bioequivalence between the two sites.</w:t>
      </w:r>
    </w:p>
    <w:p w:rsidR="00A354D0" w:rsidRPr="00BC1A30" w:rsidRDefault="00DD1F0A" w:rsidP="00D10FF3">
      <w:pPr>
        <w:pStyle w:val="3Bodytext"/>
        <w:numPr>
          <w:ilvl w:val="1"/>
          <w:numId w:val="1"/>
        </w:numPr>
        <w:jc w:val="both"/>
      </w:pPr>
      <w:r w:rsidRPr="00BC1A30">
        <w:t xml:space="preserve">In study GP17-104, </w:t>
      </w:r>
      <w:r w:rsidR="009C6889" w:rsidRPr="00BC1A30">
        <w:t xml:space="preserve">healthy </w:t>
      </w:r>
      <w:r w:rsidRPr="00BC1A30">
        <w:t xml:space="preserve">subjects </w:t>
      </w:r>
      <w:proofErr w:type="gramStart"/>
      <w:r w:rsidRPr="00BC1A30">
        <w:t>were administered</w:t>
      </w:r>
      <w:proofErr w:type="gramEnd"/>
      <w:r w:rsidRPr="00BC1A30">
        <w:t xml:space="preserve"> with </w:t>
      </w:r>
      <w:r w:rsidR="00604480" w:rsidRPr="00BC1A30">
        <w:t xml:space="preserve">a single dose of </w:t>
      </w:r>
      <w:proofErr w:type="spellStart"/>
      <w:r w:rsidRPr="00BC1A30">
        <w:t>Hyrimoz</w:t>
      </w:r>
      <w:proofErr w:type="spellEnd"/>
      <w:r w:rsidR="00604480" w:rsidRPr="00BC1A30">
        <w:t xml:space="preserve">, </w:t>
      </w:r>
      <w:proofErr w:type="spellStart"/>
      <w:r w:rsidR="00604480" w:rsidRPr="00BC1A30">
        <w:t>Humira</w:t>
      </w:r>
      <w:proofErr w:type="spellEnd"/>
      <w:r w:rsidRPr="00BC1A30">
        <w:t xml:space="preserve"> (EU)</w:t>
      </w:r>
      <w:r w:rsidR="00604480" w:rsidRPr="00BC1A30">
        <w:t xml:space="preserve"> or</w:t>
      </w:r>
      <w:r w:rsidRPr="00BC1A30">
        <w:t xml:space="preserve"> </w:t>
      </w:r>
      <w:proofErr w:type="spellStart"/>
      <w:r w:rsidR="00604480" w:rsidRPr="00BC1A30">
        <w:t>Humira</w:t>
      </w:r>
      <w:proofErr w:type="spellEnd"/>
      <w:r w:rsidRPr="00BC1A30">
        <w:t xml:space="preserve"> (US). The </w:t>
      </w:r>
      <w:proofErr w:type="spellStart"/>
      <w:r w:rsidR="00604480" w:rsidRPr="00BC1A30">
        <w:t>adalimumab</w:t>
      </w:r>
      <w:proofErr w:type="spellEnd"/>
      <w:r w:rsidR="00604480" w:rsidRPr="00BC1A30">
        <w:t xml:space="preserve"> concentration-time profiles were similar in all </w:t>
      </w:r>
      <w:proofErr w:type="gramStart"/>
      <w:r w:rsidR="00604480" w:rsidRPr="00BC1A30">
        <w:t>three treatment</w:t>
      </w:r>
      <w:proofErr w:type="gramEnd"/>
      <w:r w:rsidR="00604480" w:rsidRPr="00BC1A30">
        <w:t xml:space="preserve"> groups. </w:t>
      </w:r>
      <w:r w:rsidRPr="00BC1A30">
        <w:t>T</w:t>
      </w:r>
      <w:r w:rsidR="00604480" w:rsidRPr="00BC1A30">
        <w:t xml:space="preserve">he 90% CI of the geometric mean ratios for the primary PK parameters </w:t>
      </w:r>
      <w:proofErr w:type="spellStart"/>
      <w:r w:rsidR="00604480" w:rsidRPr="00BC1A30">
        <w:t>C</w:t>
      </w:r>
      <w:r w:rsidR="00604480" w:rsidRPr="00BC1A30">
        <w:rPr>
          <w:vertAlign w:val="subscript"/>
        </w:rPr>
        <w:t>max</w:t>
      </w:r>
      <w:proofErr w:type="spellEnd"/>
      <w:r w:rsidR="00604480" w:rsidRPr="00BC1A30">
        <w:rPr>
          <w:vertAlign w:val="subscript"/>
        </w:rPr>
        <w:t xml:space="preserve"> </w:t>
      </w:r>
      <w:r w:rsidR="00604480" w:rsidRPr="00BC1A30">
        <w:t>and AUC</w:t>
      </w:r>
      <w:r w:rsidR="00604480" w:rsidRPr="00BC1A30">
        <w:rPr>
          <w:vertAlign w:val="subscript"/>
        </w:rPr>
        <w:t>0</w:t>
      </w:r>
      <w:r w:rsidR="00604480" w:rsidRPr="00BC1A30">
        <w:t>-inf were within the standard bioequivalence interval of 0.8-1.25</w:t>
      </w:r>
      <w:r w:rsidR="00CA7A6B" w:rsidRPr="00BC1A30">
        <w:t xml:space="preserve">. The TGA Evaluator concluded that the bioequivalence criteria </w:t>
      </w:r>
      <w:proofErr w:type="gramStart"/>
      <w:r w:rsidR="00CA7A6B" w:rsidRPr="00BC1A30">
        <w:t>were met</w:t>
      </w:r>
      <w:proofErr w:type="gramEnd"/>
      <w:r w:rsidR="00BE77CC" w:rsidRPr="00BC1A30">
        <w:t>.</w:t>
      </w:r>
      <w:r w:rsidR="007947D2" w:rsidRPr="00BC1A30">
        <w:t xml:space="preserve"> </w:t>
      </w:r>
    </w:p>
    <w:p w:rsidR="00E367A6" w:rsidRPr="00BC1A30" w:rsidRDefault="00E367A6" w:rsidP="00D10FF3">
      <w:pPr>
        <w:pStyle w:val="3Bodytext"/>
        <w:numPr>
          <w:ilvl w:val="1"/>
          <w:numId w:val="1"/>
        </w:numPr>
        <w:jc w:val="both"/>
      </w:pPr>
      <w:r w:rsidRPr="00BC1A30">
        <w:t>S</w:t>
      </w:r>
      <w:r w:rsidR="00EE3D6F" w:rsidRPr="00BC1A30">
        <w:t>tudy GP17-301</w:t>
      </w:r>
      <w:r w:rsidRPr="00BC1A30">
        <w:t xml:space="preserve"> was a phase II, multi-centre, randomised, </w:t>
      </w:r>
      <w:proofErr w:type="gramStart"/>
      <w:r w:rsidRPr="00BC1A30">
        <w:t>double-blind</w:t>
      </w:r>
      <w:proofErr w:type="gramEnd"/>
      <w:r w:rsidRPr="00BC1A30">
        <w:t xml:space="preserve">, comparator-controlled study with treatment switches in patients with moderate to severe chronic plaque-type psoriasis to compare </w:t>
      </w:r>
      <w:proofErr w:type="spellStart"/>
      <w:r w:rsidRPr="00BC1A30">
        <w:t>Hyrimoz</w:t>
      </w:r>
      <w:proofErr w:type="spellEnd"/>
      <w:r w:rsidRPr="00BC1A30">
        <w:t xml:space="preserve"> and </w:t>
      </w:r>
      <w:proofErr w:type="spellStart"/>
      <w:r w:rsidRPr="00BC1A30">
        <w:t>Humira</w:t>
      </w:r>
      <w:proofErr w:type="spellEnd"/>
      <w:r w:rsidRPr="00BC1A30">
        <w:t>. The TGA Evaluator concluded that the</w:t>
      </w:r>
      <w:r w:rsidR="00610FFA" w:rsidRPr="00BC1A30">
        <w:t xml:space="preserve"> results of this study </w:t>
      </w:r>
      <w:r w:rsidRPr="00BC1A30">
        <w:t>support</w:t>
      </w:r>
      <w:r w:rsidR="00610FFA" w:rsidRPr="00BC1A30">
        <w:t>ed the</w:t>
      </w:r>
      <w:r w:rsidRPr="00BC1A30">
        <w:t xml:space="preserve"> clinical efficacy of </w:t>
      </w:r>
      <w:proofErr w:type="spellStart"/>
      <w:r w:rsidRPr="00BC1A30">
        <w:t>Hyrimoz</w:t>
      </w:r>
      <w:proofErr w:type="spellEnd"/>
      <w:r w:rsidRPr="00BC1A30">
        <w:t xml:space="preserve"> in psoriasis, </w:t>
      </w:r>
      <w:proofErr w:type="gramStart"/>
      <w:r w:rsidRPr="00BC1A30">
        <w:t>and also</w:t>
      </w:r>
      <w:proofErr w:type="gramEnd"/>
      <w:r w:rsidRPr="00BC1A30">
        <w:t xml:space="preserve"> </w:t>
      </w:r>
      <w:r w:rsidR="00610FFA" w:rsidRPr="00BC1A30">
        <w:t xml:space="preserve">the </w:t>
      </w:r>
      <w:r w:rsidRPr="00BC1A30">
        <w:t xml:space="preserve">biosimilarity of </w:t>
      </w:r>
      <w:proofErr w:type="spellStart"/>
      <w:r w:rsidRPr="00BC1A30">
        <w:t>Hyrimoz</w:t>
      </w:r>
      <w:proofErr w:type="spellEnd"/>
      <w:r w:rsidRPr="00BC1A30">
        <w:t xml:space="preserve"> to </w:t>
      </w:r>
      <w:proofErr w:type="spellStart"/>
      <w:r w:rsidRPr="00BC1A30">
        <w:t>Humira</w:t>
      </w:r>
      <w:proofErr w:type="spellEnd"/>
      <w:r w:rsidRPr="00BC1A30">
        <w:t xml:space="preserve">. </w:t>
      </w:r>
    </w:p>
    <w:p w:rsidR="00426B8B" w:rsidRPr="007C1065" w:rsidRDefault="00426B8B" w:rsidP="007C1065">
      <w:pPr>
        <w:pStyle w:val="4-SubsectionHeading"/>
        <w:rPr>
          <w:color w:val="auto"/>
        </w:rPr>
      </w:pPr>
      <w:r w:rsidRPr="007C1065">
        <w:rPr>
          <w:color w:val="auto"/>
        </w:rPr>
        <w:t>Comparative harm</w:t>
      </w:r>
      <w:r w:rsidR="00B828DE" w:rsidRPr="007C1065">
        <w:rPr>
          <w:color w:val="auto"/>
        </w:rPr>
        <w:t>s</w:t>
      </w:r>
    </w:p>
    <w:p w:rsidR="00426B8B" w:rsidRPr="00BC1A30" w:rsidRDefault="00EA0D17" w:rsidP="00D10FF3">
      <w:pPr>
        <w:pStyle w:val="3Bodytext"/>
        <w:numPr>
          <w:ilvl w:val="1"/>
          <w:numId w:val="1"/>
        </w:numPr>
        <w:jc w:val="both"/>
      </w:pPr>
      <w:r w:rsidRPr="00BC1A30">
        <w:t xml:space="preserve">Overall, </w:t>
      </w:r>
      <w:r w:rsidR="004E6096" w:rsidRPr="00BC1A30">
        <w:t xml:space="preserve">the </w:t>
      </w:r>
      <w:r w:rsidR="007B6A0B" w:rsidRPr="00BC1A30">
        <w:t>TGA E</w:t>
      </w:r>
      <w:r w:rsidR="004E6096" w:rsidRPr="00BC1A30">
        <w:t xml:space="preserve">valuator concluded that </w:t>
      </w:r>
      <w:r w:rsidRPr="00BC1A30">
        <w:t xml:space="preserve">the </w:t>
      </w:r>
      <w:r w:rsidR="00610FFA" w:rsidRPr="00BC1A30">
        <w:t xml:space="preserve">safety data from the clinical and pharmacokinetic studies demonstrated that there were no clinically meaningful differences </w:t>
      </w:r>
      <w:r w:rsidR="00CA7A6B" w:rsidRPr="00BC1A30">
        <w:t xml:space="preserve">in safety </w:t>
      </w:r>
      <w:r w:rsidR="00610FFA" w:rsidRPr="00BC1A30">
        <w:t xml:space="preserve">between </w:t>
      </w:r>
      <w:proofErr w:type="spellStart"/>
      <w:r w:rsidR="00610FFA" w:rsidRPr="00BC1A30">
        <w:t>Hyrimoz</w:t>
      </w:r>
      <w:proofErr w:type="spellEnd"/>
      <w:r w:rsidR="00610FFA" w:rsidRPr="00BC1A30">
        <w:t xml:space="preserve"> and </w:t>
      </w:r>
      <w:proofErr w:type="spellStart"/>
      <w:r w:rsidR="00610FFA" w:rsidRPr="00BC1A30">
        <w:t>Humira</w:t>
      </w:r>
      <w:proofErr w:type="spellEnd"/>
      <w:r w:rsidR="00426B8B" w:rsidRPr="00BC1A30">
        <w:t>.</w:t>
      </w:r>
    </w:p>
    <w:p w:rsidR="0019465C" w:rsidRDefault="0019465C" w:rsidP="00800F47"/>
    <w:p w:rsidR="00C7030B" w:rsidRPr="007C1065" w:rsidRDefault="00C7030B" w:rsidP="007C1065">
      <w:pPr>
        <w:pStyle w:val="4-SubsectionHeading"/>
        <w:rPr>
          <w:color w:val="auto"/>
        </w:rPr>
      </w:pPr>
      <w:r w:rsidRPr="007C1065">
        <w:rPr>
          <w:color w:val="auto"/>
        </w:rPr>
        <w:lastRenderedPageBreak/>
        <w:t xml:space="preserve">Clinical claim </w:t>
      </w:r>
    </w:p>
    <w:p w:rsidR="00DF0700" w:rsidRPr="00BC1A30" w:rsidRDefault="00FD6B07" w:rsidP="00D10FF3">
      <w:pPr>
        <w:pStyle w:val="3Bodytext"/>
        <w:numPr>
          <w:ilvl w:val="1"/>
          <w:numId w:val="1"/>
        </w:numPr>
        <w:jc w:val="both"/>
      </w:pPr>
      <w:r w:rsidRPr="00BC1A30">
        <w:t xml:space="preserve">The </w:t>
      </w:r>
      <w:r w:rsidR="00610FFA" w:rsidRPr="00BC1A30">
        <w:t xml:space="preserve">minor submission’s clinical claim was that </w:t>
      </w:r>
      <w:proofErr w:type="spellStart"/>
      <w:r w:rsidR="00610FFA" w:rsidRPr="00BC1A30">
        <w:t>Hyrimoz</w:t>
      </w:r>
      <w:proofErr w:type="spellEnd"/>
      <w:r w:rsidR="00610FFA" w:rsidRPr="00BC1A30">
        <w:t xml:space="preserve"> is non-inferior in terms of efficacy and safety to </w:t>
      </w:r>
      <w:proofErr w:type="spellStart"/>
      <w:r w:rsidR="00610FFA" w:rsidRPr="00BC1A30">
        <w:t>Humira</w:t>
      </w:r>
      <w:proofErr w:type="spellEnd"/>
      <w:r w:rsidR="00610FFA" w:rsidRPr="00BC1A30">
        <w:t xml:space="preserve">. The TGA Evaluator found that the results of the clinical and pharmacokinetic studies showed that the two products were similar in terms of both efficacy and safety and were biosimilar to one other. </w:t>
      </w:r>
    </w:p>
    <w:p w:rsidR="008D23BC" w:rsidRPr="00BC1A30" w:rsidRDefault="008D23BC" w:rsidP="00D10FF3">
      <w:pPr>
        <w:pStyle w:val="3Bodytext"/>
        <w:numPr>
          <w:ilvl w:val="1"/>
          <w:numId w:val="1"/>
        </w:numPr>
        <w:jc w:val="both"/>
      </w:pPr>
      <w:r w:rsidRPr="00BC1A30">
        <w:t>The PBAC considered that the claim of non-inferior comparative effectiveness was reasonable.</w:t>
      </w:r>
    </w:p>
    <w:p w:rsidR="008D23BC" w:rsidRPr="00BC1A30" w:rsidRDefault="008D23BC" w:rsidP="00D10FF3">
      <w:pPr>
        <w:pStyle w:val="3Bodytext"/>
        <w:numPr>
          <w:ilvl w:val="1"/>
          <w:numId w:val="1"/>
        </w:numPr>
        <w:jc w:val="both"/>
      </w:pPr>
      <w:r w:rsidRPr="00BC1A30">
        <w:t>The PBAC considered that the claim of non-inferior comparative safety was reasonable.</w:t>
      </w:r>
    </w:p>
    <w:p w:rsidR="00676ABB" w:rsidRPr="007C1065" w:rsidRDefault="00676ABB" w:rsidP="007C1065">
      <w:pPr>
        <w:pStyle w:val="4-SubsectionHeading"/>
        <w:rPr>
          <w:color w:val="auto"/>
        </w:rPr>
      </w:pPr>
      <w:r w:rsidRPr="007C1065">
        <w:rPr>
          <w:color w:val="auto"/>
        </w:rPr>
        <w:t>Estimated PBS usage &amp; financial implications</w:t>
      </w:r>
    </w:p>
    <w:p w:rsidR="00452951" w:rsidRPr="00BC1A30" w:rsidRDefault="009836D3" w:rsidP="00D10FF3">
      <w:pPr>
        <w:pStyle w:val="3Bodytext"/>
        <w:numPr>
          <w:ilvl w:val="1"/>
          <w:numId w:val="1"/>
        </w:numPr>
        <w:jc w:val="both"/>
      </w:pPr>
      <w:r w:rsidRPr="00BC1A30">
        <w:t>Th</w:t>
      </w:r>
      <w:r w:rsidR="00676ABB" w:rsidRPr="00BC1A30">
        <w:t>e minor</w:t>
      </w:r>
      <w:r w:rsidRPr="00BC1A30">
        <w:t xml:space="preserve"> submission request</w:t>
      </w:r>
      <w:r w:rsidR="00DA6261" w:rsidRPr="00BC1A30">
        <w:t>ed</w:t>
      </w:r>
      <w:r w:rsidRPr="00BC1A30">
        <w:t xml:space="preserve"> listing of </w:t>
      </w:r>
      <w:proofErr w:type="spellStart"/>
      <w:r w:rsidRPr="00BC1A30">
        <w:t>Hyrimoz</w:t>
      </w:r>
      <w:proofErr w:type="spellEnd"/>
      <w:r w:rsidRPr="00BC1A30">
        <w:t xml:space="preserve"> on a cost-minimis</w:t>
      </w:r>
      <w:r w:rsidR="004533D2" w:rsidRPr="00BC1A30">
        <w:t>ation</w:t>
      </w:r>
      <w:r w:rsidRPr="00BC1A30">
        <w:t xml:space="preserve"> basis </w:t>
      </w:r>
      <w:r w:rsidR="00DA6261" w:rsidRPr="00BC1A30">
        <w:t>to</w:t>
      </w:r>
      <w:r w:rsidRPr="00BC1A30">
        <w:t xml:space="preserve"> </w:t>
      </w:r>
      <w:proofErr w:type="spellStart"/>
      <w:r w:rsidRPr="00BC1A30">
        <w:t>Hum</w:t>
      </w:r>
      <w:r w:rsidR="00DF0700" w:rsidRPr="00BC1A30">
        <w:t>i</w:t>
      </w:r>
      <w:r w:rsidRPr="00BC1A30">
        <w:t>ra</w:t>
      </w:r>
      <w:proofErr w:type="spellEnd"/>
      <w:r w:rsidRPr="00BC1A30">
        <w:t xml:space="preserve">. </w:t>
      </w:r>
    </w:p>
    <w:p w:rsidR="009836D3" w:rsidRPr="00BC1A30" w:rsidRDefault="00877CDE" w:rsidP="00D10FF3">
      <w:pPr>
        <w:pStyle w:val="3Bodytext"/>
        <w:numPr>
          <w:ilvl w:val="1"/>
          <w:numId w:val="1"/>
        </w:numPr>
        <w:jc w:val="both"/>
      </w:pPr>
      <w:r w:rsidRPr="00BC1A30">
        <w:t xml:space="preserve">The </w:t>
      </w:r>
      <w:r w:rsidR="00A35E74" w:rsidRPr="00BC1A30">
        <w:t>minor submission estimate</w:t>
      </w:r>
      <w:r w:rsidR="00DA6261" w:rsidRPr="00BC1A30">
        <w:t>d</w:t>
      </w:r>
      <w:r w:rsidR="00A35E74" w:rsidRPr="00BC1A30">
        <w:t xml:space="preserve"> that the financial impact to the PBS</w:t>
      </w:r>
      <w:r w:rsidR="00343EB5" w:rsidRPr="00BC1A30">
        <w:t xml:space="preserve"> of listing </w:t>
      </w:r>
      <w:proofErr w:type="spellStart"/>
      <w:r w:rsidR="00343EB5" w:rsidRPr="00BC1A30">
        <w:t>Hyrimoz</w:t>
      </w:r>
      <w:proofErr w:type="spellEnd"/>
      <w:r w:rsidR="00343EB5" w:rsidRPr="00BC1A30">
        <w:t xml:space="preserve"> as the first alternative brand of </w:t>
      </w:r>
      <w:proofErr w:type="spellStart"/>
      <w:r w:rsidR="00343EB5" w:rsidRPr="00BC1A30">
        <w:t>adalimumab</w:t>
      </w:r>
      <w:proofErr w:type="spellEnd"/>
      <w:r w:rsidR="00A35E74" w:rsidRPr="00BC1A30">
        <w:t xml:space="preserve"> </w:t>
      </w:r>
      <w:r w:rsidR="00343EB5" w:rsidRPr="00BC1A30">
        <w:t>would be a</w:t>
      </w:r>
      <w:r w:rsidR="00A35E74" w:rsidRPr="00BC1A30">
        <w:t xml:space="preserve"> minimum saving of </w:t>
      </w:r>
      <w:r w:rsidR="00920A65">
        <w:t>more than $100 million</w:t>
      </w:r>
      <w:r w:rsidR="00A35E74" w:rsidRPr="00BC1A30">
        <w:t xml:space="preserve"> over six years. Including the </w:t>
      </w:r>
      <w:r w:rsidRPr="00BC1A30">
        <w:t xml:space="preserve">potential </w:t>
      </w:r>
      <w:r w:rsidR="00A35E74" w:rsidRPr="00BC1A30">
        <w:t>impact of removal of the S</w:t>
      </w:r>
      <w:r w:rsidRPr="00BC1A30">
        <w:t xml:space="preserve">pecial </w:t>
      </w:r>
      <w:r w:rsidR="00A35E74" w:rsidRPr="00BC1A30">
        <w:t>P</w:t>
      </w:r>
      <w:r w:rsidRPr="00BC1A30">
        <w:t xml:space="preserve">ricing </w:t>
      </w:r>
      <w:r w:rsidR="00A35E74" w:rsidRPr="00BC1A30">
        <w:t>A</w:t>
      </w:r>
      <w:r w:rsidRPr="00BC1A30">
        <w:t xml:space="preserve">rrangement with </w:t>
      </w:r>
      <w:proofErr w:type="spellStart"/>
      <w:r w:rsidRPr="00BC1A30">
        <w:t>Humira</w:t>
      </w:r>
      <w:proofErr w:type="spellEnd"/>
      <w:r w:rsidR="00A35E74" w:rsidRPr="00BC1A30">
        <w:t xml:space="preserve"> </w:t>
      </w:r>
      <w:r w:rsidR="00420F71" w:rsidRPr="00BC1A30">
        <w:t>(</w:t>
      </w:r>
      <w:r w:rsidR="00AF7B9C">
        <w:t>estimated rebate 28</w:t>
      </w:r>
      <w:r w:rsidR="006F6B50" w:rsidRPr="00BC1A30">
        <w:t>%, see paragraph 5.1</w:t>
      </w:r>
      <w:r w:rsidR="00920A65">
        <w:t>6</w:t>
      </w:r>
      <w:r w:rsidR="00420F71" w:rsidRPr="00BC1A30">
        <w:t xml:space="preserve">) </w:t>
      </w:r>
      <w:r w:rsidR="00A35E74" w:rsidRPr="00BC1A30">
        <w:t xml:space="preserve">and price disclosure cuts, </w:t>
      </w:r>
      <w:r w:rsidRPr="00BC1A30">
        <w:t xml:space="preserve">the minor submission estimated that the </w:t>
      </w:r>
      <w:r w:rsidR="00A35E74" w:rsidRPr="00BC1A30">
        <w:t xml:space="preserve">savings </w:t>
      </w:r>
      <w:r w:rsidRPr="00BC1A30">
        <w:t>could</w:t>
      </w:r>
      <w:r w:rsidR="00A35E74" w:rsidRPr="00BC1A30">
        <w:t xml:space="preserve"> be approximately </w:t>
      </w:r>
      <w:r w:rsidR="00920A65">
        <w:t>more than $100 million</w:t>
      </w:r>
      <w:r w:rsidR="00A35E74" w:rsidRPr="00BC1A30">
        <w:t xml:space="preserve"> over six years. </w:t>
      </w:r>
    </w:p>
    <w:p w:rsidR="004533D2" w:rsidRPr="00BC1A30" w:rsidRDefault="004533D2" w:rsidP="00D10FF3">
      <w:pPr>
        <w:pStyle w:val="3Bodytext"/>
        <w:numPr>
          <w:ilvl w:val="1"/>
          <w:numId w:val="1"/>
        </w:numPr>
        <w:jc w:val="both"/>
      </w:pPr>
      <w:bookmarkStart w:id="3" w:name="_GoBack"/>
      <w:bookmarkEnd w:id="3"/>
      <w:r w:rsidRPr="00BC1A30">
        <w:t>In formulating the estimated savings, the sponsor made the following assumptions:</w:t>
      </w:r>
    </w:p>
    <w:p w:rsidR="000455EA" w:rsidRPr="00BC1A30" w:rsidRDefault="000455EA" w:rsidP="00D10FF3">
      <w:pPr>
        <w:pStyle w:val="ListParagraph"/>
        <w:numPr>
          <w:ilvl w:val="0"/>
          <w:numId w:val="3"/>
        </w:numPr>
        <w:jc w:val="both"/>
        <w:rPr>
          <w:rFonts w:asciiTheme="minorHAnsi" w:hAnsiTheme="minorHAnsi"/>
        </w:rPr>
      </w:pPr>
      <w:proofErr w:type="spellStart"/>
      <w:r w:rsidRPr="00BC1A30">
        <w:rPr>
          <w:rFonts w:asciiTheme="minorHAnsi" w:hAnsiTheme="minorHAnsi"/>
        </w:rPr>
        <w:t>Hyrimoz</w:t>
      </w:r>
      <w:proofErr w:type="spellEnd"/>
      <w:r w:rsidRPr="00BC1A30">
        <w:rPr>
          <w:rFonts w:asciiTheme="minorHAnsi" w:hAnsiTheme="minorHAnsi"/>
        </w:rPr>
        <w:t xml:space="preserve"> will be the first additional brand of </w:t>
      </w:r>
      <w:proofErr w:type="spellStart"/>
      <w:r w:rsidRPr="00BC1A30">
        <w:rPr>
          <w:rFonts w:asciiTheme="minorHAnsi" w:hAnsiTheme="minorHAnsi"/>
        </w:rPr>
        <w:t>adalimumab</w:t>
      </w:r>
      <w:proofErr w:type="spellEnd"/>
      <w:r w:rsidRPr="00BC1A30">
        <w:rPr>
          <w:rFonts w:asciiTheme="minorHAnsi" w:hAnsiTheme="minorHAnsi"/>
        </w:rPr>
        <w:t xml:space="preserve"> listed on the PBS, triggering a move of</w:t>
      </w:r>
      <w:r w:rsidR="00AF7B9C">
        <w:rPr>
          <w:rFonts w:asciiTheme="minorHAnsi" w:hAnsiTheme="minorHAnsi"/>
        </w:rPr>
        <w:t xml:space="preserve"> the drug to F2 and a statutory 25</w:t>
      </w:r>
      <w:r w:rsidRPr="00BC1A30">
        <w:rPr>
          <w:rFonts w:asciiTheme="minorHAnsi" w:hAnsiTheme="minorHAnsi"/>
        </w:rPr>
        <w:t>% price reduction.</w:t>
      </w:r>
    </w:p>
    <w:p w:rsidR="004533D2" w:rsidRPr="00BC1A30" w:rsidRDefault="00C76A5A" w:rsidP="00D10FF3">
      <w:pPr>
        <w:pStyle w:val="ListParagraph"/>
        <w:numPr>
          <w:ilvl w:val="0"/>
          <w:numId w:val="3"/>
        </w:numPr>
        <w:jc w:val="both"/>
        <w:rPr>
          <w:rFonts w:asciiTheme="minorHAnsi" w:hAnsiTheme="minorHAnsi"/>
        </w:rPr>
      </w:pPr>
      <w:r w:rsidRPr="00BC1A30">
        <w:rPr>
          <w:rFonts w:asciiTheme="minorHAnsi" w:hAnsiTheme="minorHAnsi"/>
        </w:rPr>
        <w:t xml:space="preserve">A 6.6% annual growth rate for </w:t>
      </w:r>
      <w:proofErr w:type="spellStart"/>
      <w:r w:rsidRPr="00BC1A30">
        <w:rPr>
          <w:rFonts w:asciiTheme="minorHAnsi" w:hAnsiTheme="minorHAnsi"/>
        </w:rPr>
        <w:t>adalimumab</w:t>
      </w:r>
      <w:proofErr w:type="spellEnd"/>
      <w:r w:rsidRPr="00BC1A30">
        <w:rPr>
          <w:rFonts w:asciiTheme="minorHAnsi" w:hAnsiTheme="minorHAnsi"/>
        </w:rPr>
        <w:t xml:space="preserve"> services, based on the average annual historical growth rate for </w:t>
      </w:r>
      <w:proofErr w:type="spellStart"/>
      <w:r w:rsidRPr="00BC1A30">
        <w:rPr>
          <w:rFonts w:asciiTheme="minorHAnsi" w:hAnsiTheme="minorHAnsi"/>
        </w:rPr>
        <w:t>Humira</w:t>
      </w:r>
      <w:proofErr w:type="spellEnd"/>
      <w:r w:rsidRPr="00BC1A30">
        <w:rPr>
          <w:rFonts w:asciiTheme="minorHAnsi" w:hAnsiTheme="minorHAnsi"/>
        </w:rPr>
        <w:t xml:space="preserve"> from 2017-2019.</w:t>
      </w:r>
      <w:r w:rsidRPr="00BC1A30" w:rsidDel="00C76A5A">
        <w:rPr>
          <w:rFonts w:asciiTheme="minorHAnsi" w:hAnsiTheme="minorHAnsi"/>
        </w:rPr>
        <w:t xml:space="preserve"> </w:t>
      </w:r>
    </w:p>
    <w:p w:rsidR="00AC6057" w:rsidRPr="00BC1A30" w:rsidRDefault="00AC6057" w:rsidP="00D10FF3">
      <w:pPr>
        <w:pStyle w:val="ListParagraph"/>
        <w:numPr>
          <w:ilvl w:val="0"/>
          <w:numId w:val="3"/>
        </w:numPr>
        <w:jc w:val="both"/>
        <w:rPr>
          <w:rFonts w:asciiTheme="minorHAnsi" w:hAnsiTheme="minorHAnsi"/>
        </w:rPr>
      </w:pPr>
      <w:proofErr w:type="spellStart"/>
      <w:r w:rsidRPr="00BC1A30">
        <w:rPr>
          <w:rFonts w:asciiTheme="minorHAnsi" w:hAnsiTheme="minorHAnsi"/>
        </w:rPr>
        <w:t>Adalimumab</w:t>
      </w:r>
      <w:proofErr w:type="spellEnd"/>
      <w:r w:rsidRPr="00BC1A30">
        <w:rPr>
          <w:rFonts w:asciiTheme="minorHAnsi" w:hAnsiTheme="minorHAnsi"/>
        </w:rPr>
        <w:t xml:space="preserve"> will take a </w:t>
      </w:r>
      <w:r w:rsidRPr="007119CC">
        <w:rPr>
          <w:rFonts w:asciiTheme="minorHAnsi" w:hAnsiTheme="minorHAnsi"/>
        </w:rPr>
        <w:t>5</w:t>
      </w:r>
      <w:r w:rsidRPr="00BC1A30">
        <w:rPr>
          <w:rFonts w:asciiTheme="minorHAnsi" w:hAnsiTheme="minorHAnsi"/>
        </w:rPr>
        <w:t xml:space="preserve">% F1 anniversary price cut on 1 April 2020 (prior to the listing of </w:t>
      </w:r>
      <w:proofErr w:type="spellStart"/>
      <w:r w:rsidRPr="00BC1A30">
        <w:rPr>
          <w:rFonts w:asciiTheme="minorHAnsi" w:hAnsiTheme="minorHAnsi"/>
        </w:rPr>
        <w:t>Hyrimoz</w:t>
      </w:r>
      <w:proofErr w:type="spellEnd"/>
      <w:r w:rsidRPr="00BC1A30">
        <w:rPr>
          <w:rFonts w:asciiTheme="minorHAnsi" w:hAnsiTheme="minorHAnsi"/>
        </w:rPr>
        <w:t>)</w:t>
      </w:r>
      <w:r w:rsidR="000455EA" w:rsidRPr="00BC1A30">
        <w:rPr>
          <w:rFonts w:asciiTheme="minorHAnsi" w:hAnsiTheme="minorHAnsi"/>
        </w:rPr>
        <w:t>.</w:t>
      </w:r>
    </w:p>
    <w:p w:rsidR="000455EA" w:rsidRPr="00BC1A30" w:rsidRDefault="000455EA" w:rsidP="00D10FF3">
      <w:pPr>
        <w:pStyle w:val="ListParagraph"/>
        <w:numPr>
          <w:ilvl w:val="0"/>
          <w:numId w:val="3"/>
        </w:numPr>
        <w:jc w:val="both"/>
        <w:rPr>
          <w:rFonts w:asciiTheme="minorHAnsi" w:hAnsiTheme="minorHAnsi"/>
        </w:rPr>
      </w:pPr>
      <w:proofErr w:type="spellStart"/>
      <w:r w:rsidRPr="00BC1A30">
        <w:rPr>
          <w:rFonts w:asciiTheme="minorHAnsi" w:hAnsiTheme="minorHAnsi"/>
        </w:rPr>
        <w:t>Adalimumab</w:t>
      </w:r>
      <w:proofErr w:type="spellEnd"/>
      <w:r w:rsidRPr="00BC1A30">
        <w:rPr>
          <w:rFonts w:asciiTheme="minorHAnsi" w:hAnsiTheme="minorHAnsi"/>
        </w:rPr>
        <w:t xml:space="preserve"> will experience a price disclosure impact consistent with that of infliximab</w:t>
      </w:r>
      <w:r w:rsidR="00120D9C" w:rsidRPr="00BC1A30">
        <w:rPr>
          <w:rFonts w:asciiTheme="minorHAnsi" w:hAnsiTheme="minorHAnsi"/>
        </w:rPr>
        <w:t xml:space="preserve">. Based on a potential listing date of 1 August 2020, this would involve cuts of </w:t>
      </w:r>
      <w:r w:rsidRPr="00954F88">
        <w:rPr>
          <w:rFonts w:asciiTheme="minorHAnsi" w:hAnsiTheme="minorHAnsi"/>
        </w:rPr>
        <w:t>12</w:t>
      </w:r>
      <w:r w:rsidRPr="00BC1A30">
        <w:rPr>
          <w:rFonts w:asciiTheme="minorHAnsi" w:hAnsiTheme="minorHAnsi"/>
        </w:rPr>
        <w:t xml:space="preserve">% </w:t>
      </w:r>
      <w:r w:rsidR="00120D9C" w:rsidRPr="00BC1A30">
        <w:rPr>
          <w:rFonts w:asciiTheme="minorHAnsi" w:hAnsiTheme="minorHAnsi"/>
        </w:rPr>
        <w:t xml:space="preserve">on 1 April 2022 (cycle 2), </w:t>
      </w:r>
      <w:r w:rsidR="00120D9C" w:rsidRPr="00954F88">
        <w:rPr>
          <w:rFonts w:asciiTheme="minorHAnsi" w:hAnsiTheme="minorHAnsi"/>
        </w:rPr>
        <w:t>12</w:t>
      </w:r>
      <w:r w:rsidR="00120D9C" w:rsidRPr="00BC1A30">
        <w:rPr>
          <w:rFonts w:asciiTheme="minorHAnsi" w:hAnsiTheme="minorHAnsi"/>
        </w:rPr>
        <w:t xml:space="preserve">% on 1 April 2023 (cycle 4) and </w:t>
      </w:r>
      <w:r w:rsidRPr="00954F88">
        <w:rPr>
          <w:rFonts w:asciiTheme="minorHAnsi" w:hAnsiTheme="minorHAnsi"/>
        </w:rPr>
        <w:t>29</w:t>
      </w:r>
      <w:r w:rsidRPr="00BC1A30">
        <w:rPr>
          <w:rFonts w:asciiTheme="minorHAnsi" w:hAnsiTheme="minorHAnsi"/>
        </w:rPr>
        <w:t xml:space="preserve">% on the removal of the originator brand </w:t>
      </w:r>
      <w:r w:rsidR="00120D9C" w:rsidRPr="00BC1A30">
        <w:rPr>
          <w:rFonts w:asciiTheme="minorHAnsi" w:hAnsiTheme="minorHAnsi"/>
        </w:rPr>
        <w:t>on 1 April 2024 (cycle 6)</w:t>
      </w:r>
      <w:r w:rsidRPr="00BC1A30">
        <w:rPr>
          <w:rFonts w:asciiTheme="minorHAnsi" w:hAnsiTheme="minorHAnsi"/>
        </w:rPr>
        <w:t>. These all fall within Years 1-6 of the proposed listing.</w:t>
      </w:r>
    </w:p>
    <w:p w:rsidR="00022A86" w:rsidRPr="00BC1A30" w:rsidRDefault="00022A86" w:rsidP="00D10FF3">
      <w:pPr>
        <w:pStyle w:val="ListParagraph"/>
        <w:numPr>
          <w:ilvl w:val="0"/>
          <w:numId w:val="3"/>
        </w:numPr>
        <w:jc w:val="both"/>
        <w:rPr>
          <w:rFonts w:asciiTheme="minorHAnsi" w:hAnsiTheme="minorHAnsi"/>
        </w:rPr>
      </w:pPr>
      <w:r w:rsidRPr="00BC1A30">
        <w:rPr>
          <w:rFonts w:asciiTheme="minorHAnsi" w:hAnsiTheme="minorHAnsi"/>
        </w:rPr>
        <w:t xml:space="preserve">The existing SPA rebate for </w:t>
      </w:r>
      <w:proofErr w:type="spellStart"/>
      <w:r w:rsidRPr="00BC1A30">
        <w:rPr>
          <w:rFonts w:asciiTheme="minorHAnsi" w:hAnsiTheme="minorHAnsi"/>
        </w:rPr>
        <w:t>Humira</w:t>
      </w:r>
      <w:proofErr w:type="spellEnd"/>
      <w:r w:rsidR="00FD4396" w:rsidRPr="00BC1A30">
        <w:rPr>
          <w:rFonts w:asciiTheme="minorHAnsi" w:hAnsiTheme="minorHAnsi"/>
        </w:rPr>
        <w:t xml:space="preserve">, which </w:t>
      </w:r>
      <w:proofErr w:type="gramStart"/>
      <w:r w:rsidR="00FD4396" w:rsidRPr="00BC1A30">
        <w:rPr>
          <w:rFonts w:asciiTheme="minorHAnsi" w:hAnsiTheme="minorHAnsi"/>
        </w:rPr>
        <w:t>would be removed</w:t>
      </w:r>
      <w:proofErr w:type="gramEnd"/>
      <w:r w:rsidR="00FD4396" w:rsidRPr="00BC1A30">
        <w:rPr>
          <w:rFonts w:asciiTheme="minorHAnsi" w:hAnsiTheme="minorHAnsi"/>
        </w:rPr>
        <w:t xml:space="preserve"> once </w:t>
      </w:r>
      <w:proofErr w:type="spellStart"/>
      <w:r w:rsidR="00FD4396" w:rsidRPr="00BC1A30">
        <w:rPr>
          <w:rFonts w:asciiTheme="minorHAnsi" w:hAnsiTheme="minorHAnsi"/>
        </w:rPr>
        <w:t>Hyrimoz</w:t>
      </w:r>
      <w:proofErr w:type="spellEnd"/>
      <w:r w:rsidR="00FD4396" w:rsidRPr="00BC1A30">
        <w:rPr>
          <w:rFonts w:asciiTheme="minorHAnsi" w:hAnsiTheme="minorHAnsi"/>
        </w:rPr>
        <w:t xml:space="preserve"> is PBS listed,</w:t>
      </w:r>
      <w:r w:rsidRPr="00BC1A30">
        <w:rPr>
          <w:rFonts w:asciiTheme="minorHAnsi" w:hAnsiTheme="minorHAnsi"/>
        </w:rPr>
        <w:t xml:space="preserve"> </w:t>
      </w:r>
      <w:r w:rsidR="00FD4396" w:rsidRPr="00BC1A30">
        <w:rPr>
          <w:rFonts w:asciiTheme="minorHAnsi" w:hAnsiTheme="minorHAnsi"/>
        </w:rPr>
        <w:t xml:space="preserve">was </w:t>
      </w:r>
      <w:r w:rsidR="00AF7B9C">
        <w:rPr>
          <w:rFonts w:asciiTheme="minorHAnsi" w:hAnsiTheme="minorHAnsi"/>
        </w:rPr>
        <w:t>estimated to be 28</w:t>
      </w:r>
      <w:r w:rsidRPr="00BC1A30">
        <w:rPr>
          <w:rFonts w:asciiTheme="minorHAnsi" w:hAnsiTheme="minorHAnsi"/>
        </w:rPr>
        <w:t>%</w:t>
      </w:r>
      <w:r w:rsidR="006F6B50" w:rsidRPr="00BC1A30">
        <w:rPr>
          <w:rFonts w:asciiTheme="minorHAnsi" w:hAnsiTheme="minorHAnsi"/>
        </w:rPr>
        <w:t xml:space="preserve"> </w:t>
      </w:r>
      <w:r w:rsidR="001875C5" w:rsidRPr="00BC1A30">
        <w:rPr>
          <w:rFonts w:asciiTheme="minorHAnsi" w:hAnsiTheme="minorHAnsi"/>
        </w:rPr>
        <w:t xml:space="preserve">in line with the assumption in the </w:t>
      </w:r>
      <w:proofErr w:type="spellStart"/>
      <w:r w:rsidR="001875C5" w:rsidRPr="00BC1A30">
        <w:rPr>
          <w:rFonts w:asciiTheme="minorHAnsi" w:hAnsiTheme="minorHAnsi"/>
        </w:rPr>
        <w:t>Amgevita</w:t>
      </w:r>
      <w:proofErr w:type="spellEnd"/>
      <w:r w:rsidR="001875C5" w:rsidRPr="00BC1A30">
        <w:rPr>
          <w:rFonts w:asciiTheme="minorHAnsi" w:hAnsiTheme="minorHAnsi"/>
        </w:rPr>
        <w:t xml:space="preserve"> </w:t>
      </w:r>
      <w:r w:rsidR="006F6B50" w:rsidRPr="00BC1A30">
        <w:rPr>
          <w:rFonts w:asciiTheme="minorHAnsi" w:hAnsiTheme="minorHAnsi"/>
        </w:rPr>
        <w:t>submission</w:t>
      </w:r>
      <w:r w:rsidR="001875C5" w:rsidRPr="00BC1A30">
        <w:rPr>
          <w:rFonts w:asciiTheme="minorHAnsi" w:hAnsiTheme="minorHAnsi"/>
        </w:rPr>
        <w:t>. This</w:t>
      </w:r>
      <w:r w:rsidR="006F6B50" w:rsidRPr="00BC1A30">
        <w:rPr>
          <w:rFonts w:asciiTheme="minorHAnsi" w:hAnsiTheme="minorHAnsi"/>
        </w:rPr>
        <w:t xml:space="preserve"> </w:t>
      </w:r>
      <w:proofErr w:type="gramStart"/>
      <w:r w:rsidR="006F6B50" w:rsidRPr="00BC1A30">
        <w:rPr>
          <w:rFonts w:asciiTheme="minorHAnsi" w:hAnsiTheme="minorHAnsi"/>
        </w:rPr>
        <w:t>was</w:t>
      </w:r>
      <w:r w:rsidRPr="00BC1A30">
        <w:rPr>
          <w:rFonts w:asciiTheme="minorHAnsi" w:hAnsiTheme="minorHAnsi"/>
        </w:rPr>
        <w:t xml:space="preserve"> based</w:t>
      </w:r>
      <w:proofErr w:type="gramEnd"/>
      <w:r w:rsidRPr="00BC1A30">
        <w:rPr>
          <w:rFonts w:asciiTheme="minorHAnsi" w:hAnsiTheme="minorHAnsi"/>
        </w:rPr>
        <w:t xml:space="preserve"> on the revealed rebate when </w:t>
      </w:r>
      <w:proofErr w:type="spellStart"/>
      <w:r w:rsidRPr="00BC1A30">
        <w:rPr>
          <w:rFonts w:asciiTheme="minorHAnsi" w:hAnsiTheme="minorHAnsi"/>
        </w:rPr>
        <w:t>etanercept</w:t>
      </w:r>
      <w:proofErr w:type="spellEnd"/>
      <w:r w:rsidRPr="00BC1A30">
        <w:rPr>
          <w:rFonts w:asciiTheme="minorHAnsi" w:hAnsiTheme="minorHAnsi"/>
        </w:rPr>
        <w:t xml:space="preserve"> moved from F1 to F2</w:t>
      </w:r>
      <w:r w:rsidR="006F6B50" w:rsidRPr="00BC1A30">
        <w:rPr>
          <w:rFonts w:asciiTheme="minorHAnsi" w:hAnsiTheme="minorHAnsi"/>
        </w:rPr>
        <w:t xml:space="preserve"> (</w:t>
      </w:r>
      <w:proofErr w:type="spellStart"/>
      <w:r w:rsidR="006F6B50" w:rsidRPr="00BC1A30">
        <w:rPr>
          <w:rFonts w:asciiTheme="minorHAnsi" w:hAnsiTheme="minorHAnsi"/>
        </w:rPr>
        <w:t>Amgevita</w:t>
      </w:r>
      <w:proofErr w:type="spellEnd"/>
      <w:r w:rsidR="006F6B50" w:rsidRPr="00BC1A30">
        <w:rPr>
          <w:rFonts w:asciiTheme="minorHAnsi" w:hAnsiTheme="minorHAnsi"/>
        </w:rPr>
        <w:t xml:space="preserve"> </w:t>
      </w:r>
      <w:r w:rsidR="00920A65">
        <w:rPr>
          <w:rFonts w:asciiTheme="minorHAnsi" w:hAnsiTheme="minorHAnsi"/>
        </w:rPr>
        <w:t>PSD</w:t>
      </w:r>
      <w:r w:rsidR="006F6B50" w:rsidRPr="00BC1A30">
        <w:rPr>
          <w:rFonts w:asciiTheme="minorHAnsi" w:hAnsiTheme="minorHAnsi"/>
        </w:rPr>
        <w:t>, July 2018).</w:t>
      </w:r>
    </w:p>
    <w:p w:rsidR="00022A86" w:rsidRPr="00BC1A30" w:rsidRDefault="00022A86" w:rsidP="00D10FF3">
      <w:pPr>
        <w:pStyle w:val="ListParagraph"/>
        <w:numPr>
          <w:ilvl w:val="0"/>
          <w:numId w:val="3"/>
        </w:numPr>
        <w:jc w:val="both"/>
        <w:rPr>
          <w:rFonts w:asciiTheme="minorHAnsi" w:hAnsiTheme="minorHAnsi"/>
        </w:rPr>
      </w:pPr>
      <w:r w:rsidRPr="00BC1A30">
        <w:rPr>
          <w:rFonts w:asciiTheme="minorHAnsi" w:hAnsiTheme="minorHAnsi"/>
        </w:rPr>
        <w:t xml:space="preserve">The expected price reductions </w:t>
      </w:r>
      <w:proofErr w:type="gramStart"/>
      <w:r w:rsidRPr="00BC1A30">
        <w:rPr>
          <w:rFonts w:asciiTheme="minorHAnsi" w:hAnsiTheme="minorHAnsi"/>
        </w:rPr>
        <w:t>have been applied</w:t>
      </w:r>
      <w:proofErr w:type="gramEnd"/>
      <w:r w:rsidRPr="00BC1A30">
        <w:rPr>
          <w:rFonts w:asciiTheme="minorHAnsi" w:hAnsiTheme="minorHAnsi"/>
        </w:rPr>
        <w:t xml:space="preserve"> directly to the </w:t>
      </w:r>
      <w:proofErr w:type="spellStart"/>
      <w:r w:rsidRPr="00BC1A30">
        <w:rPr>
          <w:rFonts w:asciiTheme="minorHAnsi" w:hAnsiTheme="minorHAnsi"/>
        </w:rPr>
        <w:t>Humira</w:t>
      </w:r>
      <w:proofErr w:type="spellEnd"/>
      <w:r w:rsidRPr="00BC1A30">
        <w:rPr>
          <w:rFonts w:asciiTheme="minorHAnsi" w:hAnsiTheme="minorHAnsi"/>
        </w:rPr>
        <w:t xml:space="preserve"> net DPMQ.</w:t>
      </w:r>
      <w:r w:rsidR="0086116C" w:rsidRPr="00BC1A30">
        <w:rPr>
          <w:rFonts w:asciiTheme="minorHAnsi" w:hAnsiTheme="minorHAnsi"/>
        </w:rPr>
        <w:t xml:space="preserve"> The baseline net DPMQ </w:t>
      </w:r>
      <w:proofErr w:type="gramStart"/>
      <w:r w:rsidR="0086116C" w:rsidRPr="00BC1A30">
        <w:rPr>
          <w:rFonts w:asciiTheme="minorHAnsi" w:hAnsiTheme="minorHAnsi"/>
        </w:rPr>
        <w:t>was calculated</w:t>
      </w:r>
      <w:proofErr w:type="gramEnd"/>
      <w:r w:rsidR="0086116C" w:rsidRPr="00BC1A30">
        <w:rPr>
          <w:rFonts w:asciiTheme="minorHAnsi" w:hAnsiTheme="minorHAnsi"/>
        </w:rPr>
        <w:t xml:space="preserve"> by dividing PBS benefits by PBS services for the current calendar year.</w:t>
      </w:r>
      <w:r w:rsidR="00F226FB" w:rsidRPr="00BC1A30">
        <w:rPr>
          <w:rFonts w:asciiTheme="minorHAnsi" w:hAnsiTheme="minorHAnsi"/>
        </w:rPr>
        <w:t xml:space="preserve"> </w:t>
      </w:r>
      <w:r w:rsidR="002269D6" w:rsidRPr="00BC1A30">
        <w:rPr>
          <w:rFonts w:asciiTheme="minorHAnsi" w:hAnsiTheme="minorHAnsi"/>
        </w:rPr>
        <w:t xml:space="preserve">The net DPMQ </w:t>
      </w:r>
      <w:proofErr w:type="gramStart"/>
      <w:r w:rsidR="002269D6" w:rsidRPr="00BC1A30">
        <w:rPr>
          <w:rFonts w:asciiTheme="minorHAnsi" w:hAnsiTheme="minorHAnsi"/>
        </w:rPr>
        <w:t>was used</w:t>
      </w:r>
      <w:proofErr w:type="gramEnd"/>
      <w:r w:rsidR="002269D6" w:rsidRPr="00BC1A30">
        <w:rPr>
          <w:rFonts w:asciiTheme="minorHAnsi" w:hAnsiTheme="minorHAnsi"/>
        </w:rPr>
        <w:t xml:space="preserve"> instead of the AEMP</w:t>
      </w:r>
      <w:r w:rsidR="00F226FB" w:rsidRPr="00BC1A30">
        <w:rPr>
          <w:rFonts w:asciiTheme="minorHAnsi" w:hAnsiTheme="minorHAnsi"/>
        </w:rPr>
        <w:t xml:space="preserve"> to avoid the need to project future usage at pack level (as different pack sizes have different DPMQs)</w:t>
      </w:r>
      <w:r w:rsidR="006631A8" w:rsidRPr="00BC1A30">
        <w:rPr>
          <w:rFonts w:asciiTheme="minorHAnsi" w:hAnsiTheme="minorHAnsi"/>
        </w:rPr>
        <w:t xml:space="preserve"> </w:t>
      </w:r>
      <w:r w:rsidR="006631A8" w:rsidRPr="00BC1A30">
        <w:rPr>
          <w:rFonts w:asciiTheme="minorHAnsi" w:hAnsiTheme="minorHAnsi"/>
        </w:rPr>
        <w:lastRenderedPageBreak/>
        <w:t xml:space="preserve">and to avoid the need </w:t>
      </w:r>
      <w:r w:rsidR="002269D6" w:rsidRPr="00BC1A30">
        <w:rPr>
          <w:rFonts w:asciiTheme="minorHAnsi" w:hAnsiTheme="minorHAnsi"/>
        </w:rPr>
        <w:t xml:space="preserve">to estimate future wholesale and pharmacy fees and mark-ups and patient </w:t>
      </w:r>
      <w:r w:rsidR="00C97143" w:rsidRPr="00BC1A30">
        <w:rPr>
          <w:rFonts w:asciiTheme="minorHAnsi" w:hAnsiTheme="minorHAnsi"/>
        </w:rPr>
        <w:t>co-payments</w:t>
      </w:r>
      <w:r w:rsidR="00F226FB" w:rsidRPr="00BC1A30">
        <w:rPr>
          <w:rFonts w:asciiTheme="minorHAnsi" w:hAnsiTheme="minorHAnsi"/>
        </w:rPr>
        <w:t>.</w:t>
      </w:r>
      <w:r w:rsidR="004A1DC9" w:rsidRPr="00BC1A30">
        <w:rPr>
          <w:rFonts w:asciiTheme="minorHAnsi" w:hAnsiTheme="minorHAnsi"/>
        </w:rPr>
        <w:t xml:space="preserve"> </w:t>
      </w:r>
    </w:p>
    <w:p w:rsidR="00197726" w:rsidRDefault="00197726" w:rsidP="00D10FF3">
      <w:pPr>
        <w:pStyle w:val="3Bodytext"/>
        <w:numPr>
          <w:ilvl w:val="1"/>
          <w:numId w:val="1"/>
        </w:numPr>
        <w:jc w:val="both"/>
      </w:pPr>
      <w:r w:rsidRPr="00BC1A30">
        <w:t xml:space="preserve">As a minor submission, the financial estimates have </w:t>
      </w:r>
      <w:proofErr w:type="gramStart"/>
      <w:r w:rsidRPr="00BC1A30">
        <w:t>not been independently</w:t>
      </w:r>
      <w:proofErr w:type="gramEnd"/>
      <w:r w:rsidRPr="00BC1A30">
        <w:t xml:space="preserve"> evaluated.</w:t>
      </w:r>
    </w:p>
    <w:p w:rsidR="001024A2" w:rsidRPr="00BC1A30" w:rsidRDefault="008B502F" w:rsidP="0019465C">
      <w:pPr>
        <w:pStyle w:val="3Bodytext"/>
        <w:numPr>
          <w:ilvl w:val="1"/>
          <w:numId w:val="1"/>
        </w:numPr>
        <w:jc w:val="both"/>
      </w:pPr>
      <w:r>
        <w:t xml:space="preserve">The PBAC noted that the estimated savings </w:t>
      </w:r>
      <w:r w:rsidR="00FE4094">
        <w:t>were highly uncertain.</w:t>
      </w:r>
    </w:p>
    <w:p w:rsidR="001024A2" w:rsidRPr="00BC1A30" w:rsidRDefault="001024A2" w:rsidP="001024A2">
      <w:pPr>
        <w:pStyle w:val="ListParagraph"/>
        <w:ind w:left="709"/>
        <w:jc w:val="both"/>
        <w:rPr>
          <w:rFonts w:asciiTheme="minorHAnsi" w:hAnsiTheme="minorHAnsi"/>
          <w:i/>
        </w:rPr>
      </w:pPr>
      <w:r w:rsidRPr="00BC1A30">
        <w:rPr>
          <w:rFonts w:asciiTheme="minorHAnsi" w:hAnsiTheme="minorHAnsi"/>
          <w:i/>
        </w:rPr>
        <w:t>For more detail on PBAC’s view, see section 6 PBAC outcome.</w:t>
      </w:r>
    </w:p>
    <w:p w:rsidR="008D23BC" w:rsidRPr="00BC1A30" w:rsidRDefault="008D23BC" w:rsidP="008D23BC">
      <w:pPr>
        <w:pStyle w:val="PBACHeading1"/>
        <w:spacing w:before="240" w:after="120"/>
        <w:ind w:left="709" w:hanging="709"/>
        <w:jc w:val="both"/>
        <w:rPr>
          <w:rFonts w:asciiTheme="minorHAnsi" w:hAnsiTheme="minorHAnsi"/>
          <w:sz w:val="32"/>
          <w:szCs w:val="32"/>
        </w:rPr>
      </w:pPr>
      <w:r w:rsidRPr="00BC1A30">
        <w:rPr>
          <w:rFonts w:asciiTheme="minorHAnsi" w:hAnsiTheme="minorHAnsi"/>
          <w:sz w:val="32"/>
          <w:szCs w:val="32"/>
        </w:rPr>
        <w:t>PBAC Outcome</w:t>
      </w:r>
    </w:p>
    <w:p w:rsidR="005B4C5D" w:rsidRPr="00495830" w:rsidRDefault="008A2FC7"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recommended the </w:t>
      </w:r>
      <w:r w:rsidR="00363B8D" w:rsidRPr="00495830">
        <w:rPr>
          <w:rFonts w:asciiTheme="minorHAnsi" w:hAnsiTheme="minorHAnsi" w:cs="Arial"/>
          <w:bCs/>
          <w:snapToGrid w:val="0"/>
        </w:rPr>
        <w:t xml:space="preserve">listing of </w:t>
      </w:r>
      <w:proofErr w:type="spellStart"/>
      <w:r w:rsidRPr="00495830">
        <w:rPr>
          <w:rFonts w:asciiTheme="minorHAnsi" w:hAnsiTheme="minorHAnsi" w:cs="Arial"/>
          <w:bCs/>
          <w:snapToGrid w:val="0"/>
        </w:rPr>
        <w:t>adalimumab</w:t>
      </w:r>
      <w:proofErr w:type="spellEnd"/>
      <w:r w:rsidRPr="00495830">
        <w:rPr>
          <w:rFonts w:asciiTheme="minorHAnsi" w:hAnsiTheme="minorHAnsi" w:cs="Arial"/>
          <w:bCs/>
          <w:snapToGrid w:val="0"/>
        </w:rPr>
        <w:t xml:space="preserve"> (</w:t>
      </w:r>
      <w:proofErr w:type="spellStart"/>
      <w:r w:rsidRPr="00495830">
        <w:rPr>
          <w:rFonts w:asciiTheme="minorHAnsi" w:hAnsiTheme="minorHAnsi" w:cs="Arial"/>
          <w:bCs/>
          <w:snapToGrid w:val="0"/>
        </w:rPr>
        <w:t>Hyrimoz</w:t>
      </w:r>
      <w:proofErr w:type="spellEnd"/>
      <w:r w:rsidRPr="00495830">
        <w:rPr>
          <w:rFonts w:asciiTheme="minorHAnsi" w:hAnsiTheme="minorHAnsi" w:cs="Arial"/>
          <w:bCs/>
          <w:snapToGrid w:val="0"/>
        </w:rPr>
        <w:t>®)</w:t>
      </w:r>
      <w:r w:rsidR="005B4C5D" w:rsidRPr="00495830">
        <w:rPr>
          <w:rFonts w:asciiTheme="minorHAnsi" w:hAnsiTheme="minorHAnsi" w:cs="Arial"/>
          <w:bCs/>
          <w:snapToGrid w:val="0"/>
        </w:rPr>
        <w:t xml:space="preserve"> </w:t>
      </w:r>
      <w:r w:rsidR="00363B8D" w:rsidRPr="00495830">
        <w:rPr>
          <w:rFonts w:asciiTheme="minorHAnsi" w:hAnsiTheme="minorHAnsi" w:cs="Arial"/>
          <w:bCs/>
          <w:snapToGrid w:val="0"/>
        </w:rPr>
        <w:t xml:space="preserve">as a biosimilar brand of </w:t>
      </w:r>
      <w:proofErr w:type="spellStart"/>
      <w:r w:rsidR="00363B8D" w:rsidRPr="00495830">
        <w:rPr>
          <w:rFonts w:asciiTheme="minorHAnsi" w:hAnsiTheme="minorHAnsi" w:cs="Arial"/>
          <w:bCs/>
          <w:snapToGrid w:val="0"/>
        </w:rPr>
        <w:t>Humira</w:t>
      </w:r>
      <w:proofErr w:type="spellEnd"/>
      <w:r w:rsidR="009473BC" w:rsidRPr="00495830">
        <w:rPr>
          <w:rFonts w:asciiTheme="minorHAnsi" w:hAnsiTheme="minorHAnsi" w:cs="Arial"/>
          <w:bCs/>
          <w:snapToGrid w:val="0"/>
        </w:rPr>
        <w:t xml:space="preserve"> on the</w:t>
      </w:r>
      <w:r w:rsidR="005B4C5D" w:rsidRPr="00495830">
        <w:rPr>
          <w:rFonts w:asciiTheme="minorHAnsi" w:hAnsiTheme="minorHAnsi" w:cs="Arial"/>
          <w:bCs/>
          <w:snapToGrid w:val="0"/>
        </w:rPr>
        <w:t xml:space="preserve"> General Schedule (Section 85) for the following </w:t>
      </w:r>
      <w:r w:rsidR="002220B2" w:rsidRPr="00495830">
        <w:rPr>
          <w:rFonts w:asciiTheme="minorHAnsi" w:hAnsiTheme="minorHAnsi" w:cs="Arial"/>
          <w:bCs/>
          <w:snapToGrid w:val="0"/>
        </w:rPr>
        <w:t>indications</w:t>
      </w:r>
      <w:r w:rsidR="005B4C5D" w:rsidRPr="00495830">
        <w:rPr>
          <w:rFonts w:asciiTheme="minorHAnsi" w:hAnsiTheme="minorHAnsi" w:cs="Arial"/>
          <w:bCs/>
          <w:snapToGrid w:val="0"/>
        </w:rPr>
        <w:t xml:space="preserve"> </w:t>
      </w:r>
      <w:r w:rsidR="00FE4094">
        <w:rPr>
          <w:rFonts w:asciiTheme="minorHAnsi" w:hAnsiTheme="minorHAnsi" w:cs="Arial"/>
          <w:bCs/>
          <w:snapToGrid w:val="0"/>
        </w:rPr>
        <w:t xml:space="preserve">on the basis of cost-minimisation with </w:t>
      </w:r>
      <w:proofErr w:type="spellStart"/>
      <w:r w:rsidR="00FE4094">
        <w:rPr>
          <w:rFonts w:asciiTheme="minorHAnsi" w:hAnsiTheme="minorHAnsi" w:cs="Arial"/>
          <w:bCs/>
          <w:snapToGrid w:val="0"/>
        </w:rPr>
        <w:t>Humira</w:t>
      </w:r>
      <w:proofErr w:type="spellEnd"/>
      <w:r w:rsidR="00FE4094">
        <w:rPr>
          <w:rFonts w:asciiTheme="minorHAnsi" w:hAnsiTheme="minorHAnsi" w:cs="Arial"/>
          <w:bCs/>
          <w:snapToGrid w:val="0"/>
        </w:rPr>
        <w:t>:</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Severe Crohn disease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Moderate to severe ulcerative colitis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Severe active juvenile idiopathic arthritis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Complex refractory Fistulising Crohn disease</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Severe active rheumatoid arthritis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Severe psoriatic arthritis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Ankylosing spondylitis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Severe chronic plaque psoriasis </w:t>
      </w:r>
    </w:p>
    <w:p w:rsidR="00426B6C" w:rsidRPr="00BC1A30" w:rsidRDefault="00426B6C" w:rsidP="00D10FF3">
      <w:pPr>
        <w:pStyle w:val="ListParagraph"/>
        <w:widowControl w:val="0"/>
        <w:numPr>
          <w:ilvl w:val="1"/>
          <w:numId w:val="4"/>
        </w:numPr>
        <w:spacing w:after="120" w:line="240" w:lineRule="auto"/>
        <w:ind w:left="1843" w:hanging="567"/>
        <w:jc w:val="both"/>
        <w:rPr>
          <w:rFonts w:asciiTheme="minorHAnsi" w:hAnsiTheme="minorHAnsi" w:cstheme="minorBidi"/>
          <w:szCs w:val="22"/>
        </w:rPr>
      </w:pPr>
      <w:r w:rsidRPr="00BC1A30">
        <w:rPr>
          <w:rFonts w:asciiTheme="minorHAnsi" w:hAnsiTheme="minorHAnsi" w:cstheme="minorBidi"/>
          <w:szCs w:val="22"/>
        </w:rPr>
        <w:t xml:space="preserve">Moderate to severe hidradenitis </w:t>
      </w:r>
      <w:proofErr w:type="spellStart"/>
      <w:r w:rsidRPr="00BC1A30">
        <w:rPr>
          <w:rFonts w:asciiTheme="minorHAnsi" w:hAnsiTheme="minorHAnsi" w:cstheme="minorBidi"/>
          <w:szCs w:val="22"/>
        </w:rPr>
        <w:t>suppurativa</w:t>
      </w:r>
      <w:proofErr w:type="spellEnd"/>
    </w:p>
    <w:p w:rsidR="00D86BC3" w:rsidRPr="00495830" w:rsidRDefault="00F17E12"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w:t>
      </w:r>
      <w:r w:rsidR="0093020C" w:rsidRPr="00495830">
        <w:rPr>
          <w:rFonts w:asciiTheme="minorHAnsi" w:hAnsiTheme="minorHAnsi" w:cs="Arial"/>
          <w:bCs/>
          <w:snapToGrid w:val="0"/>
        </w:rPr>
        <w:t xml:space="preserve">noted that </w:t>
      </w:r>
      <w:r w:rsidR="00D86BC3" w:rsidRPr="00495830">
        <w:rPr>
          <w:rFonts w:asciiTheme="minorHAnsi" w:hAnsiTheme="minorHAnsi" w:cs="Arial"/>
          <w:bCs/>
          <w:snapToGrid w:val="0"/>
        </w:rPr>
        <w:t xml:space="preserve">the sponsor of </w:t>
      </w:r>
      <w:proofErr w:type="spellStart"/>
      <w:r w:rsidR="00D86BC3" w:rsidRPr="00495830">
        <w:rPr>
          <w:rFonts w:asciiTheme="minorHAnsi" w:hAnsiTheme="minorHAnsi" w:cs="Arial"/>
          <w:bCs/>
          <w:snapToGrid w:val="0"/>
        </w:rPr>
        <w:t>Hyrimoz</w:t>
      </w:r>
      <w:proofErr w:type="spellEnd"/>
      <w:r w:rsidR="00D86BC3" w:rsidRPr="00495830">
        <w:rPr>
          <w:rFonts w:asciiTheme="minorHAnsi" w:hAnsiTheme="minorHAnsi" w:cs="Arial"/>
          <w:bCs/>
          <w:snapToGrid w:val="0"/>
        </w:rPr>
        <w:t xml:space="preserve"> </w:t>
      </w:r>
      <w:r w:rsidR="0042185E" w:rsidRPr="00495830">
        <w:rPr>
          <w:rFonts w:asciiTheme="minorHAnsi" w:hAnsiTheme="minorHAnsi" w:cs="Arial"/>
          <w:bCs/>
          <w:snapToGrid w:val="0"/>
        </w:rPr>
        <w:t>had</w:t>
      </w:r>
      <w:r w:rsidR="00D86BC3" w:rsidRPr="00495830">
        <w:rPr>
          <w:rFonts w:asciiTheme="minorHAnsi" w:hAnsiTheme="minorHAnsi" w:cs="Arial"/>
          <w:bCs/>
          <w:snapToGrid w:val="0"/>
        </w:rPr>
        <w:t xml:space="preserve"> not pursu</w:t>
      </w:r>
      <w:r w:rsidR="0042185E" w:rsidRPr="00495830">
        <w:rPr>
          <w:rFonts w:asciiTheme="minorHAnsi" w:hAnsiTheme="minorHAnsi" w:cs="Arial"/>
          <w:bCs/>
          <w:snapToGrid w:val="0"/>
        </w:rPr>
        <w:t>ed</w:t>
      </w:r>
      <w:r w:rsidR="00D86BC3" w:rsidRPr="00495830">
        <w:rPr>
          <w:rFonts w:asciiTheme="minorHAnsi" w:hAnsiTheme="minorHAnsi" w:cs="Arial"/>
          <w:bCs/>
          <w:snapToGrid w:val="0"/>
        </w:rPr>
        <w:t xml:space="preserve"> PBS listing for </w:t>
      </w:r>
      <w:r w:rsidR="0042185E" w:rsidRPr="00495830">
        <w:rPr>
          <w:rFonts w:asciiTheme="minorHAnsi" w:hAnsiTheme="minorHAnsi" w:cs="Arial"/>
          <w:bCs/>
          <w:snapToGrid w:val="0"/>
        </w:rPr>
        <w:t>the following indications</w:t>
      </w:r>
      <w:r w:rsidR="00D86BC3" w:rsidRPr="00495830">
        <w:rPr>
          <w:rFonts w:asciiTheme="minorHAnsi" w:hAnsiTheme="minorHAnsi" w:cs="Arial"/>
          <w:bCs/>
          <w:snapToGrid w:val="0"/>
        </w:rPr>
        <w:t xml:space="preserve"> due to the absence of a 20 mg/0.4 mL injection </w:t>
      </w:r>
      <w:r w:rsidR="002220B2" w:rsidRPr="00495830">
        <w:rPr>
          <w:rFonts w:asciiTheme="minorHAnsi" w:hAnsiTheme="minorHAnsi" w:cs="Arial"/>
          <w:bCs/>
          <w:snapToGrid w:val="0"/>
        </w:rPr>
        <w:t xml:space="preserve">presentation of </w:t>
      </w:r>
      <w:proofErr w:type="spellStart"/>
      <w:r w:rsidR="002220B2" w:rsidRPr="00495830">
        <w:rPr>
          <w:rFonts w:asciiTheme="minorHAnsi" w:hAnsiTheme="minorHAnsi" w:cs="Arial"/>
          <w:bCs/>
          <w:snapToGrid w:val="0"/>
        </w:rPr>
        <w:t>Hyrimoz</w:t>
      </w:r>
      <w:proofErr w:type="spellEnd"/>
      <w:r w:rsidR="0042185E" w:rsidRPr="00495830">
        <w:rPr>
          <w:rFonts w:asciiTheme="minorHAnsi" w:hAnsiTheme="minorHAnsi" w:cs="Arial"/>
          <w:bCs/>
          <w:snapToGrid w:val="0"/>
        </w:rPr>
        <w:t>:</w:t>
      </w:r>
    </w:p>
    <w:p w:rsidR="0042185E" w:rsidRPr="00BC1A30" w:rsidRDefault="0042185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Paediatric patients with severe Crohn disease: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10389T, 10396E, 10422M) </w:t>
      </w:r>
    </w:p>
    <w:p w:rsidR="0042185E" w:rsidRPr="00BC1A30" w:rsidRDefault="0042185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moderate to severe ulcerative colitis: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11121H, 11127P) </w:t>
      </w:r>
    </w:p>
    <w:p w:rsidR="0042185E" w:rsidRPr="00BC1A30" w:rsidRDefault="0042185E"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severe juvenile idiopathic arthritis: treatment for patients weighing less than 30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9661L, 9678J) </w:t>
      </w:r>
    </w:p>
    <w:p w:rsidR="005B4C5D" w:rsidRPr="00495830" w:rsidRDefault="002220B2"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noted that </w:t>
      </w:r>
      <w:r w:rsidR="0093020C" w:rsidRPr="00495830">
        <w:rPr>
          <w:rFonts w:asciiTheme="minorHAnsi" w:hAnsiTheme="minorHAnsi" w:cs="Arial"/>
          <w:bCs/>
          <w:snapToGrid w:val="0"/>
        </w:rPr>
        <w:t>the</w:t>
      </w:r>
      <w:r w:rsidRPr="00495830">
        <w:rPr>
          <w:rFonts w:asciiTheme="minorHAnsi" w:hAnsiTheme="minorHAnsi" w:cs="Arial"/>
          <w:bCs/>
          <w:snapToGrid w:val="0"/>
        </w:rPr>
        <w:t xml:space="preserve"> </w:t>
      </w:r>
      <w:r w:rsidR="00AE43C2" w:rsidRPr="00495830">
        <w:rPr>
          <w:rFonts w:asciiTheme="minorHAnsi" w:hAnsiTheme="minorHAnsi" w:cs="Arial"/>
          <w:bCs/>
          <w:snapToGrid w:val="0"/>
        </w:rPr>
        <w:t xml:space="preserve">TGA Evaluator </w:t>
      </w:r>
      <w:r w:rsidR="002E6071" w:rsidRPr="00495830">
        <w:rPr>
          <w:rFonts w:asciiTheme="minorHAnsi" w:hAnsiTheme="minorHAnsi" w:cs="Arial"/>
          <w:bCs/>
          <w:snapToGrid w:val="0"/>
        </w:rPr>
        <w:t xml:space="preserve">found that the results of the clinical and pharmacokinetic studies showed that </w:t>
      </w:r>
      <w:proofErr w:type="spellStart"/>
      <w:r w:rsidR="002E6071" w:rsidRPr="00495830">
        <w:rPr>
          <w:rFonts w:asciiTheme="minorHAnsi" w:hAnsiTheme="minorHAnsi" w:cs="Arial"/>
          <w:bCs/>
          <w:snapToGrid w:val="0"/>
        </w:rPr>
        <w:t>Hyrimoz</w:t>
      </w:r>
      <w:proofErr w:type="spellEnd"/>
      <w:r w:rsidR="002E6071" w:rsidRPr="00495830">
        <w:rPr>
          <w:rFonts w:asciiTheme="minorHAnsi" w:hAnsiTheme="minorHAnsi" w:cs="Arial"/>
          <w:bCs/>
          <w:snapToGrid w:val="0"/>
        </w:rPr>
        <w:t xml:space="preserve"> and the reference brand, </w:t>
      </w:r>
      <w:proofErr w:type="spellStart"/>
      <w:r w:rsidR="002E6071" w:rsidRPr="00495830">
        <w:rPr>
          <w:rFonts w:asciiTheme="minorHAnsi" w:hAnsiTheme="minorHAnsi" w:cs="Arial"/>
          <w:bCs/>
          <w:snapToGrid w:val="0"/>
        </w:rPr>
        <w:t>Humira</w:t>
      </w:r>
      <w:proofErr w:type="spellEnd"/>
      <w:r w:rsidR="006776AC" w:rsidRPr="00495830">
        <w:rPr>
          <w:rFonts w:asciiTheme="minorHAnsi" w:hAnsiTheme="minorHAnsi" w:cs="Arial"/>
          <w:bCs/>
          <w:snapToGrid w:val="0"/>
        </w:rPr>
        <w:t>®</w:t>
      </w:r>
      <w:r w:rsidR="002E6071" w:rsidRPr="00495830">
        <w:rPr>
          <w:rFonts w:asciiTheme="minorHAnsi" w:hAnsiTheme="minorHAnsi" w:cs="Arial"/>
          <w:bCs/>
          <w:snapToGrid w:val="0"/>
        </w:rPr>
        <w:t xml:space="preserve">, were similar in terms of both efficacy and safety and were biosimilar to one </w:t>
      </w:r>
      <w:r w:rsidR="008B502F">
        <w:rPr>
          <w:rFonts w:asciiTheme="minorHAnsi" w:hAnsiTheme="minorHAnsi" w:cs="Arial"/>
          <w:bCs/>
          <w:snapToGrid w:val="0"/>
        </w:rPr>
        <w:t>an</w:t>
      </w:r>
      <w:r w:rsidR="002E6071" w:rsidRPr="00495830">
        <w:rPr>
          <w:rFonts w:asciiTheme="minorHAnsi" w:hAnsiTheme="minorHAnsi" w:cs="Arial"/>
          <w:bCs/>
          <w:snapToGrid w:val="0"/>
        </w:rPr>
        <w:t>other</w:t>
      </w:r>
      <w:r w:rsidR="00BC1A30">
        <w:rPr>
          <w:rFonts w:asciiTheme="minorHAnsi" w:hAnsiTheme="minorHAnsi" w:cs="Arial"/>
          <w:bCs/>
          <w:snapToGrid w:val="0"/>
        </w:rPr>
        <w:t xml:space="preserve">. </w:t>
      </w:r>
    </w:p>
    <w:p w:rsidR="007A6880" w:rsidRPr="00495830" w:rsidRDefault="007A6880"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The PBAC noted that the sponsor intend</w:t>
      </w:r>
      <w:r w:rsidR="0042185E" w:rsidRPr="00495830">
        <w:rPr>
          <w:rFonts w:asciiTheme="minorHAnsi" w:hAnsiTheme="minorHAnsi" w:cs="Arial"/>
          <w:bCs/>
          <w:snapToGrid w:val="0"/>
        </w:rPr>
        <w:t>ed</w:t>
      </w:r>
      <w:r w:rsidRPr="00495830">
        <w:rPr>
          <w:rFonts w:asciiTheme="minorHAnsi" w:hAnsiTheme="minorHAnsi" w:cs="Arial"/>
          <w:bCs/>
          <w:snapToGrid w:val="0"/>
        </w:rPr>
        <w:t xml:space="preserve"> to supply only the pack size of </w:t>
      </w:r>
      <w:proofErr w:type="gramStart"/>
      <w:r w:rsidRPr="00495830">
        <w:rPr>
          <w:rFonts w:asciiTheme="minorHAnsi" w:hAnsiTheme="minorHAnsi" w:cs="Arial"/>
          <w:bCs/>
          <w:snapToGrid w:val="0"/>
        </w:rPr>
        <w:t>2</w:t>
      </w:r>
      <w:proofErr w:type="gramEnd"/>
      <w:r w:rsidRPr="00495830">
        <w:rPr>
          <w:rFonts w:asciiTheme="minorHAnsi" w:hAnsiTheme="minorHAnsi" w:cs="Arial"/>
          <w:bCs/>
          <w:snapToGrid w:val="0"/>
        </w:rPr>
        <w:t xml:space="preserve"> pens/syringes. Where </w:t>
      </w:r>
      <w:proofErr w:type="spellStart"/>
      <w:r w:rsidRPr="00495830">
        <w:rPr>
          <w:rFonts w:asciiTheme="minorHAnsi" w:hAnsiTheme="minorHAnsi" w:cs="Arial"/>
          <w:bCs/>
          <w:snapToGrid w:val="0"/>
        </w:rPr>
        <w:t>Humira</w:t>
      </w:r>
      <w:proofErr w:type="spellEnd"/>
      <w:r w:rsidRPr="00495830">
        <w:rPr>
          <w:rFonts w:asciiTheme="minorHAnsi" w:hAnsiTheme="minorHAnsi" w:cs="Arial"/>
          <w:bCs/>
          <w:snapToGrid w:val="0"/>
        </w:rPr>
        <w:t xml:space="preserve"> has pack sizes of </w:t>
      </w:r>
      <w:proofErr w:type="gramStart"/>
      <w:r w:rsidRPr="00495830">
        <w:rPr>
          <w:rFonts w:asciiTheme="minorHAnsi" w:hAnsiTheme="minorHAnsi" w:cs="Arial"/>
          <w:bCs/>
          <w:snapToGrid w:val="0"/>
        </w:rPr>
        <w:t>4</w:t>
      </w:r>
      <w:proofErr w:type="gramEnd"/>
      <w:r w:rsidRPr="00495830">
        <w:rPr>
          <w:rFonts w:asciiTheme="minorHAnsi" w:hAnsiTheme="minorHAnsi" w:cs="Arial"/>
          <w:bCs/>
          <w:snapToGrid w:val="0"/>
        </w:rPr>
        <w:t xml:space="preserve"> and 6 listed for certain treatment phases and condition, the PBAC considered that it is appropriate to list </w:t>
      </w:r>
      <w:proofErr w:type="spellStart"/>
      <w:r w:rsidRPr="00495830">
        <w:rPr>
          <w:rFonts w:asciiTheme="minorHAnsi" w:hAnsiTheme="minorHAnsi" w:cs="Arial"/>
          <w:bCs/>
          <w:snapToGrid w:val="0"/>
        </w:rPr>
        <w:t>Hyrimoz</w:t>
      </w:r>
      <w:proofErr w:type="spellEnd"/>
      <w:r w:rsidRPr="00495830">
        <w:rPr>
          <w:rFonts w:asciiTheme="minorHAnsi" w:hAnsiTheme="minorHAnsi" w:cs="Arial"/>
          <w:bCs/>
          <w:snapToGrid w:val="0"/>
        </w:rPr>
        <w:t xml:space="preserve"> with </w:t>
      </w:r>
      <w:r w:rsidR="00CD4BDB" w:rsidRPr="00495830">
        <w:rPr>
          <w:rFonts w:asciiTheme="minorHAnsi" w:hAnsiTheme="minorHAnsi" w:cs="Arial"/>
          <w:bCs/>
          <w:snapToGrid w:val="0"/>
        </w:rPr>
        <w:t xml:space="preserve">equivalent </w:t>
      </w:r>
      <w:r w:rsidRPr="00495830">
        <w:rPr>
          <w:rFonts w:asciiTheme="minorHAnsi" w:hAnsiTheme="minorHAnsi" w:cs="Arial"/>
          <w:bCs/>
          <w:snapToGrid w:val="0"/>
        </w:rPr>
        <w:t xml:space="preserve">maximum </w:t>
      </w:r>
      <w:r w:rsidR="00CD4BDB" w:rsidRPr="00495830">
        <w:rPr>
          <w:rFonts w:asciiTheme="minorHAnsi" w:hAnsiTheme="minorHAnsi" w:cs="Arial"/>
          <w:bCs/>
          <w:snapToGrid w:val="0"/>
        </w:rPr>
        <w:t xml:space="preserve">quantity units </w:t>
      </w:r>
      <w:r w:rsidRPr="00495830">
        <w:rPr>
          <w:rFonts w:asciiTheme="minorHAnsi" w:hAnsiTheme="minorHAnsi" w:cs="Arial"/>
          <w:bCs/>
          <w:snapToGrid w:val="0"/>
        </w:rPr>
        <w:t xml:space="preserve">to provide the same number of injections (i.e. maximum </w:t>
      </w:r>
      <w:r w:rsidR="00CD4BDB" w:rsidRPr="00495830">
        <w:rPr>
          <w:rFonts w:asciiTheme="minorHAnsi" w:hAnsiTheme="minorHAnsi" w:cs="Arial"/>
          <w:bCs/>
          <w:snapToGrid w:val="0"/>
        </w:rPr>
        <w:t xml:space="preserve">pack </w:t>
      </w:r>
      <w:r w:rsidRPr="00495830">
        <w:rPr>
          <w:rFonts w:asciiTheme="minorHAnsi" w:hAnsiTheme="minorHAnsi" w:cs="Arial"/>
          <w:bCs/>
          <w:snapToGrid w:val="0"/>
        </w:rPr>
        <w:t xml:space="preserve">quantities of 2 and 3 in place of 4-pack and 6-pack, respectively). </w:t>
      </w:r>
    </w:p>
    <w:p w:rsidR="00DD7DC9" w:rsidRPr="00495830" w:rsidRDefault="00DD7DC9"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recalled that the Committee recommended the listing of two other brands </w:t>
      </w:r>
      <w:r w:rsidRPr="00495830">
        <w:rPr>
          <w:rFonts w:asciiTheme="minorHAnsi" w:hAnsiTheme="minorHAnsi" w:cs="Arial"/>
          <w:bCs/>
          <w:snapToGrid w:val="0"/>
        </w:rPr>
        <w:lastRenderedPageBreak/>
        <w:t xml:space="preserve">of </w:t>
      </w:r>
      <w:proofErr w:type="spellStart"/>
      <w:r w:rsidRPr="00495830">
        <w:rPr>
          <w:rFonts w:asciiTheme="minorHAnsi" w:hAnsiTheme="minorHAnsi" w:cs="Arial"/>
          <w:bCs/>
          <w:snapToGrid w:val="0"/>
        </w:rPr>
        <w:t>adalimumab</w:t>
      </w:r>
      <w:proofErr w:type="spellEnd"/>
      <w:r w:rsidRPr="00495830">
        <w:rPr>
          <w:rFonts w:asciiTheme="minorHAnsi" w:hAnsiTheme="minorHAnsi" w:cs="Arial"/>
          <w:bCs/>
          <w:snapToGrid w:val="0"/>
        </w:rPr>
        <w:t xml:space="preserve"> (</w:t>
      </w:r>
      <w:proofErr w:type="spellStart"/>
      <w:r w:rsidRPr="00495830">
        <w:rPr>
          <w:rFonts w:asciiTheme="minorHAnsi" w:hAnsiTheme="minorHAnsi" w:cs="Arial"/>
          <w:bCs/>
          <w:snapToGrid w:val="0"/>
        </w:rPr>
        <w:t>Amegevita</w:t>
      </w:r>
      <w:proofErr w:type="spellEnd"/>
      <w:r w:rsidRPr="00495830">
        <w:rPr>
          <w:rFonts w:asciiTheme="minorHAnsi" w:hAnsiTheme="minorHAnsi" w:cs="Arial"/>
          <w:bCs/>
          <w:snapToGrid w:val="0"/>
        </w:rPr>
        <w:t xml:space="preserve">® and </w:t>
      </w:r>
      <w:proofErr w:type="spellStart"/>
      <w:r w:rsidRPr="00495830">
        <w:rPr>
          <w:rFonts w:asciiTheme="minorHAnsi" w:hAnsiTheme="minorHAnsi" w:cs="Arial"/>
          <w:bCs/>
          <w:snapToGrid w:val="0"/>
        </w:rPr>
        <w:t>Hadlima</w:t>
      </w:r>
      <w:proofErr w:type="spellEnd"/>
      <w:r w:rsidRPr="00495830">
        <w:rPr>
          <w:rFonts w:asciiTheme="minorHAnsi" w:hAnsiTheme="minorHAnsi" w:cs="Arial"/>
          <w:bCs/>
          <w:snapToGrid w:val="0"/>
        </w:rPr>
        <w:t>®) in July 2018</w:t>
      </w:r>
      <w:r w:rsidR="0042185E" w:rsidRPr="00495830">
        <w:rPr>
          <w:rFonts w:asciiTheme="minorHAnsi" w:hAnsiTheme="minorHAnsi" w:cs="Arial"/>
          <w:bCs/>
          <w:snapToGrid w:val="0"/>
        </w:rPr>
        <w:t>, and noted that t</w:t>
      </w:r>
      <w:r w:rsidRPr="00495830">
        <w:rPr>
          <w:rFonts w:asciiTheme="minorHAnsi" w:hAnsiTheme="minorHAnsi" w:cs="Arial"/>
          <w:bCs/>
          <w:snapToGrid w:val="0"/>
        </w:rPr>
        <w:t xml:space="preserve">hese brands </w:t>
      </w:r>
      <w:proofErr w:type="gramStart"/>
      <w:r w:rsidR="0042185E" w:rsidRPr="00495830">
        <w:rPr>
          <w:rFonts w:asciiTheme="minorHAnsi" w:hAnsiTheme="minorHAnsi" w:cs="Arial"/>
          <w:bCs/>
          <w:snapToGrid w:val="0"/>
        </w:rPr>
        <w:t>had not yet been listed</w:t>
      </w:r>
      <w:proofErr w:type="gramEnd"/>
      <w:r w:rsidR="0042185E" w:rsidRPr="00495830">
        <w:rPr>
          <w:rFonts w:asciiTheme="minorHAnsi" w:hAnsiTheme="minorHAnsi" w:cs="Arial"/>
          <w:bCs/>
          <w:snapToGrid w:val="0"/>
        </w:rPr>
        <w:t xml:space="preserve"> </w:t>
      </w:r>
      <w:r w:rsidRPr="00495830">
        <w:rPr>
          <w:rFonts w:asciiTheme="minorHAnsi" w:hAnsiTheme="minorHAnsi" w:cs="Arial"/>
          <w:bCs/>
          <w:snapToGrid w:val="0"/>
        </w:rPr>
        <w:t xml:space="preserve">on the PBS. </w:t>
      </w:r>
    </w:p>
    <w:p w:rsidR="0093020C" w:rsidRPr="00495830" w:rsidRDefault="0093020C"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w:t>
      </w:r>
      <w:r w:rsidR="0042185E" w:rsidRPr="00495830">
        <w:rPr>
          <w:rFonts w:asciiTheme="minorHAnsi" w:hAnsiTheme="minorHAnsi" w:cs="Arial"/>
          <w:bCs/>
          <w:snapToGrid w:val="0"/>
        </w:rPr>
        <w:t>considered</w:t>
      </w:r>
      <w:r w:rsidRPr="00495830">
        <w:rPr>
          <w:rFonts w:asciiTheme="minorHAnsi" w:hAnsiTheme="minorHAnsi" w:cs="Arial"/>
          <w:bCs/>
          <w:snapToGrid w:val="0"/>
        </w:rPr>
        <w:t xml:space="preserve"> that the following </w:t>
      </w:r>
      <w:r w:rsidR="002220B2" w:rsidRPr="00495830">
        <w:rPr>
          <w:rFonts w:asciiTheme="minorHAnsi" w:hAnsiTheme="minorHAnsi" w:cs="Arial"/>
          <w:bCs/>
          <w:snapToGrid w:val="0"/>
        </w:rPr>
        <w:t xml:space="preserve">biosimilar uptake drivers should be applied to </w:t>
      </w:r>
      <w:proofErr w:type="spellStart"/>
      <w:r w:rsidR="002220B2" w:rsidRPr="00495830">
        <w:rPr>
          <w:rFonts w:asciiTheme="minorHAnsi" w:hAnsiTheme="minorHAnsi" w:cs="Arial"/>
          <w:bCs/>
          <w:snapToGrid w:val="0"/>
        </w:rPr>
        <w:t>Hyrimoz</w:t>
      </w:r>
      <w:proofErr w:type="spellEnd"/>
      <w:r w:rsidR="0042185E" w:rsidRPr="00495830">
        <w:rPr>
          <w:rFonts w:asciiTheme="minorHAnsi" w:hAnsiTheme="minorHAnsi" w:cs="Arial"/>
          <w:bCs/>
          <w:snapToGrid w:val="0"/>
        </w:rPr>
        <w:t>,</w:t>
      </w:r>
      <w:r w:rsidR="002220B2" w:rsidRPr="00495830">
        <w:rPr>
          <w:rFonts w:asciiTheme="minorHAnsi" w:hAnsiTheme="minorHAnsi" w:cs="Arial"/>
          <w:bCs/>
          <w:snapToGrid w:val="0"/>
        </w:rPr>
        <w:t xml:space="preserve"> consistent with </w:t>
      </w:r>
      <w:r w:rsidR="0042185E" w:rsidRPr="00495830">
        <w:rPr>
          <w:rFonts w:asciiTheme="minorHAnsi" w:hAnsiTheme="minorHAnsi" w:cs="Arial"/>
          <w:bCs/>
          <w:snapToGrid w:val="0"/>
        </w:rPr>
        <w:t xml:space="preserve">its </w:t>
      </w:r>
      <w:r w:rsidR="002220B2" w:rsidRPr="00495830">
        <w:rPr>
          <w:rFonts w:asciiTheme="minorHAnsi" w:hAnsiTheme="minorHAnsi" w:cs="Arial"/>
          <w:bCs/>
          <w:snapToGrid w:val="0"/>
        </w:rPr>
        <w:t>previous recommendations regarding the application of the</w:t>
      </w:r>
      <w:r w:rsidR="0042185E" w:rsidRPr="00495830">
        <w:rPr>
          <w:rFonts w:asciiTheme="minorHAnsi" w:hAnsiTheme="minorHAnsi" w:cs="Arial"/>
          <w:bCs/>
          <w:snapToGrid w:val="0"/>
        </w:rPr>
        <w:t>se</w:t>
      </w:r>
      <w:r w:rsidR="002220B2" w:rsidRPr="00495830">
        <w:rPr>
          <w:rFonts w:asciiTheme="minorHAnsi" w:hAnsiTheme="minorHAnsi" w:cs="Arial"/>
          <w:bCs/>
          <w:snapToGrid w:val="0"/>
        </w:rPr>
        <w:t xml:space="preserve"> drivers to other </w:t>
      </w:r>
      <w:r w:rsidR="008273A1" w:rsidRPr="00495830">
        <w:rPr>
          <w:rFonts w:asciiTheme="minorHAnsi" w:hAnsiTheme="minorHAnsi" w:cs="Arial"/>
          <w:bCs/>
          <w:snapToGrid w:val="0"/>
        </w:rPr>
        <w:t xml:space="preserve">biosimilar </w:t>
      </w:r>
      <w:r w:rsidR="008B3394" w:rsidRPr="00495830">
        <w:rPr>
          <w:rFonts w:asciiTheme="minorHAnsi" w:hAnsiTheme="minorHAnsi" w:cs="Arial"/>
          <w:bCs/>
          <w:snapToGrid w:val="0"/>
        </w:rPr>
        <w:t xml:space="preserve">brands of </w:t>
      </w:r>
      <w:proofErr w:type="spellStart"/>
      <w:r w:rsidR="00356E55" w:rsidRPr="00495830">
        <w:rPr>
          <w:rFonts w:asciiTheme="minorHAnsi" w:hAnsiTheme="minorHAnsi" w:cs="Arial"/>
          <w:bCs/>
          <w:snapToGrid w:val="0"/>
        </w:rPr>
        <w:t>adalimumab</w:t>
      </w:r>
      <w:proofErr w:type="spellEnd"/>
      <w:r w:rsidR="008B3394" w:rsidRPr="00495830">
        <w:rPr>
          <w:rFonts w:asciiTheme="minorHAnsi" w:hAnsiTheme="minorHAnsi" w:cs="Arial"/>
          <w:bCs/>
          <w:snapToGrid w:val="0"/>
        </w:rPr>
        <w:t>:</w:t>
      </w:r>
    </w:p>
    <w:p w:rsidR="008273A1" w:rsidRPr="00BC1A30" w:rsidRDefault="008273A1"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Retain the initial 1 an 2 restrictions as Authority Required (written) benefits; and</w:t>
      </w:r>
    </w:p>
    <w:p w:rsidR="008273A1" w:rsidRPr="00BC1A30" w:rsidRDefault="008273A1"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Split the continuation criteria into ‘first continuing’ and ‘subsequent continuing’, to allow for the subsequent continuing restriction for the biosimilar to be Streamline</w:t>
      </w:r>
      <w:r w:rsidR="00F96B33" w:rsidRPr="00BC1A30">
        <w:rPr>
          <w:rFonts w:asciiTheme="minorHAnsi" w:hAnsiTheme="minorHAnsi" w:cstheme="minorBidi"/>
          <w:szCs w:val="22"/>
        </w:rPr>
        <w:t>d Authority while subsequent continuing restriction for the reference biological medicine will remain as a written authority; and</w:t>
      </w:r>
    </w:p>
    <w:p w:rsidR="003D0904" w:rsidRDefault="00F96B33" w:rsidP="003D0904">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 xml:space="preserve">The application of </w:t>
      </w:r>
      <w:r w:rsidR="00A64182" w:rsidRPr="00BC1A30">
        <w:rPr>
          <w:rFonts w:asciiTheme="minorHAnsi" w:hAnsiTheme="minorHAnsi" w:cstheme="minorBidi"/>
          <w:szCs w:val="22"/>
        </w:rPr>
        <w:t>the following</w:t>
      </w:r>
      <w:r w:rsidRPr="00BC1A30">
        <w:rPr>
          <w:rFonts w:asciiTheme="minorHAnsi" w:hAnsiTheme="minorHAnsi" w:cstheme="minorBidi"/>
          <w:szCs w:val="22"/>
        </w:rPr>
        <w:t xml:space="preserve"> Administrative Note encouraging the use of biosimilar brands for treatment of naïve patients.</w:t>
      </w:r>
    </w:p>
    <w:p w:rsidR="003D0904" w:rsidRPr="003D0904" w:rsidRDefault="003D0904" w:rsidP="003D0904">
      <w:pPr>
        <w:widowControl w:val="0"/>
        <w:spacing w:after="120" w:line="240" w:lineRule="auto"/>
        <w:ind w:left="720"/>
        <w:jc w:val="both"/>
        <w:rPr>
          <w:rFonts w:asciiTheme="minorHAnsi" w:hAnsiTheme="minorHAnsi" w:cstheme="minorBidi"/>
          <w:szCs w:val="22"/>
        </w:rPr>
      </w:pPr>
    </w:p>
    <w:p w:rsidR="007A6880" w:rsidRPr="00385998" w:rsidRDefault="007A6880" w:rsidP="00385998">
      <w:pPr>
        <w:spacing w:after="0" w:line="240" w:lineRule="auto"/>
        <w:rPr>
          <w:rFonts w:asciiTheme="minorHAnsi" w:hAnsiTheme="minorHAnsi" w:cstheme="minorHAnsi"/>
          <w:b/>
          <w:i/>
        </w:rPr>
      </w:pPr>
      <w:r w:rsidRPr="00385998">
        <w:rPr>
          <w:rFonts w:asciiTheme="minorHAnsi" w:hAnsiTheme="minorHAnsi" w:cstheme="minorHAnsi"/>
          <w:b/>
          <w:i/>
        </w:rPr>
        <w:t xml:space="preserve">Note </w:t>
      </w:r>
    </w:p>
    <w:p w:rsidR="007A6880" w:rsidRPr="00385998" w:rsidRDefault="007A6880" w:rsidP="00385998">
      <w:pPr>
        <w:spacing w:after="0" w:line="240" w:lineRule="auto"/>
        <w:rPr>
          <w:rFonts w:asciiTheme="minorHAnsi" w:hAnsiTheme="minorHAnsi" w:cstheme="minorHAnsi"/>
          <w:b/>
          <w:i/>
        </w:rPr>
      </w:pPr>
      <w:r w:rsidRPr="00385998">
        <w:rPr>
          <w:rFonts w:asciiTheme="minorHAnsi" w:hAnsiTheme="minorHAnsi" w:cstheme="minorHAnsi"/>
          <w:b/>
          <w:i/>
        </w:rPr>
        <w:t xml:space="preserve">Biosimilar prescribing policy </w:t>
      </w:r>
    </w:p>
    <w:p w:rsidR="007A6880" w:rsidRPr="00385998" w:rsidRDefault="007A6880" w:rsidP="00385998">
      <w:pPr>
        <w:spacing w:after="0" w:line="240" w:lineRule="auto"/>
        <w:rPr>
          <w:rFonts w:asciiTheme="minorHAnsi" w:hAnsiTheme="minorHAnsi" w:cstheme="minorHAnsi"/>
          <w:i/>
        </w:rPr>
      </w:pPr>
      <w:r w:rsidRPr="00385998">
        <w:rPr>
          <w:rFonts w:asciiTheme="minorHAnsi" w:hAnsiTheme="minorHAnsi" w:cstheme="minorHAnsi"/>
          <w:i/>
        </w:rPr>
        <w:t>Prescribing of the biosimilar brand, [brand name/s</w:t>
      </w:r>
      <w:proofErr w:type="gramStart"/>
      <w:r w:rsidRPr="00385998">
        <w:rPr>
          <w:rFonts w:asciiTheme="minorHAnsi" w:hAnsiTheme="minorHAnsi" w:cstheme="minorHAnsi"/>
          <w:i/>
        </w:rPr>
        <w:t>],</w:t>
      </w:r>
      <w:proofErr w:type="gramEnd"/>
      <w:r w:rsidRPr="00385998">
        <w:rPr>
          <w:rFonts w:asciiTheme="minorHAnsi" w:hAnsiTheme="minorHAnsi" w:cstheme="minorHAnsi"/>
          <w:i/>
        </w:rPr>
        <w:t xml:space="preserve"> is encouraged for treatment naïve patients. </w:t>
      </w:r>
    </w:p>
    <w:p w:rsidR="007A6880" w:rsidRPr="00385998" w:rsidRDefault="00385998" w:rsidP="00385998">
      <w:pPr>
        <w:spacing w:after="0" w:line="240" w:lineRule="auto"/>
        <w:rPr>
          <w:rFonts w:asciiTheme="minorHAnsi" w:hAnsiTheme="minorHAnsi" w:cstheme="minorHAnsi"/>
        </w:rPr>
      </w:pPr>
      <w:r w:rsidRPr="00385998">
        <w:rPr>
          <w:rFonts w:asciiTheme="minorHAnsi" w:hAnsiTheme="minorHAnsi" w:cstheme="minorHAnsi"/>
          <w:i/>
        </w:rPr>
        <w:br/>
      </w:r>
      <w:r w:rsidR="007A6880" w:rsidRPr="00385998">
        <w:rPr>
          <w:rFonts w:asciiTheme="minorHAnsi" w:hAnsiTheme="minorHAnsi" w:cstheme="minorHAnsi"/>
          <w:i/>
        </w:rPr>
        <w:t xml:space="preserve">Encouraging biosimilar prescribing for treatment naïve patients is Government policy. A viable biosimilar market </w:t>
      </w:r>
      <w:proofErr w:type="gramStart"/>
      <w:r w:rsidR="007A6880" w:rsidRPr="00385998">
        <w:rPr>
          <w:rFonts w:asciiTheme="minorHAnsi" w:hAnsiTheme="minorHAnsi" w:cstheme="minorHAnsi"/>
          <w:i/>
        </w:rPr>
        <w:t>is expected</w:t>
      </w:r>
      <w:proofErr w:type="gramEnd"/>
      <w:r w:rsidR="007A6880" w:rsidRPr="00385998">
        <w:rPr>
          <w:rFonts w:asciiTheme="minorHAnsi" w:hAnsiTheme="minorHAnsi" w:cstheme="minorHAnsi"/>
          <w:i/>
        </w:rPr>
        <w:t xml:space="preserve"> to result in reduced costs for biological medicines, allowing the Government to reinvest in new treatments. Further information </w:t>
      </w:r>
      <w:proofErr w:type="gramStart"/>
      <w:r w:rsidR="007A6880" w:rsidRPr="00385998">
        <w:rPr>
          <w:rFonts w:asciiTheme="minorHAnsi" w:hAnsiTheme="minorHAnsi" w:cstheme="minorHAnsi"/>
          <w:i/>
        </w:rPr>
        <w:t>can be found</w:t>
      </w:r>
      <w:proofErr w:type="gramEnd"/>
      <w:r w:rsidR="007A6880" w:rsidRPr="00385998">
        <w:rPr>
          <w:rFonts w:asciiTheme="minorHAnsi" w:hAnsiTheme="minorHAnsi" w:cstheme="minorHAnsi"/>
          <w:i/>
        </w:rPr>
        <w:t xml:space="preserve"> on the Biosimilar Awareness Initiative webpage (www.health.gov.au/biosimilars).</w:t>
      </w:r>
      <w:r>
        <w:rPr>
          <w:rFonts w:asciiTheme="minorHAnsi" w:hAnsiTheme="minorHAnsi" w:cstheme="minorHAnsi"/>
        </w:rPr>
        <w:br/>
      </w:r>
    </w:p>
    <w:p w:rsidR="00EB5020" w:rsidRPr="00495830" w:rsidRDefault="004E5F95"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reiterated its previous advice that </w:t>
      </w:r>
      <w:proofErr w:type="spellStart"/>
      <w:r w:rsidRPr="00495830">
        <w:rPr>
          <w:rFonts w:asciiTheme="minorHAnsi" w:hAnsiTheme="minorHAnsi" w:cs="Arial"/>
          <w:bCs/>
          <w:snapToGrid w:val="0"/>
        </w:rPr>
        <w:t>a</w:t>
      </w:r>
      <w:r w:rsidR="008A2FC7" w:rsidRPr="00495830">
        <w:rPr>
          <w:rFonts w:asciiTheme="minorHAnsi" w:hAnsiTheme="minorHAnsi" w:cs="Arial"/>
          <w:bCs/>
          <w:snapToGrid w:val="0"/>
        </w:rPr>
        <w:t>dalimumab</w:t>
      </w:r>
      <w:proofErr w:type="spellEnd"/>
      <w:r w:rsidR="008A2FC7" w:rsidRPr="00495830">
        <w:rPr>
          <w:rFonts w:asciiTheme="minorHAnsi" w:hAnsiTheme="minorHAnsi" w:cs="Arial"/>
          <w:bCs/>
          <w:snapToGrid w:val="0"/>
        </w:rPr>
        <w:t xml:space="preserve"> is not </w:t>
      </w:r>
      <w:r w:rsidR="00EB5020" w:rsidRPr="00495830">
        <w:rPr>
          <w:rFonts w:asciiTheme="minorHAnsi" w:hAnsiTheme="minorHAnsi" w:cs="Arial"/>
          <w:bCs/>
          <w:snapToGrid w:val="0"/>
        </w:rPr>
        <w:t>suitable for nurse practition</w:t>
      </w:r>
      <w:r w:rsidR="008A2FC7" w:rsidRPr="00495830">
        <w:rPr>
          <w:rFonts w:asciiTheme="minorHAnsi" w:hAnsiTheme="minorHAnsi" w:cs="Arial"/>
          <w:bCs/>
          <w:snapToGrid w:val="0"/>
        </w:rPr>
        <w:t>er prescribing.</w:t>
      </w:r>
    </w:p>
    <w:p w:rsidR="00871ECF" w:rsidRPr="00495830" w:rsidRDefault="008A2FC7"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has previously considered that </w:t>
      </w:r>
      <w:proofErr w:type="spellStart"/>
      <w:r w:rsidRPr="00495830">
        <w:rPr>
          <w:rFonts w:asciiTheme="minorHAnsi" w:hAnsiTheme="minorHAnsi" w:cs="Arial"/>
          <w:bCs/>
          <w:snapToGrid w:val="0"/>
        </w:rPr>
        <w:t>adalimumab</w:t>
      </w:r>
      <w:proofErr w:type="spellEnd"/>
      <w:r w:rsidRPr="00495830">
        <w:rPr>
          <w:rFonts w:asciiTheme="minorHAnsi" w:hAnsiTheme="minorHAnsi" w:cs="Arial"/>
          <w:bCs/>
          <w:snapToGrid w:val="0"/>
        </w:rPr>
        <w:t xml:space="preserve"> should not be exempt from the Early Supply Rule. </w:t>
      </w:r>
    </w:p>
    <w:p w:rsidR="00677E15" w:rsidRPr="00495830" w:rsidRDefault="004E5F95" w:rsidP="00D10FF3">
      <w:pPr>
        <w:widowControl w:val="0"/>
        <w:numPr>
          <w:ilvl w:val="1"/>
          <w:numId w:val="1"/>
        </w:numPr>
        <w:spacing w:after="120" w:line="240" w:lineRule="auto"/>
        <w:jc w:val="both"/>
        <w:rPr>
          <w:rFonts w:asciiTheme="minorHAnsi" w:hAnsiTheme="minorHAnsi" w:cs="Arial"/>
          <w:bCs/>
          <w:snapToGrid w:val="0"/>
        </w:rPr>
      </w:pPr>
      <w:proofErr w:type="gramStart"/>
      <w:r w:rsidRPr="00495830">
        <w:rPr>
          <w:rFonts w:asciiTheme="minorHAnsi" w:hAnsiTheme="minorHAnsi" w:cs="Arial"/>
          <w:bCs/>
          <w:snapToGrid w:val="0"/>
        </w:rPr>
        <w:t>The PBAC advised that, under Section 101(4AA</w:t>
      </w:r>
      <w:r w:rsidR="00DD7DC9" w:rsidRPr="00495830">
        <w:rPr>
          <w:rFonts w:asciiTheme="minorHAnsi" w:hAnsiTheme="minorHAnsi" w:cs="Arial"/>
          <w:bCs/>
          <w:snapToGrid w:val="0"/>
        </w:rPr>
        <w:t xml:space="preserve">CD) of the </w:t>
      </w:r>
      <w:r w:rsidR="00DD7DC9" w:rsidRPr="00495830">
        <w:rPr>
          <w:rFonts w:asciiTheme="minorHAnsi" w:hAnsiTheme="minorHAnsi" w:cs="Arial"/>
          <w:bCs/>
          <w:i/>
          <w:snapToGrid w:val="0"/>
        </w:rPr>
        <w:t xml:space="preserve">National Health Act </w:t>
      </w:r>
      <w:r w:rsidRPr="00495830">
        <w:rPr>
          <w:rFonts w:asciiTheme="minorHAnsi" w:hAnsiTheme="minorHAnsi" w:cs="Arial"/>
          <w:bCs/>
          <w:i/>
          <w:snapToGrid w:val="0"/>
        </w:rPr>
        <w:t>1953</w:t>
      </w:r>
      <w:r w:rsidRPr="00495830">
        <w:rPr>
          <w:rFonts w:asciiTheme="minorHAnsi" w:hAnsiTheme="minorHAnsi" w:cs="Arial"/>
          <w:bCs/>
          <w:snapToGrid w:val="0"/>
        </w:rPr>
        <w:t>, in the Schedule</w:t>
      </w:r>
      <w:r w:rsidR="003957E9">
        <w:rPr>
          <w:rFonts w:asciiTheme="minorHAnsi" w:hAnsiTheme="minorHAnsi" w:cs="Arial"/>
          <w:bCs/>
          <w:snapToGrid w:val="0"/>
        </w:rPr>
        <w:t xml:space="preserve"> of Pharmaceutical Benefits, </w:t>
      </w:r>
      <w:proofErr w:type="spellStart"/>
      <w:r w:rsidR="003957E9">
        <w:rPr>
          <w:rFonts w:asciiTheme="minorHAnsi" w:hAnsiTheme="minorHAnsi" w:cs="Arial"/>
          <w:bCs/>
          <w:snapToGrid w:val="0"/>
        </w:rPr>
        <w:t>Am</w:t>
      </w:r>
      <w:r w:rsidRPr="00495830">
        <w:rPr>
          <w:rFonts w:asciiTheme="minorHAnsi" w:hAnsiTheme="minorHAnsi" w:cs="Arial"/>
          <w:bCs/>
          <w:snapToGrid w:val="0"/>
        </w:rPr>
        <w:t>g</w:t>
      </w:r>
      <w:r w:rsidR="003957E9">
        <w:rPr>
          <w:rFonts w:asciiTheme="minorHAnsi" w:hAnsiTheme="minorHAnsi" w:cs="Arial"/>
          <w:bCs/>
          <w:snapToGrid w:val="0"/>
        </w:rPr>
        <w:t>e</w:t>
      </w:r>
      <w:r w:rsidRPr="00495830">
        <w:rPr>
          <w:rFonts w:asciiTheme="minorHAnsi" w:hAnsiTheme="minorHAnsi" w:cs="Arial"/>
          <w:bCs/>
          <w:snapToGrid w:val="0"/>
        </w:rPr>
        <w:t>vita</w:t>
      </w:r>
      <w:proofErr w:type="spellEnd"/>
      <w:r w:rsidRPr="00495830">
        <w:rPr>
          <w:rFonts w:asciiTheme="minorHAnsi" w:hAnsiTheme="minorHAnsi" w:cs="Arial"/>
          <w:bCs/>
          <w:snapToGrid w:val="0"/>
        </w:rPr>
        <w:t xml:space="preserve">, </w:t>
      </w:r>
      <w:proofErr w:type="spellStart"/>
      <w:r w:rsidRPr="00495830">
        <w:rPr>
          <w:rFonts w:asciiTheme="minorHAnsi" w:hAnsiTheme="minorHAnsi" w:cs="Arial"/>
          <w:bCs/>
          <w:snapToGrid w:val="0"/>
        </w:rPr>
        <w:t>Hadlima</w:t>
      </w:r>
      <w:proofErr w:type="spellEnd"/>
      <w:r w:rsidRPr="00495830">
        <w:rPr>
          <w:rFonts w:asciiTheme="minorHAnsi" w:hAnsiTheme="minorHAnsi" w:cs="Arial"/>
          <w:bCs/>
          <w:snapToGrid w:val="0"/>
        </w:rPr>
        <w:t xml:space="preserve">, </w:t>
      </w:r>
      <w:proofErr w:type="spellStart"/>
      <w:r w:rsidRPr="00495830">
        <w:rPr>
          <w:rFonts w:asciiTheme="minorHAnsi" w:hAnsiTheme="minorHAnsi" w:cs="Arial"/>
          <w:bCs/>
          <w:snapToGrid w:val="0"/>
        </w:rPr>
        <w:t>Hyrimoz</w:t>
      </w:r>
      <w:proofErr w:type="spellEnd"/>
      <w:r w:rsidRPr="00495830">
        <w:rPr>
          <w:rFonts w:asciiTheme="minorHAnsi" w:hAnsiTheme="minorHAnsi" w:cs="Arial"/>
          <w:bCs/>
          <w:snapToGrid w:val="0"/>
        </w:rPr>
        <w:t xml:space="preserve"> and </w:t>
      </w:r>
      <w:proofErr w:type="spellStart"/>
      <w:r w:rsidRPr="00495830">
        <w:rPr>
          <w:rFonts w:asciiTheme="minorHAnsi" w:hAnsiTheme="minorHAnsi" w:cs="Arial"/>
          <w:bCs/>
          <w:snapToGrid w:val="0"/>
        </w:rPr>
        <w:t>Humira</w:t>
      </w:r>
      <w:proofErr w:type="spellEnd"/>
      <w:r w:rsidRPr="00495830">
        <w:rPr>
          <w:rFonts w:asciiTheme="minorHAnsi" w:hAnsiTheme="minorHAnsi" w:cs="Arial"/>
          <w:bCs/>
          <w:snapToGrid w:val="0"/>
        </w:rPr>
        <w:t xml:space="preserve"> pre-filled syringes should be treated as equivalent to each other and </w:t>
      </w:r>
      <w:proofErr w:type="spellStart"/>
      <w:r w:rsidR="00FE370A">
        <w:rPr>
          <w:rFonts w:asciiTheme="minorHAnsi" w:hAnsiTheme="minorHAnsi" w:cs="Arial"/>
          <w:bCs/>
          <w:snapToGrid w:val="0"/>
        </w:rPr>
        <w:t>Amgevita</w:t>
      </w:r>
      <w:proofErr w:type="spellEnd"/>
      <w:r w:rsidR="00FE370A">
        <w:rPr>
          <w:rFonts w:asciiTheme="minorHAnsi" w:hAnsiTheme="minorHAnsi" w:cs="Arial"/>
          <w:bCs/>
          <w:snapToGrid w:val="0"/>
        </w:rPr>
        <w:t xml:space="preserve">, </w:t>
      </w:r>
      <w:proofErr w:type="spellStart"/>
      <w:r w:rsidR="00FE370A">
        <w:rPr>
          <w:rFonts w:asciiTheme="minorHAnsi" w:hAnsiTheme="minorHAnsi" w:cs="Arial"/>
          <w:bCs/>
          <w:snapToGrid w:val="0"/>
        </w:rPr>
        <w:t>Hadlima</w:t>
      </w:r>
      <w:proofErr w:type="spellEnd"/>
      <w:r w:rsidR="00FE370A">
        <w:rPr>
          <w:rFonts w:asciiTheme="minorHAnsi" w:hAnsiTheme="minorHAnsi" w:cs="Arial"/>
          <w:bCs/>
          <w:snapToGrid w:val="0"/>
        </w:rPr>
        <w:t xml:space="preserve">, </w:t>
      </w:r>
      <w:proofErr w:type="spellStart"/>
      <w:r w:rsidRPr="00495830">
        <w:rPr>
          <w:rFonts w:asciiTheme="minorHAnsi" w:hAnsiTheme="minorHAnsi" w:cs="Arial"/>
          <w:bCs/>
          <w:snapToGrid w:val="0"/>
        </w:rPr>
        <w:t>Hyrimoz</w:t>
      </w:r>
      <w:proofErr w:type="spellEnd"/>
      <w:r w:rsidRPr="00495830">
        <w:rPr>
          <w:rFonts w:asciiTheme="minorHAnsi" w:hAnsiTheme="minorHAnsi" w:cs="Arial"/>
          <w:bCs/>
          <w:snapToGrid w:val="0"/>
        </w:rPr>
        <w:t xml:space="preserve"> and </w:t>
      </w:r>
      <w:proofErr w:type="spellStart"/>
      <w:r w:rsidRPr="00495830">
        <w:rPr>
          <w:rFonts w:asciiTheme="minorHAnsi" w:hAnsiTheme="minorHAnsi" w:cs="Arial"/>
          <w:bCs/>
          <w:snapToGrid w:val="0"/>
        </w:rPr>
        <w:t>Humira</w:t>
      </w:r>
      <w:proofErr w:type="spellEnd"/>
      <w:r w:rsidRPr="00495830">
        <w:rPr>
          <w:rFonts w:asciiTheme="minorHAnsi" w:hAnsiTheme="minorHAnsi" w:cs="Arial"/>
          <w:bCs/>
          <w:snapToGrid w:val="0"/>
        </w:rPr>
        <w:t xml:space="preserve"> </w:t>
      </w:r>
      <w:r w:rsidR="00FE370A">
        <w:rPr>
          <w:rFonts w:asciiTheme="minorHAnsi" w:hAnsiTheme="minorHAnsi" w:cs="Arial"/>
          <w:bCs/>
          <w:snapToGrid w:val="0"/>
        </w:rPr>
        <w:t>pre-filled pens</w:t>
      </w:r>
      <w:r w:rsidR="00FE370A" w:rsidRPr="00495830">
        <w:rPr>
          <w:rFonts w:asciiTheme="minorHAnsi" w:hAnsiTheme="minorHAnsi" w:cs="Arial"/>
          <w:bCs/>
          <w:snapToGrid w:val="0"/>
        </w:rPr>
        <w:t xml:space="preserve"> </w:t>
      </w:r>
      <w:r w:rsidRPr="00495830">
        <w:rPr>
          <w:rFonts w:asciiTheme="minorHAnsi" w:hAnsiTheme="minorHAnsi" w:cs="Arial"/>
          <w:bCs/>
          <w:snapToGrid w:val="0"/>
        </w:rPr>
        <w:t>should be treated equivalent to each other</w:t>
      </w:r>
      <w:r w:rsidR="00DD7DC9" w:rsidRPr="00495830">
        <w:rPr>
          <w:rFonts w:asciiTheme="minorHAnsi" w:hAnsiTheme="minorHAnsi" w:cs="Arial"/>
          <w:bCs/>
          <w:snapToGrid w:val="0"/>
        </w:rPr>
        <w:t xml:space="preserve"> for the purpose of substitution (i.e., ‘a’ flagged in Schedule with a NOTE stating P</w:t>
      </w:r>
      <w:r w:rsidR="00677E15" w:rsidRPr="00495830">
        <w:rPr>
          <w:rFonts w:asciiTheme="minorHAnsi" w:hAnsiTheme="minorHAnsi" w:cs="Arial"/>
          <w:bCs/>
          <w:snapToGrid w:val="0"/>
        </w:rPr>
        <w:t>BS of one form and PBS of anothe</w:t>
      </w:r>
      <w:r w:rsidR="00DD7DC9" w:rsidRPr="00495830">
        <w:rPr>
          <w:rFonts w:asciiTheme="minorHAnsi" w:hAnsiTheme="minorHAnsi" w:cs="Arial"/>
          <w:bCs/>
          <w:snapToGrid w:val="0"/>
        </w:rPr>
        <w:t>r form are equivalent for the purpose of substitution</w:t>
      </w:r>
      <w:r w:rsidR="00EB5020" w:rsidRPr="00495830">
        <w:rPr>
          <w:rFonts w:asciiTheme="minorHAnsi" w:hAnsiTheme="minorHAnsi" w:cs="Arial"/>
          <w:bCs/>
          <w:snapToGrid w:val="0"/>
        </w:rPr>
        <w:t>)</w:t>
      </w:r>
      <w:r w:rsidRPr="00495830">
        <w:rPr>
          <w:rFonts w:asciiTheme="minorHAnsi" w:hAnsiTheme="minorHAnsi" w:cs="Arial"/>
          <w:bCs/>
          <w:snapToGrid w:val="0"/>
        </w:rPr>
        <w:t>.</w:t>
      </w:r>
      <w:proofErr w:type="gramEnd"/>
      <w:r w:rsidRPr="00495830">
        <w:rPr>
          <w:rFonts w:asciiTheme="minorHAnsi" w:hAnsiTheme="minorHAnsi" w:cs="Arial"/>
          <w:bCs/>
          <w:snapToGrid w:val="0"/>
        </w:rPr>
        <w:t xml:space="preserve"> </w:t>
      </w:r>
    </w:p>
    <w:p w:rsidR="00713514" w:rsidRPr="00495830" w:rsidRDefault="00713514" w:rsidP="00D10FF3">
      <w:pPr>
        <w:widowControl w:val="0"/>
        <w:numPr>
          <w:ilvl w:val="1"/>
          <w:numId w:val="1"/>
        </w:numPr>
        <w:spacing w:after="120" w:line="240" w:lineRule="auto"/>
        <w:jc w:val="both"/>
        <w:rPr>
          <w:rFonts w:asciiTheme="minorHAnsi" w:hAnsiTheme="minorHAnsi" w:cs="Arial"/>
          <w:bCs/>
          <w:snapToGrid w:val="0"/>
        </w:rPr>
      </w:pPr>
      <w:r w:rsidRPr="00495830">
        <w:rPr>
          <w:rFonts w:asciiTheme="minorHAnsi" w:hAnsiTheme="minorHAnsi" w:cs="Arial"/>
          <w:bCs/>
          <w:snapToGrid w:val="0"/>
        </w:rPr>
        <w:t xml:space="preserve">The PBAC noted that this submission is not eligible for Independent Review as it received a positive recommendation. </w:t>
      </w:r>
    </w:p>
    <w:p w:rsidR="008D23BC" w:rsidRPr="00495830" w:rsidRDefault="008D23BC" w:rsidP="008D23BC">
      <w:pPr>
        <w:spacing w:before="240" w:after="0"/>
        <w:jc w:val="both"/>
        <w:rPr>
          <w:rFonts w:asciiTheme="minorHAnsi" w:hAnsiTheme="minorHAnsi" w:cs="Arial"/>
          <w:b/>
          <w:bCs/>
          <w:snapToGrid w:val="0"/>
        </w:rPr>
      </w:pPr>
      <w:r w:rsidRPr="00495830">
        <w:rPr>
          <w:rFonts w:asciiTheme="minorHAnsi" w:hAnsiTheme="minorHAnsi" w:cs="Arial"/>
          <w:b/>
          <w:bCs/>
          <w:snapToGrid w:val="0"/>
        </w:rPr>
        <w:t>Outcome:</w:t>
      </w:r>
    </w:p>
    <w:p w:rsidR="008D23BC" w:rsidRPr="00495830" w:rsidRDefault="008D23BC" w:rsidP="00871ECF">
      <w:pPr>
        <w:jc w:val="both"/>
        <w:rPr>
          <w:rFonts w:asciiTheme="minorHAnsi" w:hAnsiTheme="minorHAnsi" w:cs="Arial"/>
          <w:bCs/>
          <w:snapToGrid w:val="0"/>
        </w:rPr>
      </w:pPr>
      <w:r w:rsidRPr="00495830">
        <w:rPr>
          <w:rFonts w:asciiTheme="minorHAnsi" w:hAnsiTheme="minorHAnsi" w:cs="Arial"/>
          <w:bCs/>
          <w:snapToGrid w:val="0"/>
        </w:rPr>
        <w:t xml:space="preserve">Recommended </w:t>
      </w:r>
    </w:p>
    <w:p w:rsidR="008D23BC" w:rsidRPr="00BC1A30" w:rsidRDefault="008D23BC" w:rsidP="008A2FC7">
      <w:pPr>
        <w:pStyle w:val="PBACHeading1"/>
        <w:spacing w:before="240" w:after="120"/>
        <w:ind w:left="709" w:hanging="709"/>
        <w:jc w:val="both"/>
        <w:rPr>
          <w:rFonts w:asciiTheme="minorHAnsi" w:hAnsiTheme="minorHAnsi"/>
          <w:sz w:val="32"/>
          <w:szCs w:val="32"/>
        </w:rPr>
      </w:pPr>
      <w:r w:rsidRPr="00BC1A30">
        <w:rPr>
          <w:rFonts w:asciiTheme="minorHAnsi" w:hAnsiTheme="minorHAnsi"/>
          <w:sz w:val="32"/>
          <w:szCs w:val="32"/>
        </w:rPr>
        <w:lastRenderedPageBreak/>
        <w:t>Recommended listing</w:t>
      </w:r>
    </w:p>
    <w:p w:rsidR="00DB116F" w:rsidRPr="00BC1A30" w:rsidRDefault="008D23BC" w:rsidP="00D10FF3">
      <w:pPr>
        <w:widowControl w:val="0"/>
        <w:numPr>
          <w:ilvl w:val="1"/>
          <w:numId w:val="1"/>
        </w:numPr>
        <w:spacing w:after="120" w:line="240" w:lineRule="auto"/>
        <w:jc w:val="both"/>
        <w:rPr>
          <w:rFonts w:asciiTheme="minorHAnsi" w:hAnsiTheme="minorHAnsi" w:cstheme="minorBidi"/>
          <w:szCs w:val="22"/>
        </w:rPr>
      </w:pPr>
      <w:r w:rsidRPr="00BC1A30">
        <w:rPr>
          <w:rFonts w:asciiTheme="minorHAnsi" w:hAnsiTheme="minorHAnsi" w:cs="Arial"/>
          <w:bCs/>
          <w:snapToGrid w:val="0"/>
        </w:rPr>
        <w:t>Add new</w:t>
      </w:r>
      <w:r w:rsidR="00630456" w:rsidRPr="00BC1A30">
        <w:rPr>
          <w:rFonts w:asciiTheme="minorHAnsi" w:hAnsiTheme="minorHAnsi" w:cs="Arial"/>
          <w:bCs/>
          <w:snapToGrid w:val="0"/>
        </w:rPr>
        <w:t xml:space="preserve"> </w:t>
      </w:r>
      <w:proofErr w:type="spellStart"/>
      <w:r w:rsidR="00630456" w:rsidRPr="00BC1A30">
        <w:rPr>
          <w:rFonts w:asciiTheme="minorHAnsi" w:hAnsiTheme="minorHAnsi" w:cs="Arial"/>
          <w:bCs/>
          <w:snapToGrid w:val="0"/>
        </w:rPr>
        <w:t>adalimumab</w:t>
      </w:r>
      <w:proofErr w:type="spellEnd"/>
      <w:r w:rsidR="00DB116F" w:rsidRPr="00BC1A30">
        <w:rPr>
          <w:rFonts w:asciiTheme="minorHAnsi" w:hAnsiTheme="minorHAnsi" w:cs="Arial"/>
          <w:bCs/>
          <w:snapToGrid w:val="0"/>
        </w:rPr>
        <w:t xml:space="preserve"> brand with schedule equivalence (‘a’ flag) for the </w:t>
      </w:r>
      <w:r w:rsidR="00A44C10" w:rsidRPr="00BC1A30">
        <w:rPr>
          <w:rFonts w:asciiTheme="minorHAnsi" w:hAnsiTheme="minorHAnsi" w:cs="Arial"/>
          <w:bCs/>
          <w:snapToGrid w:val="0"/>
        </w:rPr>
        <w:t xml:space="preserve">same indications as </w:t>
      </w:r>
      <w:proofErr w:type="spellStart"/>
      <w:r w:rsidR="00A44C10" w:rsidRPr="00BC1A30">
        <w:rPr>
          <w:rFonts w:asciiTheme="minorHAnsi" w:hAnsiTheme="minorHAnsi" w:cs="Arial"/>
          <w:bCs/>
          <w:snapToGrid w:val="0"/>
        </w:rPr>
        <w:t>Humira</w:t>
      </w:r>
      <w:proofErr w:type="spellEnd"/>
      <w:r w:rsidR="00A44C10" w:rsidRPr="00BC1A30">
        <w:rPr>
          <w:rFonts w:asciiTheme="minorHAnsi" w:hAnsiTheme="minorHAnsi" w:cs="Arial"/>
          <w:bCs/>
          <w:snapToGrid w:val="0"/>
        </w:rPr>
        <w:t>, except for:</w:t>
      </w:r>
    </w:p>
    <w:p w:rsidR="00A44C10" w:rsidRPr="00BC1A30" w:rsidRDefault="00A44C10"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Paediatric patients with severe Crohn disease: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10389T, 10396E, 10422M) </w:t>
      </w:r>
    </w:p>
    <w:p w:rsidR="00A44C10" w:rsidRPr="00BC1A30" w:rsidRDefault="00A44C10" w:rsidP="00D10FF3">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moderate to severe ulcerative colitis: treatment for patients weighing less than 40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11121H, 11127P) </w:t>
      </w:r>
    </w:p>
    <w:p w:rsidR="00DB116F" w:rsidRPr="003D0904" w:rsidRDefault="00A44C10" w:rsidP="003D0904">
      <w:pPr>
        <w:pStyle w:val="ListParagraph"/>
        <w:widowControl w:val="0"/>
        <w:numPr>
          <w:ilvl w:val="1"/>
          <w:numId w:val="2"/>
        </w:numPr>
        <w:spacing w:after="120" w:line="240" w:lineRule="auto"/>
        <w:jc w:val="both"/>
        <w:rPr>
          <w:rFonts w:asciiTheme="minorHAnsi" w:hAnsiTheme="minorHAnsi" w:cstheme="minorBidi"/>
          <w:szCs w:val="22"/>
        </w:rPr>
      </w:pPr>
      <w:r w:rsidRPr="00BC1A30">
        <w:rPr>
          <w:rFonts w:asciiTheme="minorHAnsi" w:hAnsiTheme="minorHAnsi" w:cstheme="minorBidi"/>
          <w:szCs w:val="22"/>
        </w:rPr>
        <w:t>Patients with severe juvenile idiopathic arthritis: treatment for patients weighing less than 30 kg (</w:t>
      </w:r>
      <w:proofErr w:type="spellStart"/>
      <w:r w:rsidRPr="00BC1A30">
        <w:rPr>
          <w:rFonts w:asciiTheme="minorHAnsi" w:hAnsiTheme="minorHAnsi" w:cstheme="minorBidi"/>
          <w:szCs w:val="22"/>
        </w:rPr>
        <w:t>Humira</w:t>
      </w:r>
      <w:proofErr w:type="spellEnd"/>
      <w:r w:rsidRPr="00BC1A30">
        <w:rPr>
          <w:rFonts w:asciiTheme="minorHAnsi" w:hAnsiTheme="minorHAnsi" w:cstheme="minorBidi"/>
          <w:szCs w:val="22"/>
        </w:rPr>
        <w:t xml:space="preserve"> PBS codes 9661L, 9678J) </w:t>
      </w:r>
    </w:p>
    <w:p w:rsidR="00DB116F" w:rsidRPr="00385998" w:rsidRDefault="00DB116F" w:rsidP="00385998">
      <w:pPr>
        <w:rPr>
          <w:rFonts w:asciiTheme="minorHAnsi" w:hAnsiTheme="minorHAnsi" w:cstheme="minorHAnsi"/>
          <w:b/>
        </w:rPr>
      </w:pPr>
      <w:r w:rsidRPr="00385998">
        <w:rPr>
          <w:rFonts w:asciiTheme="minorHAnsi" w:hAnsiTheme="minorHAnsi" w:cstheme="minorHAnsi"/>
        </w:rPr>
        <w:t>Add an administr</w:t>
      </w:r>
      <w:r w:rsidR="009547AC" w:rsidRPr="00385998">
        <w:rPr>
          <w:rFonts w:asciiTheme="minorHAnsi" w:hAnsiTheme="minorHAnsi" w:cstheme="minorHAnsi"/>
        </w:rPr>
        <w:t>at</w:t>
      </w:r>
      <w:r w:rsidRPr="00385998">
        <w:rPr>
          <w:rFonts w:asciiTheme="minorHAnsi" w:hAnsiTheme="minorHAnsi" w:cstheme="minorHAnsi"/>
        </w:rPr>
        <w:t>ive note encouraging biosimilar prescribing for treatment naïve patients</w:t>
      </w:r>
      <w:r w:rsidR="00CB179F" w:rsidRPr="00385998">
        <w:rPr>
          <w:rFonts w:asciiTheme="minorHAnsi" w:hAnsiTheme="minorHAnsi" w:cstheme="minorHAnsi"/>
        </w:rPr>
        <w:t>:</w:t>
      </w:r>
    </w:p>
    <w:p w:rsidR="003F0923" w:rsidRPr="00385998" w:rsidRDefault="003F0923" w:rsidP="00385998">
      <w:pPr>
        <w:rPr>
          <w:rFonts w:asciiTheme="minorHAnsi" w:hAnsiTheme="minorHAnsi"/>
          <w:b/>
        </w:rPr>
      </w:pPr>
      <w:r w:rsidRPr="00385998">
        <w:rPr>
          <w:rFonts w:asciiTheme="minorHAnsi" w:hAnsiTheme="minorHAnsi"/>
          <w:b/>
        </w:rPr>
        <w:t xml:space="preserve">Note </w:t>
      </w:r>
    </w:p>
    <w:p w:rsidR="003F0923" w:rsidRPr="00385998" w:rsidRDefault="003F0923" w:rsidP="00385998">
      <w:pPr>
        <w:rPr>
          <w:rFonts w:asciiTheme="minorHAnsi" w:hAnsiTheme="minorHAnsi"/>
          <w:b/>
        </w:rPr>
      </w:pPr>
      <w:r w:rsidRPr="00385998">
        <w:rPr>
          <w:rFonts w:asciiTheme="minorHAnsi" w:hAnsiTheme="minorHAnsi"/>
          <w:b/>
        </w:rPr>
        <w:t xml:space="preserve">Biosimilar prescribing policy </w:t>
      </w:r>
    </w:p>
    <w:p w:rsidR="003F0923" w:rsidRPr="00BC1A30" w:rsidRDefault="003F0923" w:rsidP="00385998">
      <w:pPr>
        <w:rPr>
          <w:rFonts w:asciiTheme="minorHAnsi" w:hAnsiTheme="minorHAnsi" w:cstheme="minorHAnsi"/>
        </w:rPr>
      </w:pPr>
      <w:r w:rsidRPr="00BC1A30">
        <w:rPr>
          <w:rFonts w:asciiTheme="minorHAnsi" w:hAnsiTheme="minorHAnsi" w:cstheme="minorHAnsi"/>
        </w:rPr>
        <w:t>Prescribing of the biosimilar brand</w:t>
      </w:r>
      <w:r w:rsidR="00A44C10" w:rsidRPr="00BC1A30">
        <w:rPr>
          <w:rFonts w:asciiTheme="minorHAnsi" w:hAnsiTheme="minorHAnsi" w:cstheme="minorHAnsi"/>
        </w:rPr>
        <w:t xml:space="preserve"> HYRIMOZ</w:t>
      </w:r>
      <w:r w:rsidRPr="00BC1A30">
        <w:rPr>
          <w:rFonts w:asciiTheme="minorHAnsi" w:hAnsiTheme="minorHAnsi" w:cstheme="minorHAnsi"/>
        </w:rPr>
        <w:t xml:space="preserve"> is encouraged for treatment naïve patients. </w:t>
      </w:r>
    </w:p>
    <w:p w:rsidR="008E1612" w:rsidRPr="00BC1A30" w:rsidRDefault="003F0923" w:rsidP="00385998">
      <w:pPr>
        <w:rPr>
          <w:rFonts w:asciiTheme="minorHAnsi" w:hAnsiTheme="minorHAnsi" w:cstheme="minorHAnsi"/>
        </w:rPr>
      </w:pPr>
      <w:r w:rsidRPr="00BC1A30">
        <w:rPr>
          <w:rFonts w:asciiTheme="minorHAnsi" w:hAnsiTheme="minorHAnsi" w:cstheme="minorHAnsi"/>
        </w:rPr>
        <w:t xml:space="preserve">Encouraging biosimilar prescribing for treatment naïve patients is Government policy. A viable biosimilar market </w:t>
      </w:r>
      <w:proofErr w:type="gramStart"/>
      <w:r w:rsidRPr="00BC1A30">
        <w:rPr>
          <w:rFonts w:asciiTheme="minorHAnsi" w:hAnsiTheme="minorHAnsi" w:cstheme="minorHAnsi"/>
        </w:rPr>
        <w:t>is expected</w:t>
      </w:r>
      <w:proofErr w:type="gramEnd"/>
      <w:r w:rsidRPr="00BC1A30">
        <w:rPr>
          <w:rFonts w:asciiTheme="minorHAnsi" w:hAnsiTheme="minorHAnsi" w:cstheme="minorHAnsi"/>
        </w:rPr>
        <w:t xml:space="preserve"> to result in reduced costs for biological medicines, allowing the Government to reinvest in new treatments. Further information </w:t>
      </w:r>
      <w:proofErr w:type="gramStart"/>
      <w:r w:rsidRPr="00BC1A30">
        <w:rPr>
          <w:rFonts w:asciiTheme="minorHAnsi" w:hAnsiTheme="minorHAnsi" w:cstheme="minorHAnsi"/>
        </w:rPr>
        <w:t>can be found</w:t>
      </w:r>
      <w:proofErr w:type="gramEnd"/>
      <w:r w:rsidRPr="00BC1A30">
        <w:rPr>
          <w:rFonts w:asciiTheme="minorHAnsi" w:hAnsiTheme="minorHAnsi" w:cstheme="minorHAnsi"/>
        </w:rPr>
        <w:t xml:space="preserve"> on the Biosimilar Awareness Initiative webpage (www.health.gov.au/biosimilars).</w:t>
      </w:r>
    </w:p>
    <w:p w:rsidR="008E1612" w:rsidRDefault="008E1612" w:rsidP="003D0904">
      <w:pPr>
        <w:rPr>
          <w:rFonts w:asciiTheme="minorHAnsi" w:hAnsiTheme="minorHAnsi" w:cstheme="minorHAnsi"/>
          <w:b/>
          <w:i/>
        </w:rPr>
      </w:pPr>
      <w:r w:rsidRPr="00934C84">
        <w:rPr>
          <w:rFonts w:asciiTheme="minorHAnsi" w:hAnsiTheme="minorHAnsi" w:cstheme="minorHAnsi"/>
          <w:b/>
          <w:i/>
        </w:rPr>
        <w:t>This restriction may be subject to further review. Should there be any changes made to the restriction the Sponsor will be informed.</w:t>
      </w:r>
    </w:p>
    <w:p w:rsidR="003D0904" w:rsidRPr="00D97F34" w:rsidRDefault="003D0904" w:rsidP="003D0904">
      <w:pPr>
        <w:rPr>
          <w:rFonts w:asciiTheme="minorHAnsi" w:hAnsiTheme="minorHAnsi" w:cstheme="minorHAnsi"/>
          <w:b/>
          <w:i/>
        </w:rPr>
      </w:pPr>
    </w:p>
    <w:p w:rsidR="00920A65" w:rsidRPr="00920A65" w:rsidRDefault="00920A65" w:rsidP="00920A65">
      <w:pPr>
        <w:pStyle w:val="PBACHeading1"/>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920A65" w:rsidRDefault="00920A65" w:rsidP="003D0904">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801710" w:rsidRPr="003D0904" w:rsidRDefault="00801710" w:rsidP="003D0904">
      <w:pPr>
        <w:rPr>
          <w:rFonts w:asciiTheme="minorHAnsi" w:hAnsiTheme="minorHAnsi" w:cs="Arial"/>
          <w:bCs/>
          <w:lang w:val="en-GB"/>
        </w:rPr>
      </w:pPr>
    </w:p>
    <w:p w:rsidR="00920A65" w:rsidRPr="00920A65" w:rsidRDefault="00920A65" w:rsidP="00920A65">
      <w:pPr>
        <w:pStyle w:val="PBACHeading1"/>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920A65" w:rsidRPr="001179AC" w:rsidRDefault="00920A65" w:rsidP="00920A65">
      <w:pPr>
        <w:spacing w:after="120"/>
        <w:jc w:val="both"/>
        <w:rPr>
          <w:rFonts w:asciiTheme="minorHAnsi" w:hAnsiTheme="minorHAnsi" w:cs="Arial"/>
          <w:bCs/>
        </w:rPr>
      </w:pPr>
      <w:r w:rsidRPr="00C07617">
        <w:rPr>
          <w:rFonts w:asciiTheme="minorHAnsi" w:hAnsiTheme="minorHAnsi" w:cs="Arial"/>
          <w:bCs/>
        </w:rPr>
        <w:t>The sponsor had no comment.</w:t>
      </w:r>
    </w:p>
    <w:p w:rsidR="00920A65" w:rsidRPr="00495830" w:rsidRDefault="00920A65" w:rsidP="00495830">
      <w:pPr>
        <w:spacing w:line="240" w:lineRule="auto"/>
        <w:jc w:val="both"/>
        <w:rPr>
          <w:rFonts w:ascii="Calibri" w:hAnsi="Calibri" w:cs="Calibri"/>
        </w:rPr>
      </w:pPr>
    </w:p>
    <w:sectPr w:rsidR="00920A65" w:rsidRPr="00495830" w:rsidSect="004060CC">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34" w:rsidRDefault="00D97F34" w:rsidP="0068234E">
      <w:pPr>
        <w:spacing w:after="0" w:line="240" w:lineRule="auto"/>
      </w:pPr>
      <w:r>
        <w:separator/>
      </w:r>
    </w:p>
  </w:endnote>
  <w:endnote w:type="continuationSeparator" w:id="0">
    <w:p w:rsidR="00D97F34" w:rsidRDefault="00D97F34" w:rsidP="0068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A2" w:rsidRDefault="001024A2" w:rsidP="001024A2">
    <w:pPr>
      <w:pStyle w:val="Footer"/>
      <w:keepNext/>
      <w:ind w:left="360"/>
      <w:jc w:val="center"/>
      <w:rPr>
        <w:rFonts w:ascii="Calibri" w:hAnsi="Calibri" w:cs="Arial"/>
        <w:b/>
      </w:rPr>
    </w:pPr>
  </w:p>
  <w:p w:rsidR="007F2386" w:rsidRPr="00F203CA" w:rsidRDefault="001024A2" w:rsidP="00F203CA">
    <w:pPr>
      <w:pStyle w:val="Footer"/>
      <w:keepNext/>
      <w:ind w:left="360"/>
      <w:jc w:val="center"/>
      <w:rPr>
        <w:rFonts w:asciiTheme="minorHAnsi" w:hAnsiTheme="minorHAnsi"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00224713">
      <w:rPr>
        <w:rFonts w:ascii="Calibri" w:hAnsi="Calibri" w:cs="Arial"/>
        <w:b/>
        <w:noProof/>
      </w:rPr>
      <w:t>8</w:t>
    </w:r>
    <w:r w:rsidRPr="00836F75">
      <w:rPr>
        <w:rFonts w:ascii="Calibri" w:hAnsi="Calibri" w:cs="Arial"/>
        <w:b/>
        <w:noProof/>
      </w:rPr>
      <w:fldChar w:fldCharType="end"/>
    </w:r>
    <w:r>
      <w:rPr>
        <w:rFonts w:ascii="Calibri" w:hAnsi="Calibri" w:cs="Arial"/>
        <w:b/>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34" w:rsidRDefault="00D97F34" w:rsidP="0068234E">
      <w:pPr>
        <w:spacing w:after="0" w:line="240" w:lineRule="auto"/>
      </w:pPr>
      <w:r>
        <w:separator/>
      </w:r>
    </w:p>
  </w:footnote>
  <w:footnote w:type="continuationSeparator" w:id="0">
    <w:p w:rsidR="00D97F34" w:rsidRDefault="00D97F34" w:rsidP="0068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A2" w:rsidRDefault="00920A65" w:rsidP="00920A65">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1024A2" w:rsidRPr="00056684">
      <w:rPr>
        <w:rFonts w:asciiTheme="minorHAnsi" w:hAnsiTheme="minorHAnsi" w:cs="Arial"/>
        <w:i/>
        <w:color w:val="808080"/>
      </w:rPr>
      <w:t xml:space="preserve"> – </w:t>
    </w:r>
    <w:r w:rsidR="001024A2">
      <w:rPr>
        <w:rFonts w:asciiTheme="minorHAnsi" w:hAnsiTheme="minorHAnsi" w:cs="Arial"/>
        <w:i/>
        <w:color w:val="808080"/>
      </w:rPr>
      <w:t>March 2020</w:t>
    </w:r>
    <w:r w:rsidR="001024A2" w:rsidRPr="00056684">
      <w:rPr>
        <w:rFonts w:asciiTheme="minorHAnsi" w:hAnsiTheme="minorHAnsi" w:cs="Arial"/>
        <w:i/>
        <w:color w:val="808080"/>
      </w:rPr>
      <w:t xml:space="preserve"> PBAC Meeting</w:t>
    </w:r>
  </w:p>
  <w:p w:rsidR="001024A2" w:rsidRDefault="001024A2" w:rsidP="001024A2">
    <w:pPr>
      <w:pStyle w:val="Header"/>
      <w:keepNext/>
      <w:ind w:left="360"/>
      <w:jc w:val="center"/>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B25"/>
    <w:multiLevelType w:val="multilevel"/>
    <w:tmpl w:val="DBA27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19810F9E"/>
    <w:multiLevelType w:val="multilevel"/>
    <w:tmpl w:val="A38CDB82"/>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bCs/>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BA6726"/>
    <w:multiLevelType w:val="hybridMultilevel"/>
    <w:tmpl w:val="B3CE6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4D033C"/>
    <w:multiLevelType w:val="multilevel"/>
    <w:tmpl w:val="E9864D0A"/>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asciiTheme="minorHAnsi" w:hAnsiTheme="minorHAnsi" w:cstheme="minorHAnsi" w:hint="default"/>
        <w:b w:val="0"/>
        <w:bCs/>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C9"/>
    <w:rsid w:val="0000054F"/>
    <w:rsid w:val="00002FFA"/>
    <w:rsid w:val="00006632"/>
    <w:rsid w:val="0000754C"/>
    <w:rsid w:val="00007B13"/>
    <w:rsid w:val="0001133D"/>
    <w:rsid w:val="000117AC"/>
    <w:rsid w:val="00013151"/>
    <w:rsid w:val="0001687E"/>
    <w:rsid w:val="00022A86"/>
    <w:rsid w:val="00033E81"/>
    <w:rsid w:val="000455EA"/>
    <w:rsid w:val="00061DCA"/>
    <w:rsid w:val="000624E1"/>
    <w:rsid w:val="0007100D"/>
    <w:rsid w:val="000723DC"/>
    <w:rsid w:val="00080C76"/>
    <w:rsid w:val="000832D5"/>
    <w:rsid w:val="00091933"/>
    <w:rsid w:val="00097473"/>
    <w:rsid w:val="000A05A5"/>
    <w:rsid w:val="000A50FF"/>
    <w:rsid w:val="000A6347"/>
    <w:rsid w:val="000C0FFC"/>
    <w:rsid w:val="000D03F6"/>
    <w:rsid w:val="000D41D2"/>
    <w:rsid w:val="000D6026"/>
    <w:rsid w:val="001024A2"/>
    <w:rsid w:val="001048A1"/>
    <w:rsid w:val="0012079A"/>
    <w:rsid w:val="00120D9C"/>
    <w:rsid w:val="00125026"/>
    <w:rsid w:val="001316CC"/>
    <w:rsid w:val="00133D09"/>
    <w:rsid w:val="00135A1B"/>
    <w:rsid w:val="00160192"/>
    <w:rsid w:val="00174171"/>
    <w:rsid w:val="0018005C"/>
    <w:rsid w:val="00181971"/>
    <w:rsid w:val="00185284"/>
    <w:rsid w:val="001875C5"/>
    <w:rsid w:val="0019465C"/>
    <w:rsid w:val="00197726"/>
    <w:rsid w:val="001A1E12"/>
    <w:rsid w:val="001A4026"/>
    <w:rsid w:val="001B08D5"/>
    <w:rsid w:val="001B74F4"/>
    <w:rsid w:val="001C491D"/>
    <w:rsid w:val="001C55A1"/>
    <w:rsid w:val="001C78D1"/>
    <w:rsid w:val="001D3BC3"/>
    <w:rsid w:val="001D4EC6"/>
    <w:rsid w:val="00207571"/>
    <w:rsid w:val="00215429"/>
    <w:rsid w:val="00221339"/>
    <w:rsid w:val="002220B2"/>
    <w:rsid w:val="00224713"/>
    <w:rsid w:val="002269D6"/>
    <w:rsid w:val="002269E2"/>
    <w:rsid w:val="00226EBD"/>
    <w:rsid w:val="0024035B"/>
    <w:rsid w:val="0024403B"/>
    <w:rsid w:val="00245272"/>
    <w:rsid w:val="00261DB2"/>
    <w:rsid w:val="002677E0"/>
    <w:rsid w:val="00273DA1"/>
    <w:rsid w:val="00280050"/>
    <w:rsid w:val="00283E6E"/>
    <w:rsid w:val="00285470"/>
    <w:rsid w:val="00285FEB"/>
    <w:rsid w:val="002A5C2B"/>
    <w:rsid w:val="002A7937"/>
    <w:rsid w:val="002B3B95"/>
    <w:rsid w:val="002B548F"/>
    <w:rsid w:val="002C7134"/>
    <w:rsid w:val="002E5FF4"/>
    <w:rsid w:val="002E6071"/>
    <w:rsid w:val="003223C9"/>
    <w:rsid w:val="00327E48"/>
    <w:rsid w:val="00342DF8"/>
    <w:rsid w:val="00343EB5"/>
    <w:rsid w:val="00356E55"/>
    <w:rsid w:val="003616D3"/>
    <w:rsid w:val="00363B8D"/>
    <w:rsid w:val="00366FAF"/>
    <w:rsid w:val="0037718A"/>
    <w:rsid w:val="00380D78"/>
    <w:rsid w:val="00385998"/>
    <w:rsid w:val="003859AC"/>
    <w:rsid w:val="003957E9"/>
    <w:rsid w:val="003A0E23"/>
    <w:rsid w:val="003A348B"/>
    <w:rsid w:val="003A6075"/>
    <w:rsid w:val="003A60C9"/>
    <w:rsid w:val="003B0064"/>
    <w:rsid w:val="003B7128"/>
    <w:rsid w:val="003C3548"/>
    <w:rsid w:val="003D0904"/>
    <w:rsid w:val="003D5570"/>
    <w:rsid w:val="003D65FC"/>
    <w:rsid w:val="003E0DC7"/>
    <w:rsid w:val="003E285A"/>
    <w:rsid w:val="003E4A4E"/>
    <w:rsid w:val="003E6667"/>
    <w:rsid w:val="003E67D6"/>
    <w:rsid w:val="003F0923"/>
    <w:rsid w:val="003F194A"/>
    <w:rsid w:val="003F1D58"/>
    <w:rsid w:val="003F39FA"/>
    <w:rsid w:val="003F3C32"/>
    <w:rsid w:val="0040582F"/>
    <w:rsid w:val="004060CC"/>
    <w:rsid w:val="0041272E"/>
    <w:rsid w:val="00412F84"/>
    <w:rsid w:val="00420F71"/>
    <w:rsid w:val="0042185E"/>
    <w:rsid w:val="004225A2"/>
    <w:rsid w:val="00426B6C"/>
    <w:rsid w:val="00426B8B"/>
    <w:rsid w:val="004270F0"/>
    <w:rsid w:val="00427CB5"/>
    <w:rsid w:val="0043131E"/>
    <w:rsid w:val="00435A09"/>
    <w:rsid w:val="00437170"/>
    <w:rsid w:val="00450080"/>
    <w:rsid w:val="00452951"/>
    <w:rsid w:val="004533D2"/>
    <w:rsid w:val="00453BC1"/>
    <w:rsid w:val="00455771"/>
    <w:rsid w:val="00456FBA"/>
    <w:rsid w:val="00460E11"/>
    <w:rsid w:val="004659B1"/>
    <w:rsid w:val="00473E3E"/>
    <w:rsid w:val="00480D3C"/>
    <w:rsid w:val="004827F3"/>
    <w:rsid w:val="004872C3"/>
    <w:rsid w:val="00495830"/>
    <w:rsid w:val="004A10C4"/>
    <w:rsid w:val="004A1DC9"/>
    <w:rsid w:val="004A2534"/>
    <w:rsid w:val="004A31A1"/>
    <w:rsid w:val="004A417F"/>
    <w:rsid w:val="004B3DCE"/>
    <w:rsid w:val="004C2DB8"/>
    <w:rsid w:val="004C349D"/>
    <w:rsid w:val="004D1AD7"/>
    <w:rsid w:val="004E154C"/>
    <w:rsid w:val="004E282C"/>
    <w:rsid w:val="004E5F95"/>
    <w:rsid w:val="004E6096"/>
    <w:rsid w:val="004F0BD9"/>
    <w:rsid w:val="004F2B1F"/>
    <w:rsid w:val="004F2BD2"/>
    <w:rsid w:val="004F5387"/>
    <w:rsid w:val="004F55F5"/>
    <w:rsid w:val="004F5839"/>
    <w:rsid w:val="00500C51"/>
    <w:rsid w:val="00502622"/>
    <w:rsid w:val="00510EAA"/>
    <w:rsid w:val="005154B8"/>
    <w:rsid w:val="00542F60"/>
    <w:rsid w:val="00547DA1"/>
    <w:rsid w:val="00551507"/>
    <w:rsid w:val="005677FB"/>
    <w:rsid w:val="00570829"/>
    <w:rsid w:val="00574291"/>
    <w:rsid w:val="005754AB"/>
    <w:rsid w:val="0058161C"/>
    <w:rsid w:val="005959C5"/>
    <w:rsid w:val="005A5503"/>
    <w:rsid w:val="005A5BC6"/>
    <w:rsid w:val="005B2B83"/>
    <w:rsid w:val="005B4C5D"/>
    <w:rsid w:val="005C306F"/>
    <w:rsid w:val="005C5C0F"/>
    <w:rsid w:val="005C6A6F"/>
    <w:rsid w:val="005C7D17"/>
    <w:rsid w:val="005E26CA"/>
    <w:rsid w:val="005E2C89"/>
    <w:rsid w:val="005F3259"/>
    <w:rsid w:val="005F79B1"/>
    <w:rsid w:val="006022BF"/>
    <w:rsid w:val="00602AEE"/>
    <w:rsid w:val="00604480"/>
    <w:rsid w:val="00607421"/>
    <w:rsid w:val="00610FFA"/>
    <w:rsid w:val="00625F47"/>
    <w:rsid w:val="00630456"/>
    <w:rsid w:val="00630C10"/>
    <w:rsid w:val="00635B9B"/>
    <w:rsid w:val="00640362"/>
    <w:rsid w:val="00644F41"/>
    <w:rsid w:val="00652580"/>
    <w:rsid w:val="00663043"/>
    <w:rsid w:val="006631A8"/>
    <w:rsid w:val="006673D1"/>
    <w:rsid w:val="00673FBA"/>
    <w:rsid w:val="006742F0"/>
    <w:rsid w:val="00676ABB"/>
    <w:rsid w:val="00677088"/>
    <w:rsid w:val="006776AC"/>
    <w:rsid w:val="00677E15"/>
    <w:rsid w:val="0068107E"/>
    <w:rsid w:val="0068234E"/>
    <w:rsid w:val="00691626"/>
    <w:rsid w:val="00694440"/>
    <w:rsid w:val="006A4D00"/>
    <w:rsid w:val="006B7518"/>
    <w:rsid w:val="006B7B3D"/>
    <w:rsid w:val="006C6D3D"/>
    <w:rsid w:val="006D0BB6"/>
    <w:rsid w:val="006E2A09"/>
    <w:rsid w:val="006E3A70"/>
    <w:rsid w:val="006F314A"/>
    <w:rsid w:val="006F3323"/>
    <w:rsid w:val="006F6B50"/>
    <w:rsid w:val="0071005C"/>
    <w:rsid w:val="007116F8"/>
    <w:rsid w:val="007119CC"/>
    <w:rsid w:val="00713514"/>
    <w:rsid w:val="00714440"/>
    <w:rsid w:val="007145A8"/>
    <w:rsid w:val="00716DC5"/>
    <w:rsid w:val="00723BFB"/>
    <w:rsid w:val="00723C8C"/>
    <w:rsid w:val="00730E0D"/>
    <w:rsid w:val="00741230"/>
    <w:rsid w:val="00742F6B"/>
    <w:rsid w:val="0075167E"/>
    <w:rsid w:val="00760A2D"/>
    <w:rsid w:val="00760B2B"/>
    <w:rsid w:val="0077466B"/>
    <w:rsid w:val="00774DAE"/>
    <w:rsid w:val="00774E10"/>
    <w:rsid w:val="007868FD"/>
    <w:rsid w:val="007947D2"/>
    <w:rsid w:val="007A10C2"/>
    <w:rsid w:val="007A6880"/>
    <w:rsid w:val="007B6A0B"/>
    <w:rsid w:val="007B6BEE"/>
    <w:rsid w:val="007C1065"/>
    <w:rsid w:val="007E65C8"/>
    <w:rsid w:val="007F1D39"/>
    <w:rsid w:val="007F2386"/>
    <w:rsid w:val="007F3E2B"/>
    <w:rsid w:val="00800F47"/>
    <w:rsid w:val="00801710"/>
    <w:rsid w:val="00805883"/>
    <w:rsid w:val="00812E73"/>
    <w:rsid w:val="00813895"/>
    <w:rsid w:val="00823B3D"/>
    <w:rsid w:val="0082499F"/>
    <w:rsid w:val="008273A1"/>
    <w:rsid w:val="00831D2D"/>
    <w:rsid w:val="00835735"/>
    <w:rsid w:val="00840098"/>
    <w:rsid w:val="0084280E"/>
    <w:rsid w:val="00843C22"/>
    <w:rsid w:val="0086116C"/>
    <w:rsid w:val="0086397E"/>
    <w:rsid w:val="00866079"/>
    <w:rsid w:val="00870C99"/>
    <w:rsid w:val="00871ECF"/>
    <w:rsid w:val="00872F3C"/>
    <w:rsid w:val="00877CDE"/>
    <w:rsid w:val="00894889"/>
    <w:rsid w:val="00894DC5"/>
    <w:rsid w:val="00894EB0"/>
    <w:rsid w:val="008A2FC7"/>
    <w:rsid w:val="008A302E"/>
    <w:rsid w:val="008A3227"/>
    <w:rsid w:val="008A6DEC"/>
    <w:rsid w:val="008A7E79"/>
    <w:rsid w:val="008B2235"/>
    <w:rsid w:val="008B3394"/>
    <w:rsid w:val="008B43AF"/>
    <w:rsid w:val="008B502F"/>
    <w:rsid w:val="008B5958"/>
    <w:rsid w:val="008D0B75"/>
    <w:rsid w:val="008D23BC"/>
    <w:rsid w:val="008D6942"/>
    <w:rsid w:val="008D6CA9"/>
    <w:rsid w:val="008D6D5B"/>
    <w:rsid w:val="008E0042"/>
    <w:rsid w:val="008E1612"/>
    <w:rsid w:val="00905AAD"/>
    <w:rsid w:val="009116DE"/>
    <w:rsid w:val="00913AB1"/>
    <w:rsid w:val="00920A65"/>
    <w:rsid w:val="0092795C"/>
    <w:rsid w:val="0093020C"/>
    <w:rsid w:val="00930F83"/>
    <w:rsid w:val="009313FD"/>
    <w:rsid w:val="00932EE0"/>
    <w:rsid w:val="009338DB"/>
    <w:rsid w:val="00934C84"/>
    <w:rsid w:val="0094550E"/>
    <w:rsid w:val="009473BC"/>
    <w:rsid w:val="009547AC"/>
    <w:rsid w:val="00954F88"/>
    <w:rsid w:val="00955378"/>
    <w:rsid w:val="00955DF7"/>
    <w:rsid w:val="0096177E"/>
    <w:rsid w:val="009836D3"/>
    <w:rsid w:val="0099239E"/>
    <w:rsid w:val="009A5B36"/>
    <w:rsid w:val="009C6385"/>
    <w:rsid w:val="009C6889"/>
    <w:rsid w:val="009D02E2"/>
    <w:rsid w:val="009D6E78"/>
    <w:rsid w:val="009E308F"/>
    <w:rsid w:val="009F1253"/>
    <w:rsid w:val="009F2AE4"/>
    <w:rsid w:val="009F79AD"/>
    <w:rsid w:val="009F7C12"/>
    <w:rsid w:val="00A058BC"/>
    <w:rsid w:val="00A12CCC"/>
    <w:rsid w:val="00A138D3"/>
    <w:rsid w:val="00A354D0"/>
    <w:rsid w:val="00A35E74"/>
    <w:rsid w:val="00A37FE4"/>
    <w:rsid w:val="00A4449A"/>
    <w:rsid w:val="00A44920"/>
    <w:rsid w:val="00A44C10"/>
    <w:rsid w:val="00A50ED2"/>
    <w:rsid w:val="00A54A85"/>
    <w:rsid w:val="00A5698C"/>
    <w:rsid w:val="00A61E9B"/>
    <w:rsid w:val="00A64182"/>
    <w:rsid w:val="00A7460A"/>
    <w:rsid w:val="00A84A49"/>
    <w:rsid w:val="00A915B0"/>
    <w:rsid w:val="00A953CE"/>
    <w:rsid w:val="00AA0B68"/>
    <w:rsid w:val="00AA5375"/>
    <w:rsid w:val="00AB2664"/>
    <w:rsid w:val="00AC0BFA"/>
    <w:rsid w:val="00AC1CE6"/>
    <w:rsid w:val="00AC1FF3"/>
    <w:rsid w:val="00AC6057"/>
    <w:rsid w:val="00AD02E8"/>
    <w:rsid w:val="00AD1453"/>
    <w:rsid w:val="00AD1922"/>
    <w:rsid w:val="00AE3672"/>
    <w:rsid w:val="00AE43C2"/>
    <w:rsid w:val="00AE5A24"/>
    <w:rsid w:val="00AF0767"/>
    <w:rsid w:val="00AF1458"/>
    <w:rsid w:val="00AF2910"/>
    <w:rsid w:val="00AF2BC9"/>
    <w:rsid w:val="00AF4025"/>
    <w:rsid w:val="00AF7B9C"/>
    <w:rsid w:val="00B01D73"/>
    <w:rsid w:val="00B071BF"/>
    <w:rsid w:val="00B20517"/>
    <w:rsid w:val="00B235D0"/>
    <w:rsid w:val="00B3122C"/>
    <w:rsid w:val="00B36D3C"/>
    <w:rsid w:val="00B44E91"/>
    <w:rsid w:val="00B45CCA"/>
    <w:rsid w:val="00B45EB1"/>
    <w:rsid w:val="00B52069"/>
    <w:rsid w:val="00B7148B"/>
    <w:rsid w:val="00B76261"/>
    <w:rsid w:val="00B76926"/>
    <w:rsid w:val="00B828DE"/>
    <w:rsid w:val="00B977EC"/>
    <w:rsid w:val="00BB0FEE"/>
    <w:rsid w:val="00BB3250"/>
    <w:rsid w:val="00BB5969"/>
    <w:rsid w:val="00BC1A30"/>
    <w:rsid w:val="00BD4F09"/>
    <w:rsid w:val="00BE77CC"/>
    <w:rsid w:val="00BF1663"/>
    <w:rsid w:val="00C01F0E"/>
    <w:rsid w:val="00C02751"/>
    <w:rsid w:val="00C03F02"/>
    <w:rsid w:val="00C33B5B"/>
    <w:rsid w:val="00C3505C"/>
    <w:rsid w:val="00C52B07"/>
    <w:rsid w:val="00C53A97"/>
    <w:rsid w:val="00C54467"/>
    <w:rsid w:val="00C61B3F"/>
    <w:rsid w:val="00C7030B"/>
    <w:rsid w:val="00C74C67"/>
    <w:rsid w:val="00C74F88"/>
    <w:rsid w:val="00C76A5A"/>
    <w:rsid w:val="00C77326"/>
    <w:rsid w:val="00C77571"/>
    <w:rsid w:val="00C80EAE"/>
    <w:rsid w:val="00C820FD"/>
    <w:rsid w:val="00C91EEE"/>
    <w:rsid w:val="00C961FB"/>
    <w:rsid w:val="00C97143"/>
    <w:rsid w:val="00CA7A6B"/>
    <w:rsid w:val="00CB179F"/>
    <w:rsid w:val="00CB2AB8"/>
    <w:rsid w:val="00CB36CC"/>
    <w:rsid w:val="00CC3384"/>
    <w:rsid w:val="00CC6980"/>
    <w:rsid w:val="00CC6ED4"/>
    <w:rsid w:val="00CD2E98"/>
    <w:rsid w:val="00CD4BDB"/>
    <w:rsid w:val="00CE0A50"/>
    <w:rsid w:val="00CE4334"/>
    <w:rsid w:val="00CE79CE"/>
    <w:rsid w:val="00CF0761"/>
    <w:rsid w:val="00CF0DDB"/>
    <w:rsid w:val="00CF176B"/>
    <w:rsid w:val="00D007B1"/>
    <w:rsid w:val="00D05BFE"/>
    <w:rsid w:val="00D10FF3"/>
    <w:rsid w:val="00D13EFB"/>
    <w:rsid w:val="00D27581"/>
    <w:rsid w:val="00D36DD0"/>
    <w:rsid w:val="00D37FB1"/>
    <w:rsid w:val="00D46C6E"/>
    <w:rsid w:val="00D52B36"/>
    <w:rsid w:val="00D5334C"/>
    <w:rsid w:val="00D5624D"/>
    <w:rsid w:val="00D57D00"/>
    <w:rsid w:val="00D62F43"/>
    <w:rsid w:val="00D75E6C"/>
    <w:rsid w:val="00D86BC3"/>
    <w:rsid w:val="00D928AD"/>
    <w:rsid w:val="00D93208"/>
    <w:rsid w:val="00D97F34"/>
    <w:rsid w:val="00DA2884"/>
    <w:rsid w:val="00DA2A03"/>
    <w:rsid w:val="00DA39B3"/>
    <w:rsid w:val="00DA6261"/>
    <w:rsid w:val="00DB0651"/>
    <w:rsid w:val="00DB116F"/>
    <w:rsid w:val="00DB5D68"/>
    <w:rsid w:val="00DD1F0A"/>
    <w:rsid w:val="00DD290F"/>
    <w:rsid w:val="00DD29F7"/>
    <w:rsid w:val="00DD6F36"/>
    <w:rsid w:val="00DD7DC9"/>
    <w:rsid w:val="00DE4245"/>
    <w:rsid w:val="00DE5E78"/>
    <w:rsid w:val="00DF0700"/>
    <w:rsid w:val="00E02B5A"/>
    <w:rsid w:val="00E068C6"/>
    <w:rsid w:val="00E150CC"/>
    <w:rsid w:val="00E156C7"/>
    <w:rsid w:val="00E15F87"/>
    <w:rsid w:val="00E23F5C"/>
    <w:rsid w:val="00E3065F"/>
    <w:rsid w:val="00E331CB"/>
    <w:rsid w:val="00E367A6"/>
    <w:rsid w:val="00E47F63"/>
    <w:rsid w:val="00E7142A"/>
    <w:rsid w:val="00E716E4"/>
    <w:rsid w:val="00E8339B"/>
    <w:rsid w:val="00E86EBA"/>
    <w:rsid w:val="00E93606"/>
    <w:rsid w:val="00E95C7D"/>
    <w:rsid w:val="00E9695D"/>
    <w:rsid w:val="00EA0D17"/>
    <w:rsid w:val="00EA1855"/>
    <w:rsid w:val="00EB5020"/>
    <w:rsid w:val="00EB55AF"/>
    <w:rsid w:val="00EB592F"/>
    <w:rsid w:val="00EB7294"/>
    <w:rsid w:val="00ED4C9F"/>
    <w:rsid w:val="00EE3D6F"/>
    <w:rsid w:val="00EE5AB9"/>
    <w:rsid w:val="00EE7A6D"/>
    <w:rsid w:val="00F02A30"/>
    <w:rsid w:val="00F14D6C"/>
    <w:rsid w:val="00F17E12"/>
    <w:rsid w:val="00F203CA"/>
    <w:rsid w:val="00F226FB"/>
    <w:rsid w:val="00F25215"/>
    <w:rsid w:val="00F276FB"/>
    <w:rsid w:val="00F36093"/>
    <w:rsid w:val="00F36AA3"/>
    <w:rsid w:val="00F4785D"/>
    <w:rsid w:val="00F74C8D"/>
    <w:rsid w:val="00F76021"/>
    <w:rsid w:val="00F7617D"/>
    <w:rsid w:val="00F8215A"/>
    <w:rsid w:val="00F8386E"/>
    <w:rsid w:val="00F8608A"/>
    <w:rsid w:val="00F86337"/>
    <w:rsid w:val="00F903F1"/>
    <w:rsid w:val="00F96B33"/>
    <w:rsid w:val="00FA77B5"/>
    <w:rsid w:val="00FC616A"/>
    <w:rsid w:val="00FD4396"/>
    <w:rsid w:val="00FD6B07"/>
    <w:rsid w:val="00FD6C3C"/>
    <w:rsid w:val="00FE370A"/>
    <w:rsid w:val="00FE4094"/>
    <w:rsid w:val="00FF7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055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664"/>
  </w:style>
  <w:style w:type="paragraph" w:styleId="Heading1">
    <w:name w:val="heading 1"/>
    <w:basedOn w:val="ListParagraph"/>
    <w:next w:val="Normal"/>
    <w:link w:val="Heading1Char"/>
    <w:uiPriority w:val="1"/>
    <w:qFormat/>
    <w:rsid w:val="00DB0651"/>
    <w:pPr>
      <w:widowControl w:val="0"/>
      <w:spacing w:after="0" w:line="240" w:lineRule="auto"/>
      <w:ind w:left="0"/>
      <w:jc w:val="both"/>
      <w:outlineLvl w:val="0"/>
    </w:pPr>
    <w:rPr>
      <w:rFonts w:ascii="Arial" w:eastAsia="Times New Roman" w:hAnsi="Arial" w:cs="Arial"/>
      <w:b/>
      <w:snapToGrid w:val="0"/>
      <w:sz w:val="22"/>
      <w:szCs w:val="22"/>
    </w:rPr>
  </w:style>
  <w:style w:type="paragraph" w:styleId="Heading2">
    <w:name w:val="heading 2"/>
    <w:basedOn w:val="Normal"/>
    <w:next w:val="Normal"/>
    <w:link w:val="Heading2Char"/>
    <w:uiPriority w:val="9"/>
    <w:semiHidden/>
    <w:unhideWhenUsed/>
    <w:qFormat/>
    <w:rsid w:val="008639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223C9"/>
    <w:pPr>
      <w:ind w:left="720"/>
      <w:contextualSpacing/>
    </w:pPr>
  </w:style>
  <w:style w:type="paragraph" w:customStyle="1" w:styleId="Default">
    <w:name w:val="Default"/>
    <w:rsid w:val="00DD6F36"/>
    <w:pPr>
      <w:autoSpaceDE w:val="0"/>
      <w:autoSpaceDN w:val="0"/>
      <w:adjustRightInd w:val="0"/>
      <w:spacing w:after="0" w:line="240" w:lineRule="auto"/>
    </w:pPr>
    <w:rPr>
      <w:color w:val="000000"/>
    </w:rPr>
  </w:style>
  <w:style w:type="table" w:styleId="TableGrid">
    <w:name w:val="Table Grid"/>
    <w:basedOn w:val="TableNormal"/>
    <w:uiPriority w:val="39"/>
    <w:rsid w:val="009C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D5570"/>
    <w:pPr>
      <w:spacing w:after="300" w:line="240" w:lineRule="auto"/>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3D5570"/>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91933"/>
  </w:style>
  <w:style w:type="paragraph" w:customStyle="1" w:styleId="PBACHeading1">
    <w:name w:val="PBAC Heading 1"/>
    <w:qFormat/>
    <w:rsid w:val="00091933"/>
    <w:pPr>
      <w:numPr>
        <w:numId w:val="1"/>
      </w:numPr>
      <w:spacing w:after="0" w:line="240" w:lineRule="auto"/>
      <w:outlineLvl w:val="0"/>
    </w:pPr>
    <w:rPr>
      <w:rFonts w:ascii="Arial" w:eastAsia="Times New Roman" w:hAnsi="Arial" w:cs="Arial"/>
      <w:b/>
      <w:snapToGrid w:val="0"/>
      <w:sz w:val="22"/>
      <w:szCs w:val="22"/>
    </w:rPr>
  </w:style>
  <w:style w:type="paragraph" w:customStyle="1" w:styleId="2Sections">
    <w:name w:val="2. Sections"/>
    <w:qFormat/>
    <w:rsid w:val="001B74F4"/>
    <w:pPr>
      <w:spacing w:before="240" w:after="120" w:line="240" w:lineRule="auto"/>
      <w:ind w:left="720" w:hanging="720"/>
      <w:outlineLvl w:val="0"/>
    </w:pPr>
    <w:rPr>
      <w:rFonts w:asciiTheme="minorHAnsi" w:eastAsia="Times New Roman" w:hAnsiTheme="minorHAnsi" w:cs="Arial"/>
      <w:b/>
      <w:snapToGrid w:val="0"/>
      <w:sz w:val="32"/>
      <w:szCs w:val="32"/>
    </w:rPr>
  </w:style>
  <w:style w:type="paragraph" w:customStyle="1" w:styleId="3Bodytext">
    <w:name w:val="3. Body text"/>
    <w:basedOn w:val="Bodytextitalics"/>
    <w:link w:val="3BodytextChar"/>
    <w:qFormat/>
    <w:rsid w:val="001B74F4"/>
    <w:rPr>
      <w:i w:val="0"/>
    </w:rPr>
  </w:style>
  <w:style w:type="character" w:customStyle="1" w:styleId="3BodytextChar">
    <w:name w:val="3. Body text Char"/>
    <w:basedOn w:val="DefaultParagraphFont"/>
    <w:link w:val="3Bodytext"/>
    <w:rsid w:val="001B74F4"/>
    <w:rPr>
      <w:rFonts w:asciiTheme="minorHAnsi" w:hAnsiTheme="minorHAnsi" w:cstheme="minorBidi"/>
      <w:szCs w:val="22"/>
      <w:lang w:eastAsia="en-AU"/>
    </w:rPr>
  </w:style>
  <w:style w:type="paragraph" w:customStyle="1" w:styleId="Bodytextitalics">
    <w:name w:val="Body text italics"/>
    <w:basedOn w:val="BodyText"/>
    <w:qFormat/>
    <w:rsid w:val="001B74F4"/>
    <w:pPr>
      <w:spacing w:line="240" w:lineRule="auto"/>
      <w:ind w:left="720" w:hanging="720"/>
    </w:pPr>
    <w:rPr>
      <w:rFonts w:asciiTheme="minorHAnsi" w:hAnsiTheme="minorHAnsi" w:cstheme="minorBidi"/>
      <w:i/>
      <w:szCs w:val="22"/>
      <w:lang w:eastAsia="en-AU"/>
    </w:rPr>
  </w:style>
  <w:style w:type="paragraph" w:styleId="BodyText">
    <w:name w:val="Body Text"/>
    <w:basedOn w:val="Normal"/>
    <w:link w:val="BodyTextChar"/>
    <w:uiPriority w:val="99"/>
    <w:semiHidden/>
    <w:unhideWhenUsed/>
    <w:rsid w:val="001B74F4"/>
    <w:pPr>
      <w:spacing w:after="120"/>
    </w:pPr>
  </w:style>
  <w:style w:type="character" w:customStyle="1" w:styleId="BodyTextChar">
    <w:name w:val="Body Text Char"/>
    <w:basedOn w:val="DefaultParagraphFont"/>
    <w:link w:val="BodyText"/>
    <w:uiPriority w:val="99"/>
    <w:semiHidden/>
    <w:rsid w:val="001B74F4"/>
  </w:style>
  <w:style w:type="paragraph" w:styleId="Header">
    <w:name w:val="header"/>
    <w:aliases w:val="Page Header,Header title,he=header,cntr/bld"/>
    <w:basedOn w:val="Normal"/>
    <w:link w:val="HeaderChar"/>
    <w:uiPriority w:val="99"/>
    <w:unhideWhenUsed/>
    <w:rsid w:val="0068234E"/>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68234E"/>
  </w:style>
  <w:style w:type="paragraph" w:styleId="Footer">
    <w:name w:val="footer"/>
    <w:basedOn w:val="Normal"/>
    <w:link w:val="FooterChar"/>
    <w:uiPriority w:val="99"/>
    <w:unhideWhenUsed/>
    <w:rsid w:val="00682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4E"/>
  </w:style>
  <w:style w:type="paragraph" w:customStyle="1" w:styleId="Tabletext">
    <w:name w:val="Table text"/>
    <w:basedOn w:val="Normal"/>
    <w:link w:val="TabletextChar"/>
    <w:uiPriority w:val="2"/>
    <w:rsid w:val="00DB0651"/>
    <w:pPr>
      <w:spacing w:after="120" w:line="240" w:lineRule="auto"/>
    </w:pPr>
    <w:rPr>
      <w:rFonts w:ascii="Arial" w:eastAsia="Times New Roman" w:hAnsi="Arial"/>
      <w:sz w:val="20"/>
      <w:szCs w:val="20"/>
    </w:rPr>
  </w:style>
  <w:style w:type="character" w:styleId="Emphasis">
    <w:name w:val="Emphasis"/>
    <w:basedOn w:val="DefaultParagraphFont"/>
    <w:qFormat/>
    <w:rsid w:val="00DB0651"/>
    <w:rPr>
      <w:i/>
      <w:iCs/>
    </w:rPr>
  </w:style>
  <w:style w:type="paragraph" w:styleId="FootnoteText">
    <w:name w:val="footnote text"/>
    <w:basedOn w:val="Normal"/>
    <w:link w:val="FootnoteTextChar"/>
    <w:rsid w:val="00DB0651"/>
    <w:pPr>
      <w:spacing w:after="0" w:line="240" w:lineRule="auto"/>
    </w:pPr>
    <w:rPr>
      <w:rFonts w:eastAsia="Times New Roman"/>
      <w:sz w:val="20"/>
      <w:szCs w:val="20"/>
      <w:lang w:eastAsia="en-AU"/>
    </w:rPr>
  </w:style>
  <w:style w:type="character" w:customStyle="1" w:styleId="FootnoteTextChar">
    <w:name w:val="Footnote Text Char"/>
    <w:basedOn w:val="DefaultParagraphFont"/>
    <w:link w:val="FootnoteText"/>
    <w:rsid w:val="00DB0651"/>
    <w:rPr>
      <w:rFonts w:eastAsia="Times New Roman"/>
      <w:sz w:val="20"/>
      <w:szCs w:val="20"/>
      <w:lang w:eastAsia="en-AU"/>
    </w:rPr>
  </w:style>
  <w:style w:type="character" w:styleId="FootnoteReference">
    <w:name w:val="footnote reference"/>
    <w:basedOn w:val="DefaultParagraphFont"/>
    <w:rsid w:val="00DB0651"/>
    <w:rPr>
      <w:vertAlign w:val="superscript"/>
    </w:rPr>
  </w:style>
  <w:style w:type="paragraph" w:styleId="NormalWeb">
    <w:name w:val="Normal (Web)"/>
    <w:basedOn w:val="Normal"/>
    <w:uiPriority w:val="99"/>
    <w:rsid w:val="00DB0651"/>
    <w:pPr>
      <w:spacing w:before="100" w:after="100" w:line="240" w:lineRule="auto"/>
    </w:pPr>
    <w:rPr>
      <w:rFonts w:eastAsia="Times New Roman"/>
      <w:szCs w:val="20"/>
      <w:lang w:val="en-GB"/>
    </w:rPr>
  </w:style>
  <w:style w:type="paragraph" w:customStyle="1" w:styleId="PBACheading10">
    <w:name w:val="PBAC heading 1"/>
    <w:qFormat/>
    <w:rsid w:val="00DB0651"/>
    <w:pPr>
      <w:spacing w:after="0" w:line="240" w:lineRule="auto"/>
      <w:ind w:left="720" w:hanging="720"/>
      <w:outlineLvl w:val="0"/>
    </w:pPr>
    <w:rPr>
      <w:rFonts w:ascii="Arial" w:eastAsia="Times New Roman" w:hAnsi="Arial" w:cs="Arial"/>
      <w:b/>
      <w:snapToGrid w:val="0"/>
      <w:sz w:val="22"/>
      <w:szCs w:val="22"/>
    </w:rPr>
  </w:style>
  <w:style w:type="character" w:customStyle="1" w:styleId="Heading1Char">
    <w:name w:val="Heading 1 Char"/>
    <w:basedOn w:val="DefaultParagraphFont"/>
    <w:link w:val="Heading1"/>
    <w:uiPriority w:val="1"/>
    <w:rsid w:val="00DB0651"/>
    <w:rPr>
      <w:rFonts w:ascii="Arial" w:eastAsia="Times New Roman" w:hAnsi="Arial" w:cs="Arial"/>
      <w:b/>
      <w:snapToGrid w:val="0"/>
      <w:sz w:val="22"/>
      <w:szCs w:val="22"/>
    </w:rPr>
  </w:style>
  <w:style w:type="character" w:customStyle="1" w:styleId="Heading2Char">
    <w:name w:val="Heading 2 Char"/>
    <w:basedOn w:val="DefaultParagraphFont"/>
    <w:link w:val="Heading2"/>
    <w:uiPriority w:val="9"/>
    <w:semiHidden/>
    <w:rsid w:val="0086397E"/>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qFormat/>
    <w:rsid w:val="0000754C"/>
    <w:pPr>
      <w:spacing w:after="0" w:line="240" w:lineRule="auto"/>
      <w:jc w:val="both"/>
    </w:pPr>
    <w:rPr>
      <w:rFonts w:ascii="Arial" w:eastAsia="Times New Roman" w:hAnsi="Arial"/>
      <w:sz w:val="22"/>
      <w:szCs w:val="22"/>
      <w:lang w:eastAsia="en-AU"/>
    </w:rPr>
  </w:style>
  <w:style w:type="character" w:customStyle="1" w:styleId="NoSpacingChar">
    <w:name w:val="No Spacing Char"/>
    <w:basedOn w:val="DefaultParagraphFont"/>
    <w:link w:val="NoSpacing"/>
    <w:uiPriority w:val="1"/>
    <w:rsid w:val="0000754C"/>
    <w:rPr>
      <w:rFonts w:ascii="Arial" w:eastAsia="Times New Roman" w:hAnsi="Arial"/>
      <w:sz w:val="22"/>
      <w:szCs w:val="22"/>
      <w:lang w:eastAsia="en-AU"/>
    </w:rPr>
  </w:style>
  <w:style w:type="paragraph" w:customStyle="1" w:styleId="TableText0">
    <w:name w:val="Table Text"/>
    <w:basedOn w:val="Normal"/>
    <w:link w:val="TableTextChar0"/>
    <w:qFormat/>
    <w:rsid w:val="0000754C"/>
    <w:pPr>
      <w:spacing w:after="0" w:line="240" w:lineRule="auto"/>
    </w:pPr>
    <w:rPr>
      <w:rFonts w:ascii="Arial Narrow" w:eastAsia="Times New Roman" w:hAnsi="Arial Narrow" w:cs="Arial"/>
      <w:sz w:val="20"/>
      <w:szCs w:val="20"/>
      <w:lang w:eastAsia="en-AU"/>
    </w:rPr>
  </w:style>
  <w:style w:type="character" w:customStyle="1" w:styleId="TableTextChar0">
    <w:name w:val="Table Text Char"/>
    <w:basedOn w:val="NoSpacingChar"/>
    <w:link w:val="TableText0"/>
    <w:rsid w:val="0000754C"/>
    <w:rPr>
      <w:rFonts w:ascii="Arial Narrow" w:eastAsia="Times New Roman" w:hAnsi="Arial Narrow" w:cs="Arial"/>
      <w:sz w:val="20"/>
      <w:szCs w:val="20"/>
      <w:lang w:eastAsia="en-AU"/>
    </w:rPr>
  </w:style>
  <w:style w:type="character" w:styleId="CommentReference">
    <w:name w:val="annotation reference"/>
    <w:aliases w:val="Table Title"/>
    <w:basedOn w:val="DefaultParagraphFont"/>
    <w:uiPriority w:val="99"/>
    <w:qFormat/>
    <w:rsid w:val="00A35E74"/>
    <w:rPr>
      <w:sz w:val="16"/>
      <w:szCs w:val="16"/>
    </w:rPr>
  </w:style>
  <w:style w:type="character" w:customStyle="1" w:styleId="TabletextChar">
    <w:name w:val="Table text Char"/>
    <w:link w:val="Tabletext"/>
    <w:uiPriority w:val="2"/>
    <w:rsid w:val="00A35E74"/>
    <w:rPr>
      <w:rFonts w:ascii="Arial" w:eastAsia="Times New Roman" w:hAnsi="Arial"/>
      <w:sz w:val="20"/>
      <w:szCs w:val="20"/>
    </w:rPr>
  </w:style>
  <w:style w:type="paragraph" w:styleId="CommentText">
    <w:name w:val="annotation text"/>
    <w:basedOn w:val="Normal"/>
    <w:link w:val="CommentTextChar"/>
    <w:uiPriority w:val="99"/>
    <w:unhideWhenUsed/>
    <w:rsid w:val="00DA39B3"/>
    <w:pPr>
      <w:spacing w:line="240" w:lineRule="auto"/>
    </w:pPr>
    <w:rPr>
      <w:sz w:val="20"/>
      <w:szCs w:val="20"/>
    </w:rPr>
  </w:style>
  <w:style w:type="character" w:customStyle="1" w:styleId="CommentTextChar">
    <w:name w:val="Comment Text Char"/>
    <w:basedOn w:val="DefaultParagraphFont"/>
    <w:link w:val="CommentText"/>
    <w:uiPriority w:val="99"/>
    <w:rsid w:val="00DA39B3"/>
    <w:rPr>
      <w:sz w:val="20"/>
      <w:szCs w:val="20"/>
    </w:rPr>
  </w:style>
  <w:style w:type="paragraph" w:styleId="CommentSubject">
    <w:name w:val="annotation subject"/>
    <w:basedOn w:val="CommentText"/>
    <w:next w:val="CommentText"/>
    <w:link w:val="CommentSubjectChar"/>
    <w:uiPriority w:val="99"/>
    <w:semiHidden/>
    <w:unhideWhenUsed/>
    <w:rsid w:val="00DA39B3"/>
    <w:rPr>
      <w:b/>
      <w:bCs/>
    </w:rPr>
  </w:style>
  <w:style w:type="character" w:customStyle="1" w:styleId="CommentSubjectChar">
    <w:name w:val="Comment Subject Char"/>
    <w:basedOn w:val="CommentTextChar"/>
    <w:link w:val="CommentSubject"/>
    <w:uiPriority w:val="99"/>
    <w:semiHidden/>
    <w:rsid w:val="00DA39B3"/>
    <w:rPr>
      <w:b/>
      <w:bCs/>
      <w:sz w:val="20"/>
      <w:szCs w:val="20"/>
    </w:rPr>
  </w:style>
  <w:style w:type="paragraph" w:styleId="BalloonText">
    <w:name w:val="Balloon Text"/>
    <w:basedOn w:val="Normal"/>
    <w:link w:val="BalloonTextChar"/>
    <w:uiPriority w:val="99"/>
    <w:semiHidden/>
    <w:unhideWhenUsed/>
    <w:rsid w:val="00DA3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B3"/>
    <w:rPr>
      <w:rFonts w:ascii="Segoe UI" w:hAnsi="Segoe UI" w:cs="Segoe UI"/>
      <w:sz w:val="18"/>
      <w:szCs w:val="18"/>
    </w:rPr>
  </w:style>
  <w:style w:type="paragraph" w:styleId="Revision">
    <w:name w:val="Revision"/>
    <w:hidden/>
    <w:uiPriority w:val="99"/>
    <w:semiHidden/>
    <w:rsid w:val="00607421"/>
    <w:pPr>
      <w:spacing w:after="0" w:line="240" w:lineRule="auto"/>
    </w:pPr>
  </w:style>
  <w:style w:type="character" w:styleId="Hyperlink">
    <w:name w:val="Hyperlink"/>
    <w:basedOn w:val="DefaultParagraphFont"/>
    <w:uiPriority w:val="99"/>
    <w:unhideWhenUsed/>
    <w:rsid w:val="00AF1458"/>
    <w:rPr>
      <w:color w:val="0563C1" w:themeColor="hyperlink"/>
      <w:u w:val="single"/>
    </w:rPr>
  </w:style>
  <w:style w:type="paragraph" w:customStyle="1" w:styleId="MinorOVRHeader">
    <w:name w:val="Minor OVR Header"/>
    <w:basedOn w:val="Header"/>
    <w:link w:val="MinorOVRHeaderChar"/>
    <w:rsid w:val="007F2386"/>
    <w:pPr>
      <w:tabs>
        <w:tab w:val="clear" w:pos="4513"/>
        <w:tab w:val="clear" w:pos="9026"/>
        <w:tab w:val="center" w:pos="4153"/>
        <w:tab w:val="right" w:pos="8306"/>
      </w:tabs>
      <w:jc w:val="right"/>
    </w:pPr>
    <w:rPr>
      <w:rFonts w:asciiTheme="minorHAnsi" w:eastAsia="Times New Roman" w:hAnsiTheme="minorHAnsi" w:cs="Arial"/>
      <w:lang w:eastAsia="en-AU"/>
    </w:rPr>
  </w:style>
  <w:style w:type="character" w:customStyle="1" w:styleId="MinorOVRHeaderChar">
    <w:name w:val="Minor OVR Header Char"/>
    <w:basedOn w:val="DefaultParagraphFont"/>
    <w:link w:val="MinorOVRHeader"/>
    <w:rsid w:val="007F2386"/>
    <w:rPr>
      <w:rFonts w:asciiTheme="minorHAnsi" w:eastAsia="Times New Roman" w:hAnsiTheme="minorHAnsi" w:cs="Arial"/>
      <w:lang w:eastAsia="en-AU"/>
    </w:rPr>
  </w:style>
  <w:style w:type="paragraph" w:customStyle="1" w:styleId="PBACFooter">
    <w:name w:val="PBAC Footer"/>
    <w:basedOn w:val="Footer"/>
    <w:link w:val="PBACFooterChar"/>
    <w:qFormat/>
    <w:rsid w:val="007F2386"/>
    <w:pPr>
      <w:tabs>
        <w:tab w:val="clear" w:pos="4513"/>
        <w:tab w:val="clear" w:pos="9026"/>
        <w:tab w:val="center" w:pos="4153"/>
        <w:tab w:val="right" w:pos="8306"/>
      </w:tabs>
      <w:jc w:val="center"/>
    </w:pPr>
    <w:rPr>
      <w:rFonts w:ascii="Arial" w:eastAsia="Times New Roman" w:hAnsi="Arial" w:cs="Arial"/>
      <w:b/>
      <w:sz w:val="20"/>
      <w:szCs w:val="20"/>
      <w:lang w:eastAsia="en-AU"/>
    </w:rPr>
  </w:style>
  <w:style w:type="character" w:customStyle="1" w:styleId="PBACFooterChar">
    <w:name w:val="PBAC Footer Char"/>
    <w:basedOn w:val="FooterChar"/>
    <w:link w:val="PBACFooter"/>
    <w:rsid w:val="007F2386"/>
    <w:rPr>
      <w:rFonts w:ascii="Arial" w:eastAsia="Times New Roman" w:hAnsi="Arial" w:cs="Arial"/>
      <w:b/>
      <w:sz w:val="20"/>
      <w:szCs w:val="20"/>
      <w:lang w:eastAsia="en-AU"/>
    </w:rPr>
  </w:style>
  <w:style w:type="paragraph" w:customStyle="1" w:styleId="4-SubsectionHeading">
    <w:name w:val="4-Subsection Heading"/>
    <w:basedOn w:val="Heading2"/>
    <w:next w:val="Normal"/>
    <w:link w:val="4-SubsectionHeadingChar"/>
    <w:qFormat/>
    <w:rsid w:val="007C1065"/>
    <w:pPr>
      <w:keepLines w:val="0"/>
      <w:spacing w:before="120" w:after="120" w:line="240" w:lineRule="auto"/>
      <w:jc w:val="both"/>
    </w:pPr>
    <w:rPr>
      <w:rFonts w:asciiTheme="minorHAnsi" w:hAnsiTheme="minorHAnsi"/>
      <w:b/>
      <w:i/>
      <w:spacing w:val="5"/>
      <w:kern w:val="28"/>
      <w:sz w:val="28"/>
      <w:szCs w:val="36"/>
      <w:lang w:eastAsia="en-AU"/>
    </w:rPr>
  </w:style>
  <w:style w:type="character" w:customStyle="1" w:styleId="4-SubsectionHeadingChar">
    <w:name w:val="4-Subsection Heading Char"/>
    <w:basedOn w:val="Heading2Char"/>
    <w:link w:val="4-SubsectionHeading"/>
    <w:rsid w:val="007C1065"/>
    <w:rPr>
      <w:rFonts w:asciiTheme="minorHAnsi" w:eastAsiaTheme="majorEastAsia" w:hAnsiTheme="minorHAnsi" w:cstheme="majorBidi"/>
      <w:b/>
      <w:i/>
      <w:color w:val="2E74B5" w:themeColor="accent1" w:themeShade="BF"/>
      <w:spacing w:val="5"/>
      <w:kern w:val="28"/>
      <w:sz w:val="28"/>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308">
      <w:bodyDiv w:val="1"/>
      <w:marLeft w:val="0"/>
      <w:marRight w:val="0"/>
      <w:marTop w:val="0"/>
      <w:marBottom w:val="0"/>
      <w:divBdr>
        <w:top w:val="none" w:sz="0" w:space="0" w:color="auto"/>
        <w:left w:val="none" w:sz="0" w:space="0" w:color="auto"/>
        <w:bottom w:val="none" w:sz="0" w:space="0" w:color="auto"/>
        <w:right w:val="none" w:sz="0" w:space="0" w:color="auto"/>
      </w:divBdr>
    </w:div>
    <w:div w:id="240063665">
      <w:bodyDiv w:val="1"/>
      <w:marLeft w:val="0"/>
      <w:marRight w:val="0"/>
      <w:marTop w:val="0"/>
      <w:marBottom w:val="0"/>
      <w:divBdr>
        <w:top w:val="none" w:sz="0" w:space="0" w:color="auto"/>
        <w:left w:val="none" w:sz="0" w:space="0" w:color="auto"/>
        <w:bottom w:val="none" w:sz="0" w:space="0" w:color="auto"/>
        <w:right w:val="none" w:sz="0" w:space="0" w:color="auto"/>
      </w:divBdr>
    </w:div>
    <w:div w:id="8297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5E36-36A5-422D-AE5B-35366FA9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2020-06-17T04:36:00Z</dcterms:created>
  <dcterms:modified xsi:type="dcterms:W3CDTF">2020-09-07T00:59:00Z</dcterms:modified>
</cp:coreProperties>
</file>